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25264" w14:textId="368DE362" w:rsidR="00331A0C" w:rsidRPr="001F08FA" w:rsidRDefault="001F08FA" w:rsidP="003803BD">
      <w:pPr>
        <w:rPr>
          <w:rFonts w:ascii="Verdana" w:hAnsi="Verdana"/>
          <w:b/>
          <w:bCs/>
        </w:rPr>
      </w:pPr>
      <w:r w:rsidRPr="001F08FA">
        <w:rPr>
          <w:rFonts w:ascii="Verdana" w:hAnsi="Verdana"/>
          <w:b/>
          <w:bCs/>
        </w:rPr>
        <w:t xml:space="preserve">Mindset Indicators Assessment </w:t>
      </w:r>
      <w:r w:rsidR="00001F53">
        <w:rPr>
          <w:rFonts w:ascii="Verdana" w:hAnsi="Verdana"/>
          <w:b/>
          <w:bCs/>
        </w:rPr>
        <w:t>Matrix</w:t>
      </w:r>
    </w:p>
    <w:p w14:paraId="4E1797A6" w14:textId="6ADC65D4" w:rsidR="001F08FA" w:rsidRPr="001F08FA" w:rsidRDefault="001F08FA" w:rsidP="001F08FA">
      <w:pPr>
        <w:rPr>
          <w:rFonts w:ascii="Verdana" w:hAnsi="Verdana"/>
          <w:b/>
          <w:bCs/>
          <w:sz w:val="18"/>
          <w:szCs w:val="18"/>
        </w:rPr>
      </w:pPr>
      <w:r w:rsidRPr="001F08FA">
        <w:rPr>
          <w:rFonts w:ascii="Verdana" w:hAnsi="Verdana"/>
          <w:b/>
          <w:bCs/>
          <w:sz w:val="18"/>
          <w:szCs w:val="18"/>
        </w:rPr>
        <w:t>Background</w:t>
      </w:r>
    </w:p>
    <w:p w14:paraId="2C100DF4" w14:textId="34FA546D" w:rsidR="001F08FA" w:rsidRDefault="00C051E3" w:rsidP="001F08FA">
      <w:pPr>
        <w:rPr>
          <w:rFonts w:ascii="Verdana" w:hAnsi="Verdana"/>
          <w:sz w:val="18"/>
          <w:szCs w:val="18"/>
        </w:rPr>
      </w:pPr>
      <w:r w:rsidRPr="00C051E3">
        <w:rPr>
          <w:rFonts w:ascii="Verdana" w:hAnsi="Verdana"/>
          <w:sz w:val="18"/>
          <w:szCs w:val="18"/>
        </w:rPr>
        <w:t xml:space="preserve">The </w:t>
      </w:r>
      <w:r w:rsidR="00756553">
        <w:rPr>
          <w:rFonts w:ascii="Verdana" w:hAnsi="Verdana"/>
          <w:sz w:val="18"/>
          <w:szCs w:val="18"/>
        </w:rPr>
        <w:t xml:space="preserve">EU Interreg </w:t>
      </w:r>
      <w:r w:rsidR="00756553" w:rsidRPr="00756553">
        <w:rPr>
          <w:rFonts w:ascii="Verdana" w:hAnsi="Verdana"/>
          <w:sz w:val="18"/>
          <w:szCs w:val="18"/>
        </w:rPr>
        <w:t>Circular Mindset for Change</w:t>
      </w:r>
      <w:r w:rsidR="00756553">
        <w:rPr>
          <w:rFonts w:ascii="Verdana" w:hAnsi="Verdana"/>
          <w:sz w:val="18"/>
          <w:szCs w:val="18"/>
        </w:rPr>
        <w:t xml:space="preserve"> (</w:t>
      </w:r>
      <w:r w:rsidRPr="00C051E3">
        <w:rPr>
          <w:rFonts w:ascii="Verdana" w:hAnsi="Verdana"/>
          <w:sz w:val="18"/>
          <w:szCs w:val="18"/>
        </w:rPr>
        <w:t>Circular Minds</w:t>
      </w:r>
      <w:r w:rsidR="00756553">
        <w:rPr>
          <w:rFonts w:ascii="Verdana" w:hAnsi="Verdana"/>
          <w:sz w:val="18"/>
          <w:szCs w:val="18"/>
        </w:rPr>
        <w:t>)</w:t>
      </w:r>
      <w:r w:rsidRPr="00C051E3">
        <w:rPr>
          <w:rFonts w:ascii="Verdana" w:hAnsi="Verdana"/>
          <w:sz w:val="18"/>
          <w:szCs w:val="18"/>
        </w:rPr>
        <w:t xml:space="preserve"> project aims at improving the implementation of regional development policies in the field of governance of organisations for circular economy, </w:t>
      </w:r>
      <w:r w:rsidR="006E2BA9" w:rsidRPr="00C051E3">
        <w:rPr>
          <w:rFonts w:ascii="Verdana" w:hAnsi="Verdana"/>
          <w:sz w:val="18"/>
          <w:szCs w:val="18"/>
        </w:rPr>
        <w:t>by</w:t>
      </w:r>
      <w:r w:rsidRPr="00C051E3">
        <w:rPr>
          <w:rFonts w:ascii="Verdana" w:hAnsi="Verdana"/>
          <w:sz w:val="18"/>
          <w:szCs w:val="18"/>
        </w:rPr>
        <w:t xml:space="preserve"> scaling up positive impact of public circular economy </w:t>
      </w:r>
      <w:r w:rsidR="006E2BA9">
        <w:rPr>
          <w:rFonts w:ascii="Verdana" w:hAnsi="Verdana"/>
          <w:sz w:val="18"/>
          <w:szCs w:val="18"/>
        </w:rPr>
        <w:t xml:space="preserve">procurement </w:t>
      </w:r>
      <w:r w:rsidRPr="00C051E3">
        <w:rPr>
          <w:rFonts w:ascii="Verdana" w:hAnsi="Verdana"/>
          <w:sz w:val="18"/>
          <w:szCs w:val="18"/>
        </w:rPr>
        <w:t>practices in organisations.</w:t>
      </w:r>
      <w:r w:rsidR="00DB7EFB">
        <w:rPr>
          <w:rFonts w:ascii="Verdana" w:hAnsi="Verdana"/>
          <w:sz w:val="18"/>
          <w:szCs w:val="18"/>
        </w:rPr>
        <w:t xml:space="preserve"> </w:t>
      </w:r>
      <w:r w:rsidR="00DA204C" w:rsidRPr="00DA204C">
        <w:rPr>
          <w:rFonts w:ascii="Verdana" w:hAnsi="Verdana"/>
          <w:sz w:val="18"/>
          <w:szCs w:val="18"/>
        </w:rPr>
        <w:t>The approach is based on a series of interconnected steps from situational analysis to policy change.</w:t>
      </w:r>
      <w:r w:rsidR="00DA204C">
        <w:rPr>
          <w:rFonts w:ascii="Verdana" w:hAnsi="Verdana"/>
          <w:sz w:val="18"/>
          <w:szCs w:val="18"/>
        </w:rPr>
        <w:t xml:space="preserve"> </w:t>
      </w:r>
      <w:r w:rsidR="00DB7EFB">
        <w:rPr>
          <w:rFonts w:ascii="Verdana" w:hAnsi="Verdana"/>
          <w:sz w:val="18"/>
          <w:szCs w:val="18"/>
        </w:rPr>
        <w:t xml:space="preserve">This involves </w:t>
      </w:r>
      <w:r w:rsidR="00C6289B">
        <w:rPr>
          <w:rFonts w:ascii="Verdana" w:hAnsi="Verdana"/>
          <w:sz w:val="18"/>
          <w:szCs w:val="18"/>
        </w:rPr>
        <w:t>i</w:t>
      </w:r>
      <w:r w:rsidR="00C6289B" w:rsidRPr="00C6289B">
        <w:rPr>
          <w:rFonts w:ascii="Verdana" w:hAnsi="Verdana"/>
          <w:sz w:val="18"/>
          <w:szCs w:val="18"/>
        </w:rPr>
        <w:t xml:space="preserve">mproving governance to unlock </w:t>
      </w:r>
      <w:r w:rsidR="00C6289B">
        <w:rPr>
          <w:rFonts w:ascii="Verdana" w:hAnsi="Verdana"/>
          <w:sz w:val="18"/>
          <w:szCs w:val="18"/>
        </w:rPr>
        <w:t>the</w:t>
      </w:r>
      <w:r w:rsidR="00C6289B" w:rsidRPr="00C6289B">
        <w:rPr>
          <w:rFonts w:ascii="Verdana" w:hAnsi="Verdana"/>
          <w:sz w:val="18"/>
          <w:szCs w:val="18"/>
        </w:rPr>
        <w:t xml:space="preserve"> vision of “governance of circular economy”</w:t>
      </w:r>
      <w:r w:rsidR="00C6289B">
        <w:rPr>
          <w:rFonts w:ascii="Verdana" w:hAnsi="Verdana"/>
          <w:sz w:val="18"/>
          <w:szCs w:val="18"/>
        </w:rPr>
        <w:t xml:space="preserve"> within the partners</w:t>
      </w:r>
      <w:r w:rsidR="00C6289B" w:rsidRPr="00C6289B">
        <w:rPr>
          <w:rFonts w:ascii="Verdana" w:hAnsi="Verdana"/>
          <w:sz w:val="18"/>
          <w:szCs w:val="18"/>
        </w:rPr>
        <w:t xml:space="preserve"> management of their </w:t>
      </w:r>
      <w:r w:rsidR="00D10B0A">
        <w:rPr>
          <w:rFonts w:ascii="Verdana" w:hAnsi="Verdana"/>
          <w:sz w:val="18"/>
          <w:szCs w:val="18"/>
        </w:rPr>
        <w:t>p</w:t>
      </w:r>
      <w:r w:rsidR="00C6289B" w:rsidRPr="00C6289B">
        <w:rPr>
          <w:rFonts w:ascii="Verdana" w:hAnsi="Verdana"/>
          <w:sz w:val="18"/>
          <w:szCs w:val="18"/>
        </w:rPr>
        <w:t>olicy Instruments</w:t>
      </w:r>
      <w:r w:rsidR="00D10B0A">
        <w:rPr>
          <w:rFonts w:ascii="Verdana" w:hAnsi="Verdana"/>
          <w:sz w:val="18"/>
          <w:szCs w:val="18"/>
        </w:rPr>
        <w:t>.</w:t>
      </w:r>
    </w:p>
    <w:p w14:paraId="53904524" w14:textId="1C1CA3C2" w:rsidR="008D5E63" w:rsidRDefault="00BB6688" w:rsidP="00A91BB4">
      <w:pPr>
        <w:rPr>
          <w:rFonts w:ascii="Verdana" w:hAnsi="Verdana"/>
          <w:sz w:val="18"/>
          <w:szCs w:val="18"/>
        </w:rPr>
      </w:pPr>
      <w:r w:rsidRPr="00BB6688">
        <w:rPr>
          <w:rFonts w:ascii="Verdana" w:hAnsi="Verdana"/>
          <w:sz w:val="18"/>
          <w:szCs w:val="18"/>
        </w:rPr>
        <w:t xml:space="preserve">Step 1 </w:t>
      </w:r>
      <w:r w:rsidR="006E2BA9">
        <w:rPr>
          <w:rFonts w:ascii="Verdana" w:hAnsi="Verdana"/>
          <w:sz w:val="18"/>
          <w:szCs w:val="18"/>
        </w:rPr>
        <w:t xml:space="preserve">in </w:t>
      </w:r>
      <w:r w:rsidR="007C6C2C">
        <w:rPr>
          <w:rFonts w:ascii="Verdana" w:hAnsi="Verdana"/>
          <w:sz w:val="18"/>
          <w:szCs w:val="18"/>
        </w:rPr>
        <w:t>2024</w:t>
      </w:r>
      <w:r w:rsidRPr="00BB6688">
        <w:rPr>
          <w:rFonts w:ascii="Verdana" w:hAnsi="Verdana"/>
          <w:sz w:val="18"/>
          <w:szCs w:val="18"/>
        </w:rPr>
        <w:t xml:space="preserve"> </w:t>
      </w:r>
      <w:r w:rsidR="006E2BA9">
        <w:rPr>
          <w:rFonts w:ascii="Verdana" w:hAnsi="Verdana"/>
          <w:sz w:val="18"/>
          <w:szCs w:val="18"/>
        </w:rPr>
        <w:t>was</w:t>
      </w:r>
      <w:r w:rsidRPr="00BB6688">
        <w:rPr>
          <w:rFonts w:ascii="Verdana" w:hAnsi="Verdana"/>
          <w:sz w:val="18"/>
          <w:szCs w:val="18"/>
        </w:rPr>
        <w:t xml:space="preserve"> dedicated to situational analysis. </w:t>
      </w:r>
      <w:r>
        <w:rPr>
          <w:rFonts w:ascii="Verdana" w:hAnsi="Verdana"/>
          <w:sz w:val="18"/>
          <w:szCs w:val="18"/>
        </w:rPr>
        <w:t>This is where partners</w:t>
      </w:r>
      <w:r w:rsidRPr="00BB6688">
        <w:rPr>
          <w:rFonts w:ascii="Verdana" w:hAnsi="Verdana"/>
          <w:sz w:val="18"/>
          <w:szCs w:val="18"/>
        </w:rPr>
        <w:t xml:space="preserve"> identif</w:t>
      </w:r>
      <w:r w:rsidR="006E2BA9">
        <w:rPr>
          <w:rFonts w:ascii="Verdana" w:hAnsi="Verdana"/>
          <w:sz w:val="18"/>
          <w:szCs w:val="18"/>
        </w:rPr>
        <w:t>ied</w:t>
      </w:r>
      <w:r w:rsidRPr="00BB6688">
        <w:rPr>
          <w:rFonts w:ascii="Verdana" w:hAnsi="Verdana"/>
          <w:sz w:val="18"/>
          <w:szCs w:val="18"/>
        </w:rPr>
        <w:t xml:space="preserve"> the common barriers and opportunities from </w:t>
      </w:r>
      <w:r w:rsidR="00A91BB4">
        <w:rPr>
          <w:rFonts w:ascii="Verdana" w:hAnsi="Verdana"/>
          <w:sz w:val="18"/>
          <w:szCs w:val="18"/>
        </w:rPr>
        <w:t xml:space="preserve">their </w:t>
      </w:r>
      <w:r w:rsidRPr="00BB6688">
        <w:rPr>
          <w:rFonts w:ascii="Verdana" w:hAnsi="Verdana"/>
          <w:sz w:val="18"/>
          <w:szCs w:val="18"/>
        </w:rPr>
        <w:t xml:space="preserve">organisation, regulatory and cultural perspectives. </w:t>
      </w:r>
      <w:r w:rsidR="00A91BB4">
        <w:rPr>
          <w:rFonts w:ascii="Verdana" w:hAnsi="Verdana"/>
          <w:sz w:val="18"/>
          <w:szCs w:val="18"/>
        </w:rPr>
        <w:t>Partners</w:t>
      </w:r>
      <w:r w:rsidR="003E743A">
        <w:rPr>
          <w:rFonts w:ascii="Verdana" w:hAnsi="Verdana"/>
          <w:sz w:val="18"/>
          <w:szCs w:val="18"/>
        </w:rPr>
        <w:t xml:space="preserve"> also</w:t>
      </w:r>
      <w:r w:rsidRPr="00BB6688">
        <w:rPr>
          <w:rFonts w:ascii="Verdana" w:hAnsi="Verdana"/>
          <w:sz w:val="18"/>
          <w:szCs w:val="18"/>
        </w:rPr>
        <w:t xml:space="preserve"> identif</w:t>
      </w:r>
      <w:r w:rsidR="006E2BA9">
        <w:rPr>
          <w:rFonts w:ascii="Verdana" w:hAnsi="Verdana"/>
          <w:sz w:val="18"/>
          <w:szCs w:val="18"/>
        </w:rPr>
        <w:t>ied</w:t>
      </w:r>
      <w:r w:rsidRPr="00BB6688">
        <w:rPr>
          <w:rFonts w:ascii="Verdana" w:hAnsi="Verdana"/>
          <w:sz w:val="18"/>
          <w:szCs w:val="18"/>
        </w:rPr>
        <w:t xml:space="preserve"> specific policy needs and </w:t>
      </w:r>
      <w:r w:rsidR="006E2BA9">
        <w:rPr>
          <w:rFonts w:ascii="Verdana" w:hAnsi="Verdana"/>
          <w:sz w:val="18"/>
          <w:szCs w:val="18"/>
        </w:rPr>
        <w:t>what</w:t>
      </w:r>
      <w:r w:rsidRPr="00BB6688">
        <w:rPr>
          <w:rFonts w:ascii="Verdana" w:hAnsi="Verdana"/>
          <w:sz w:val="18"/>
          <w:szCs w:val="18"/>
        </w:rPr>
        <w:t xml:space="preserve"> stakeholders </w:t>
      </w:r>
      <w:r w:rsidR="006E2BA9">
        <w:rPr>
          <w:rFonts w:ascii="Verdana" w:hAnsi="Verdana"/>
          <w:sz w:val="18"/>
          <w:szCs w:val="18"/>
        </w:rPr>
        <w:t xml:space="preserve">they need to work with </w:t>
      </w:r>
      <w:r w:rsidRPr="00BB6688">
        <w:rPr>
          <w:rFonts w:ascii="Verdana" w:hAnsi="Verdana"/>
          <w:sz w:val="18"/>
          <w:szCs w:val="18"/>
        </w:rPr>
        <w:t xml:space="preserve">to prioritise them, based on regional characteristics and interregional input. </w:t>
      </w:r>
    </w:p>
    <w:p w14:paraId="16E92735" w14:textId="5AA98427" w:rsidR="003E743A" w:rsidRDefault="003E743A" w:rsidP="00A91BB4">
      <w:pPr>
        <w:rPr>
          <w:rFonts w:ascii="Verdana" w:hAnsi="Verdana"/>
          <w:sz w:val="18"/>
          <w:szCs w:val="18"/>
        </w:rPr>
      </w:pPr>
      <w:r>
        <w:rPr>
          <w:rFonts w:ascii="Verdana" w:hAnsi="Verdana"/>
          <w:sz w:val="18"/>
          <w:szCs w:val="18"/>
        </w:rPr>
        <w:t xml:space="preserve">The situational analysis </w:t>
      </w:r>
      <w:r w:rsidR="009F5721">
        <w:rPr>
          <w:rFonts w:ascii="Verdana" w:hAnsi="Verdana"/>
          <w:sz w:val="18"/>
          <w:szCs w:val="18"/>
        </w:rPr>
        <w:t xml:space="preserve">questionnaire and this </w:t>
      </w:r>
      <w:r w:rsidR="001B274F">
        <w:rPr>
          <w:rFonts w:ascii="Verdana" w:hAnsi="Verdana"/>
          <w:sz w:val="18"/>
          <w:szCs w:val="18"/>
        </w:rPr>
        <w:t>M</w:t>
      </w:r>
      <w:r w:rsidR="009F5721">
        <w:rPr>
          <w:rFonts w:ascii="Verdana" w:hAnsi="Verdana"/>
          <w:sz w:val="18"/>
          <w:szCs w:val="18"/>
        </w:rPr>
        <w:t xml:space="preserve">indset </w:t>
      </w:r>
      <w:r w:rsidR="001B274F">
        <w:rPr>
          <w:rFonts w:ascii="Verdana" w:hAnsi="Verdana"/>
          <w:sz w:val="18"/>
          <w:szCs w:val="18"/>
        </w:rPr>
        <w:t>I</w:t>
      </w:r>
      <w:r w:rsidR="009F5721">
        <w:rPr>
          <w:rFonts w:ascii="Verdana" w:hAnsi="Verdana"/>
          <w:sz w:val="18"/>
          <w:szCs w:val="18"/>
        </w:rPr>
        <w:t xml:space="preserve">ndicators </w:t>
      </w:r>
      <w:r w:rsidR="00001F53">
        <w:rPr>
          <w:rFonts w:ascii="Verdana" w:hAnsi="Verdana"/>
          <w:sz w:val="18"/>
          <w:szCs w:val="18"/>
        </w:rPr>
        <w:t>Matrix</w:t>
      </w:r>
      <w:r w:rsidR="009F5721">
        <w:rPr>
          <w:rFonts w:ascii="Verdana" w:hAnsi="Verdana"/>
          <w:sz w:val="18"/>
          <w:szCs w:val="18"/>
        </w:rPr>
        <w:t xml:space="preserve"> are intended to </w:t>
      </w:r>
      <w:r w:rsidR="006E2BA9">
        <w:rPr>
          <w:rFonts w:ascii="Verdana" w:hAnsi="Verdana"/>
          <w:sz w:val="18"/>
          <w:szCs w:val="18"/>
        </w:rPr>
        <w:t xml:space="preserve">be completed together. Feedback from the partners trialling this approach suggest it is better to complete this Mindset indicators Framework first as it helps in identifying the required behaviour shifts that need to be addressed through the </w:t>
      </w:r>
      <w:r w:rsidR="006E2BA9">
        <w:rPr>
          <w:rFonts w:ascii="Verdana" w:hAnsi="Verdana"/>
          <w:sz w:val="18"/>
          <w:szCs w:val="18"/>
        </w:rPr>
        <w:t>situational analysis questionnaire</w:t>
      </w:r>
      <w:r w:rsidR="006E2BA9">
        <w:rPr>
          <w:rFonts w:ascii="Verdana" w:hAnsi="Verdana"/>
          <w:sz w:val="18"/>
          <w:szCs w:val="18"/>
        </w:rPr>
        <w:t xml:space="preserve"> template</w:t>
      </w:r>
      <w:r w:rsidR="009F5721">
        <w:rPr>
          <w:rFonts w:ascii="Verdana" w:hAnsi="Verdana"/>
          <w:sz w:val="18"/>
          <w:szCs w:val="18"/>
        </w:rPr>
        <w:t xml:space="preserve">. </w:t>
      </w:r>
    </w:p>
    <w:p w14:paraId="69F575D3" w14:textId="77777777" w:rsidR="00D10B0A" w:rsidRPr="001F08FA" w:rsidRDefault="00D10B0A" w:rsidP="001F08FA">
      <w:pPr>
        <w:rPr>
          <w:rFonts w:ascii="Verdana" w:hAnsi="Verdana"/>
          <w:bCs/>
          <w:sz w:val="18"/>
          <w:szCs w:val="18"/>
        </w:rPr>
      </w:pPr>
    </w:p>
    <w:p w14:paraId="7EF40608" w14:textId="77777777" w:rsidR="001F08FA" w:rsidRPr="001F08FA" w:rsidRDefault="001F08FA" w:rsidP="001F08FA">
      <w:pPr>
        <w:rPr>
          <w:rFonts w:ascii="Verdana" w:eastAsia="Aptos" w:hAnsi="Verdana" w:cs="Times New Roman"/>
          <w:b/>
          <w:bCs/>
          <w:sz w:val="18"/>
          <w:szCs w:val="18"/>
        </w:rPr>
      </w:pPr>
      <w:r w:rsidRPr="00FC37DD">
        <w:rPr>
          <w:rFonts w:ascii="Verdana" w:eastAsia="Aptos" w:hAnsi="Verdana" w:cs="Times New Roman"/>
          <w:b/>
          <w:bCs/>
          <w:sz w:val="18"/>
          <w:szCs w:val="18"/>
        </w:rPr>
        <w:t xml:space="preserve">Project definition of mindset </w:t>
      </w:r>
    </w:p>
    <w:p w14:paraId="72984A2E" w14:textId="77777777" w:rsidR="001F08FA" w:rsidRPr="00FC37DD" w:rsidRDefault="001F08FA" w:rsidP="001F08FA">
      <w:pPr>
        <w:rPr>
          <w:rFonts w:ascii="Verdana" w:eastAsia="Aptos" w:hAnsi="Verdana" w:cs="Times New Roman"/>
          <w:i/>
          <w:iCs/>
          <w:sz w:val="18"/>
          <w:szCs w:val="18"/>
        </w:rPr>
      </w:pPr>
      <w:r w:rsidRPr="001F08FA">
        <w:rPr>
          <w:rFonts w:ascii="Verdana" w:eastAsia="Aptos" w:hAnsi="Verdana" w:cs="Times New Roman"/>
          <w:i/>
          <w:iCs/>
          <w:sz w:val="18"/>
          <w:szCs w:val="18"/>
        </w:rPr>
        <w:t>Mindset</w:t>
      </w:r>
    </w:p>
    <w:p w14:paraId="5762A87E" w14:textId="77777777" w:rsidR="001F08FA" w:rsidRPr="00FC37DD" w:rsidRDefault="001F08FA" w:rsidP="001F08FA">
      <w:pPr>
        <w:rPr>
          <w:rFonts w:ascii="Verdana" w:eastAsia="Aptos" w:hAnsi="Verdana" w:cs="Times New Roman"/>
          <w:sz w:val="18"/>
          <w:szCs w:val="18"/>
        </w:rPr>
      </w:pPr>
      <w:r w:rsidRPr="00FC37DD">
        <w:rPr>
          <w:rFonts w:ascii="Verdana" w:eastAsia="Aptos" w:hAnsi="Verdana" w:cs="Times New Roman"/>
          <w:sz w:val="18"/>
          <w:szCs w:val="18"/>
        </w:rPr>
        <w:t xml:space="preserve">A working definition of ‘mindset’ is useful for project partners to work towards when completing the situational analysis. Based on existing definitions, changing mindset requires a fundamental shift in the way organisations and individuals perceive, thinks, and approach the delivery of their vision, mission, objectives and roles. It involves altering attitudes and perspectives, which in turn, influences behaviour, decisions, and overall outlook on delivering goals. </w:t>
      </w:r>
    </w:p>
    <w:p w14:paraId="7EE6C542" w14:textId="77777777" w:rsidR="001F08FA" w:rsidRPr="001F08FA" w:rsidRDefault="001F08FA" w:rsidP="001F08FA">
      <w:pPr>
        <w:rPr>
          <w:rFonts w:ascii="Verdana" w:eastAsia="Aptos" w:hAnsi="Verdana" w:cs="Times New Roman"/>
          <w:i/>
          <w:iCs/>
          <w:sz w:val="18"/>
          <w:szCs w:val="18"/>
        </w:rPr>
      </w:pPr>
      <w:r w:rsidRPr="001F08FA">
        <w:rPr>
          <w:rFonts w:ascii="Verdana" w:eastAsia="Aptos" w:hAnsi="Verdana" w:cs="Times New Roman"/>
          <w:i/>
          <w:iCs/>
          <w:sz w:val="18"/>
          <w:szCs w:val="18"/>
        </w:rPr>
        <w:t>Behaviour change</w:t>
      </w:r>
    </w:p>
    <w:p w14:paraId="762A6CDC" w14:textId="77777777" w:rsidR="001F08FA" w:rsidRPr="00FC37DD" w:rsidRDefault="001F08FA" w:rsidP="001F08FA">
      <w:pPr>
        <w:rPr>
          <w:rFonts w:ascii="Verdana" w:eastAsia="Aptos" w:hAnsi="Verdana" w:cs="Times New Roman"/>
          <w:sz w:val="18"/>
          <w:szCs w:val="18"/>
        </w:rPr>
      </w:pPr>
      <w:r w:rsidRPr="00FC37DD">
        <w:rPr>
          <w:rFonts w:ascii="Verdana" w:eastAsia="Aptos" w:hAnsi="Verdana" w:cs="Times New Roman"/>
          <w:sz w:val="18"/>
          <w:szCs w:val="18"/>
        </w:rPr>
        <w:t xml:space="preserve">Behaviour change refers to the process by which organisations and individuals modify their actions, approaches, and procedures in response to internal or external stimuli. This involves </w:t>
      </w:r>
      <w:r w:rsidRPr="00FC37DD">
        <w:rPr>
          <w:rFonts w:ascii="Verdana" w:eastAsia="Aptos" w:hAnsi="Verdana" w:cs="Times New Roman"/>
          <w:b/>
          <w:bCs/>
          <w:sz w:val="18"/>
          <w:szCs w:val="18"/>
        </w:rPr>
        <w:t>intentional efforts to adopt new behaviours, eliminate undesirable ones, or modify existing ones</w:t>
      </w:r>
      <w:r w:rsidRPr="00FC37DD">
        <w:rPr>
          <w:rFonts w:ascii="Verdana" w:eastAsia="Aptos" w:hAnsi="Verdana" w:cs="Times New Roman"/>
          <w:sz w:val="18"/>
          <w:szCs w:val="18"/>
        </w:rPr>
        <w:t xml:space="preserve"> </w:t>
      </w:r>
      <w:proofErr w:type="gramStart"/>
      <w:r w:rsidRPr="00FC37DD">
        <w:rPr>
          <w:rFonts w:ascii="Verdana" w:eastAsia="Aptos" w:hAnsi="Verdana" w:cs="Times New Roman"/>
          <w:sz w:val="18"/>
          <w:szCs w:val="18"/>
        </w:rPr>
        <w:t>in order to</w:t>
      </w:r>
      <w:proofErr w:type="gramEnd"/>
      <w:r w:rsidRPr="00FC37DD">
        <w:rPr>
          <w:rFonts w:ascii="Verdana" w:eastAsia="Aptos" w:hAnsi="Verdana" w:cs="Times New Roman"/>
          <w:sz w:val="18"/>
          <w:szCs w:val="18"/>
        </w:rPr>
        <w:t xml:space="preserve"> achieve specific goals or desired outcomes.</w:t>
      </w:r>
    </w:p>
    <w:p w14:paraId="549F25BD" w14:textId="77777777" w:rsidR="001F08FA" w:rsidRPr="00FC37DD" w:rsidRDefault="001F08FA" w:rsidP="001F08FA">
      <w:pPr>
        <w:rPr>
          <w:rFonts w:ascii="Verdana" w:eastAsia="Aptos" w:hAnsi="Verdana" w:cs="Times New Roman"/>
          <w:sz w:val="18"/>
          <w:szCs w:val="18"/>
        </w:rPr>
      </w:pPr>
      <w:r w:rsidRPr="00FC37DD">
        <w:rPr>
          <w:rFonts w:ascii="Verdana" w:eastAsia="Aptos" w:hAnsi="Verdana" w:cs="Times New Roman"/>
          <w:sz w:val="18"/>
          <w:szCs w:val="18"/>
        </w:rPr>
        <w:t>A circular mindset change is required not only by procurers but also by other organisational stakeholders involved in the procurement cycle (</w:t>
      </w:r>
      <w:r w:rsidRPr="00E840D6">
        <w:rPr>
          <w:rFonts w:ascii="Verdana" w:eastAsia="Aptos" w:hAnsi="Verdana" w:cs="Times New Roman"/>
          <w:i/>
          <w:iCs/>
          <w:sz w:val="18"/>
          <w:szCs w:val="18"/>
        </w:rPr>
        <w:t>Figure 1</w:t>
      </w:r>
      <w:r w:rsidRPr="00FC37DD">
        <w:rPr>
          <w:rFonts w:ascii="Verdana" w:eastAsia="Aptos" w:hAnsi="Verdana" w:cs="Times New Roman"/>
          <w:sz w:val="18"/>
          <w:szCs w:val="18"/>
        </w:rPr>
        <w:t>). A mindset shift is also required within the supply chain(s) to deliver on circular ambitions.</w:t>
      </w:r>
    </w:p>
    <w:p w14:paraId="78779A33" w14:textId="77777777" w:rsidR="001F08FA" w:rsidRPr="00FC37DD" w:rsidRDefault="001F08FA" w:rsidP="001F08FA">
      <w:pPr>
        <w:rPr>
          <w:rFonts w:ascii="Aptos" w:eastAsia="Aptos" w:hAnsi="Aptos" w:cs="Times New Roman"/>
        </w:rPr>
      </w:pPr>
      <w:r w:rsidRPr="00FC37DD">
        <w:rPr>
          <w:rFonts w:ascii="Aptos" w:eastAsia="Aptos" w:hAnsi="Aptos" w:cs="Times New Roman"/>
          <w:noProof/>
        </w:rPr>
        <w:lastRenderedPageBreak/>
        <w:drawing>
          <wp:inline distT="0" distB="0" distL="0" distR="0" wp14:anchorId="5DC7E506" wp14:editId="58AA11B0">
            <wp:extent cx="4476750" cy="3447564"/>
            <wp:effectExtent l="0" t="0" r="0" b="0"/>
            <wp:docPr id="859568082" name="Picture 1" descr="A diagram of 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68082" name="Picture 1" descr="A diagram of a diagram of a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4331" cy="3453402"/>
                    </a:xfrm>
                    <a:prstGeom prst="rect">
                      <a:avLst/>
                    </a:prstGeom>
                    <a:noFill/>
                  </pic:spPr>
                </pic:pic>
              </a:graphicData>
            </a:graphic>
          </wp:inline>
        </w:drawing>
      </w:r>
    </w:p>
    <w:p w14:paraId="1F638EDD" w14:textId="77777777" w:rsidR="001F08FA" w:rsidRDefault="001F08FA" w:rsidP="001F08FA">
      <w:pPr>
        <w:rPr>
          <w:rFonts w:ascii="Aptos" w:eastAsia="Aptos" w:hAnsi="Aptos" w:cs="Times New Roman"/>
        </w:rPr>
      </w:pPr>
      <w:r w:rsidRPr="00FC37DD">
        <w:rPr>
          <w:rFonts w:ascii="Aptos" w:eastAsia="Aptos" w:hAnsi="Aptos" w:cs="Times New Roman"/>
          <w:i/>
          <w:iCs/>
        </w:rPr>
        <w:t>Figure 1</w:t>
      </w:r>
      <w:r w:rsidRPr="00FC37DD">
        <w:rPr>
          <w:rFonts w:ascii="Aptos" w:eastAsia="Aptos" w:hAnsi="Aptos" w:cs="Times New Roman"/>
        </w:rPr>
        <w:t xml:space="preserve"> Procurement cycle (Source: CFIT)</w:t>
      </w:r>
    </w:p>
    <w:p w14:paraId="2EA7D0E3" w14:textId="77777777" w:rsidR="001F08FA" w:rsidRDefault="001F08FA" w:rsidP="001F08FA">
      <w:pPr>
        <w:rPr>
          <w:rFonts w:ascii="Verdana" w:eastAsia="Aptos" w:hAnsi="Verdana" w:cs="Times New Roman"/>
          <w:b/>
          <w:bCs/>
          <w:sz w:val="18"/>
          <w:szCs w:val="18"/>
        </w:rPr>
      </w:pPr>
    </w:p>
    <w:p w14:paraId="50D359B7" w14:textId="770553DA" w:rsidR="001F08FA" w:rsidRPr="001F08FA" w:rsidRDefault="001F08FA" w:rsidP="001F08FA">
      <w:pPr>
        <w:rPr>
          <w:rFonts w:ascii="Verdana" w:eastAsia="Aptos" w:hAnsi="Verdana" w:cs="Times New Roman"/>
          <w:b/>
          <w:bCs/>
          <w:sz w:val="18"/>
          <w:szCs w:val="18"/>
        </w:rPr>
      </w:pPr>
      <w:r>
        <w:rPr>
          <w:rFonts w:ascii="Verdana" w:eastAsia="Aptos" w:hAnsi="Verdana" w:cs="Times New Roman"/>
          <w:b/>
          <w:bCs/>
          <w:sz w:val="18"/>
          <w:szCs w:val="18"/>
        </w:rPr>
        <w:t>M</w:t>
      </w:r>
      <w:r w:rsidRPr="001F08FA">
        <w:rPr>
          <w:rFonts w:ascii="Verdana" w:eastAsia="Aptos" w:hAnsi="Verdana" w:cs="Times New Roman"/>
          <w:b/>
          <w:bCs/>
          <w:sz w:val="18"/>
          <w:szCs w:val="18"/>
        </w:rPr>
        <w:t>indset indicators</w:t>
      </w:r>
    </w:p>
    <w:p w14:paraId="57259373" w14:textId="747EC49C" w:rsidR="001F08FA" w:rsidRPr="001F08FA" w:rsidRDefault="001F08FA" w:rsidP="001F08FA">
      <w:pPr>
        <w:rPr>
          <w:rFonts w:ascii="Verdana" w:eastAsia="Aptos" w:hAnsi="Verdana" w:cs="Times New Roman"/>
          <w:sz w:val="18"/>
          <w:szCs w:val="18"/>
        </w:rPr>
      </w:pPr>
      <w:r w:rsidRPr="001F08FA">
        <w:rPr>
          <w:rFonts w:ascii="Verdana" w:eastAsia="Aptos" w:hAnsi="Verdana" w:cs="Times New Roman"/>
          <w:sz w:val="18"/>
          <w:szCs w:val="18"/>
        </w:rPr>
        <w:t xml:space="preserve">This broad definition helps to </w:t>
      </w:r>
      <w:r w:rsidR="006E2BA9">
        <w:rPr>
          <w:rFonts w:ascii="Verdana" w:eastAsia="Aptos" w:hAnsi="Verdana" w:cs="Times New Roman"/>
          <w:sz w:val="18"/>
          <w:szCs w:val="18"/>
        </w:rPr>
        <w:t>provide a scope for</w:t>
      </w:r>
      <w:r w:rsidRPr="001F08FA">
        <w:rPr>
          <w:rFonts w:ascii="Verdana" w:eastAsia="Aptos" w:hAnsi="Verdana" w:cs="Times New Roman"/>
          <w:sz w:val="18"/>
          <w:szCs w:val="18"/>
        </w:rPr>
        <w:t xml:space="preserve"> indicators that can be used to determine shifts in mindset and the degree of progress. For example:</w:t>
      </w:r>
    </w:p>
    <w:p w14:paraId="5796980A" w14:textId="77777777" w:rsidR="001F08FA" w:rsidRPr="001F08FA" w:rsidRDefault="001F08FA" w:rsidP="001F08FA">
      <w:pPr>
        <w:numPr>
          <w:ilvl w:val="0"/>
          <w:numId w:val="3"/>
        </w:numPr>
        <w:rPr>
          <w:rFonts w:ascii="Verdana" w:eastAsia="Aptos" w:hAnsi="Verdana" w:cs="Times New Roman"/>
          <w:sz w:val="18"/>
          <w:szCs w:val="18"/>
        </w:rPr>
      </w:pPr>
      <w:r w:rsidRPr="001F08FA">
        <w:rPr>
          <w:rFonts w:ascii="Verdana" w:eastAsia="Aptos" w:hAnsi="Verdana" w:cs="Times New Roman"/>
          <w:sz w:val="18"/>
          <w:szCs w:val="18"/>
        </w:rPr>
        <w:t>Intentional efforts to adopt new behaviours – for example, evidence of new policies, increased awareness; evidence of circular procurement actions across the whole procurement cycle.</w:t>
      </w:r>
    </w:p>
    <w:p w14:paraId="71A9CEEA" w14:textId="77777777" w:rsidR="006E2BA9" w:rsidRDefault="001F08FA" w:rsidP="001F08FA">
      <w:pPr>
        <w:numPr>
          <w:ilvl w:val="0"/>
          <w:numId w:val="3"/>
        </w:numPr>
        <w:rPr>
          <w:rFonts w:ascii="Verdana" w:eastAsia="Aptos" w:hAnsi="Verdana" w:cs="Times New Roman"/>
          <w:sz w:val="18"/>
          <w:szCs w:val="18"/>
        </w:rPr>
      </w:pPr>
      <w:r w:rsidRPr="001F08FA">
        <w:rPr>
          <w:rFonts w:ascii="Verdana" w:eastAsia="Aptos" w:hAnsi="Verdana" w:cs="Times New Roman"/>
          <w:sz w:val="18"/>
          <w:szCs w:val="18"/>
        </w:rPr>
        <w:t xml:space="preserve">Eliminating undesirable behaviours – for example barriers within the organisation structure; poor communication between procurement stakeholders; relying on business-as-usual; avoiding new ideas etc. </w:t>
      </w:r>
    </w:p>
    <w:p w14:paraId="496C8356" w14:textId="0037A461" w:rsidR="001F08FA" w:rsidRPr="006E2BA9" w:rsidRDefault="001F08FA" w:rsidP="001F08FA">
      <w:pPr>
        <w:numPr>
          <w:ilvl w:val="0"/>
          <w:numId w:val="3"/>
        </w:numPr>
        <w:rPr>
          <w:rFonts w:ascii="Verdana" w:eastAsia="Aptos" w:hAnsi="Verdana" w:cs="Times New Roman"/>
          <w:sz w:val="18"/>
          <w:szCs w:val="18"/>
        </w:rPr>
      </w:pPr>
      <w:r w:rsidRPr="006E2BA9">
        <w:rPr>
          <w:rFonts w:ascii="Verdana" w:eastAsia="Aptos" w:hAnsi="Verdana" w:cs="Times New Roman"/>
          <w:sz w:val="18"/>
          <w:szCs w:val="18"/>
        </w:rPr>
        <w:t>Modifying existing behaviours – for example changing existing procurement processes to ensure circularity is embedded in a proportionate way in all procurement decisions; improvement in monitoring and reporting of procurement outcomes and impacts.</w:t>
      </w:r>
    </w:p>
    <w:p w14:paraId="62F745EB" w14:textId="77777777" w:rsidR="001F08FA" w:rsidRDefault="001F08FA" w:rsidP="001F08FA">
      <w:pPr>
        <w:rPr>
          <w:rFonts w:ascii="Aptos" w:eastAsia="Aptos" w:hAnsi="Aptos" w:cs="Times New Roman"/>
        </w:rPr>
      </w:pPr>
    </w:p>
    <w:p w14:paraId="434233BE" w14:textId="77777777" w:rsidR="001F08FA" w:rsidRDefault="001F08FA" w:rsidP="001F08FA">
      <w:pPr>
        <w:rPr>
          <w:rFonts w:ascii="Aptos" w:eastAsia="Aptos" w:hAnsi="Aptos" w:cs="Times New Roman"/>
        </w:rPr>
      </w:pPr>
    </w:p>
    <w:p w14:paraId="352BEE8F" w14:textId="77777777" w:rsidR="001F08FA" w:rsidRDefault="001F08FA" w:rsidP="003803BD"/>
    <w:p w14:paraId="1FA23FBC" w14:textId="77777777" w:rsidR="001F08FA" w:rsidRDefault="001F08FA" w:rsidP="003803BD"/>
    <w:p w14:paraId="2A09B758" w14:textId="77777777" w:rsidR="001F08FA" w:rsidRDefault="001F08FA" w:rsidP="003803BD"/>
    <w:p w14:paraId="57C5B391" w14:textId="77777777" w:rsidR="001F08FA" w:rsidRDefault="001F08FA" w:rsidP="003803BD">
      <w:pPr>
        <w:sectPr w:rsidR="001F08FA" w:rsidSect="001F08FA">
          <w:headerReference w:type="default" r:id="rId9"/>
          <w:footerReference w:type="default" r:id="rId10"/>
          <w:pgSz w:w="11906" w:h="16838"/>
          <w:pgMar w:top="1440" w:right="1440" w:bottom="1440" w:left="993" w:header="708" w:footer="708" w:gutter="0"/>
          <w:cols w:space="708"/>
          <w:docGrid w:linePitch="360"/>
        </w:sectPr>
      </w:pPr>
    </w:p>
    <w:p w14:paraId="6A9D2241" w14:textId="4C20793E" w:rsidR="000559F5" w:rsidRPr="00D86DC9" w:rsidRDefault="00D86DC9" w:rsidP="000559F5">
      <w:pPr>
        <w:rPr>
          <w:b/>
          <w:bCs/>
        </w:rPr>
      </w:pPr>
      <w:r w:rsidRPr="00D86DC9">
        <w:rPr>
          <w:b/>
          <w:bCs/>
        </w:rPr>
        <w:lastRenderedPageBreak/>
        <w:t xml:space="preserve">Completing the </w:t>
      </w:r>
      <w:r w:rsidR="00185774">
        <w:rPr>
          <w:b/>
          <w:bCs/>
        </w:rPr>
        <w:t xml:space="preserve">Mindset </w:t>
      </w:r>
      <w:r w:rsidRPr="00D86DC9">
        <w:rPr>
          <w:b/>
          <w:bCs/>
        </w:rPr>
        <w:t xml:space="preserve">Indicators </w:t>
      </w:r>
      <w:r w:rsidR="005067A3">
        <w:rPr>
          <w:b/>
          <w:bCs/>
        </w:rPr>
        <w:t>Matrix</w:t>
      </w:r>
    </w:p>
    <w:p w14:paraId="5BC7F0BB" w14:textId="77777777" w:rsidR="000B4FDF" w:rsidRDefault="006E2BA9" w:rsidP="003803BD">
      <w:pPr>
        <w:pStyle w:val="ListParagraph"/>
        <w:numPr>
          <w:ilvl w:val="0"/>
          <w:numId w:val="4"/>
        </w:numPr>
      </w:pPr>
      <w:r>
        <w:t>D</w:t>
      </w:r>
      <w:r w:rsidR="006F125D">
        <w:t xml:space="preserve">etermine the </w:t>
      </w:r>
      <w:r w:rsidR="00B97838">
        <w:t>scale</w:t>
      </w:r>
      <w:r w:rsidR="001E03A5">
        <w:t xml:space="preserve"> on which </w:t>
      </w:r>
      <w:r>
        <w:t>you are</w:t>
      </w:r>
      <w:r w:rsidR="001E03A5">
        <w:t xml:space="preserve"> mak</w:t>
      </w:r>
      <w:r>
        <w:t>ing</w:t>
      </w:r>
      <w:r w:rsidR="001E03A5">
        <w:t xml:space="preserve"> the assessment. This should be </w:t>
      </w:r>
      <w:r w:rsidR="00EB1483">
        <w:t>ambitio</w:t>
      </w:r>
      <w:r>
        <w:t>us</w:t>
      </w:r>
      <w:r w:rsidR="00EB1483">
        <w:t xml:space="preserve"> </w:t>
      </w:r>
      <w:r>
        <w:t>but</w:t>
      </w:r>
      <w:r w:rsidR="00EB1483">
        <w:t xml:space="preserve"> </w:t>
      </w:r>
      <w:r w:rsidR="00832D6A">
        <w:t>realistic. For example</w:t>
      </w:r>
      <w:r w:rsidR="000B4FDF">
        <w:t>:</w:t>
      </w:r>
      <w:r w:rsidR="00832D6A">
        <w:t xml:space="preserve"> </w:t>
      </w:r>
    </w:p>
    <w:p w14:paraId="3ECD81B5" w14:textId="7C388CAE" w:rsidR="006E2BA9" w:rsidRDefault="001E3FAA" w:rsidP="000B4FDF">
      <w:pPr>
        <w:pStyle w:val="ListParagraph"/>
        <w:numPr>
          <w:ilvl w:val="0"/>
          <w:numId w:val="5"/>
        </w:numPr>
      </w:pPr>
      <w:r>
        <w:t>A</w:t>
      </w:r>
      <w:r w:rsidR="004412D0">
        <w:t>re you looking at a pilot project, an organisation, a government department/mini</w:t>
      </w:r>
      <w:r w:rsidR="00274DCC">
        <w:t>stry etc</w:t>
      </w:r>
      <w:r w:rsidR="006E2BA9">
        <w:t>.</w:t>
      </w:r>
      <w:r w:rsidR="00274DCC">
        <w:t xml:space="preserve"> </w:t>
      </w:r>
    </w:p>
    <w:p w14:paraId="559A0179" w14:textId="39C5F435" w:rsidR="006E2BA9" w:rsidRDefault="00274DCC" w:rsidP="006E2BA9">
      <w:pPr>
        <w:pStyle w:val="ListParagraph"/>
        <w:numPr>
          <w:ilvl w:val="0"/>
          <w:numId w:val="5"/>
        </w:numPr>
      </w:pPr>
      <w:r>
        <w:t>W</w:t>
      </w:r>
      <w:r w:rsidR="00615F27">
        <w:t xml:space="preserve">e might want to change behaviours </w:t>
      </w:r>
      <w:r w:rsidR="007E6DE2">
        <w:t>at</w:t>
      </w:r>
      <w:r w:rsidR="00615F27">
        <w:t xml:space="preserve"> a </w:t>
      </w:r>
      <w:r w:rsidR="007E6DE2">
        <w:t>N</w:t>
      </w:r>
      <w:r w:rsidR="00615F27">
        <w:t>ational</w:t>
      </w:r>
      <w:r w:rsidR="007E6DE2">
        <w:t>/</w:t>
      </w:r>
      <w:r w:rsidR="00615F27">
        <w:t xml:space="preserve">Ministry </w:t>
      </w:r>
      <w:r w:rsidR="006B2DBF">
        <w:t xml:space="preserve">level </w:t>
      </w:r>
      <w:r w:rsidR="009F3922">
        <w:t xml:space="preserve">but how </w:t>
      </w:r>
      <w:r w:rsidR="007E6DE2">
        <w:t>likely</w:t>
      </w:r>
      <w:r w:rsidR="009F3922">
        <w:t xml:space="preserve"> are we to </w:t>
      </w:r>
      <w:r w:rsidR="00457DAA">
        <w:t xml:space="preserve">achieve </w:t>
      </w:r>
      <w:r w:rsidR="006816DF">
        <w:t>this</w:t>
      </w:r>
      <w:r w:rsidR="007E6DE2">
        <w:t>?</w:t>
      </w:r>
      <w:r w:rsidR="009F3922">
        <w:t xml:space="preserve"> </w:t>
      </w:r>
    </w:p>
    <w:p w14:paraId="2883838E" w14:textId="1C4A7540" w:rsidR="00A10889" w:rsidRDefault="00CA6346" w:rsidP="003803BD">
      <w:pPr>
        <w:pStyle w:val="ListParagraph"/>
        <w:numPr>
          <w:ilvl w:val="0"/>
          <w:numId w:val="4"/>
        </w:numPr>
      </w:pPr>
      <w:r>
        <w:t xml:space="preserve">In consultation with </w:t>
      </w:r>
      <w:r w:rsidR="00274DCC">
        <w:t xml:space="preserve">all </w:t>
      </w:r>
      <w:r>
        <w:t xml:space="preserve">relevant </w:t>
      </w:r>
      <w:r w:rsidR="00274DCC">
        <w:t>people (</w:t>
      </w:r>
      <w:r>
        <w:t>stakeholders</w:t>
      </w:r>
      <w:r w:rsidR="00274DCC">
        <w:t>)</w:t>
      </w:r>
      <w:r>
        <w:t>, a</w:t>
      </w:r>
      <w:r w:rsidR="00A10889">
        <w:t>ssess current performance within the organisation across each of the mindset indicators listed in the table</w:t>
      </w:r>
      <w:r w:rsidR="00761AC4">
        <w:t xml:space="preserve"> below</w:t>
      </w:r>
      <w:r w:rsidR="00F52607">
        <w:t xml:space="preserve">. Identify the current </w:t>
      </w:r>
      <w:r w:rsidR="0032166D">
        <w:t>L</w:t>
      </w:r>
      <w:r w:rsidR="00F52607">
        <w:t>evel</w:t>
      </w:r>
      <w:r w:rsidR="002C618A">
        <w:t xml:space="preserve"> </w:t>
      </w:r>
      <w:r w:rsidR="00F11610">
        <w:t>(</w:t>
      </w:r>
      <w:r w:rsidR="002C618A">
        <w:t>1, 2, 3, 4 or 5</w:t>
      </w:r>
      <w:r w:rsidR="00F11610">
        <w:t>)</w:t>
      </w:r>
      <w:r w:rsidR="007633FC">
        <w:t xml:space="preserve"> </w:t>
      </w:r>
      <w:r>
        <w:t xml:space="preserve">- </w:t>
      </w:r>
      <w:r w:rsidR="007633FC">
        <w:t xml:space="preserve">see </w:t>
      </w:r>
      <w:r w:rsidR="00FD4290" w:rsidRPr="00E840D6">
        <w:rPr>
          <w:i/>
          <w:iCs/>
        </w:rPr>
        <w:t>Figure 2a</w:t>
      </w:r>
      <w:r w:rsidR="007633FC">
        <w:t xml:space="preserve"> below.</w:t>
      </w:r>
      <w:r w:rsidR="0034718D" w:rsidRPr="0034718D">
        <w:t xml:space="preserve"> </w:t>
      </w:r>
      <w:r w:rsidR="0034718D">
        <w:t>Scoring could whole Levels or include partial Levels, e.g. 2.5, 3.5 etc. So record these in the table below (</w:t>
      </w:r>
      <w:r w:rsidR="0034718D" w:rsidRPr="00E840D6">
        <w:rPr>
          <w:i/>
          <w:iCs/>
        </w:rPr>
        <w:t>Figure 2b</w:t>
      </w:r>
      <w:r w:rsidR="0034718D">
        <w:t>).</w:t>
      </w:r>
    </w:p>
    <w:p w14:paraId="106B26C1" w14:textId="4A5E9B28" w:rsidR="001C6A09" w:rsidRDefault="001C6A09" w:rsidP="003803BD">
      <w:pPr>
        <w:pStyle w:val="ListParagraph"/>
        <w:numPr>
          <w:ilvl w:val="0"/>
          <w:numId w:val="4"/>
        </w:numPr>
      </w:pPr>
      <w:r>
        <w:t xml:space="preserve">Identify the </w:t>
      </w:r>
      <w:r w:rsidR="00001802">
        <w:t>ambition level for each of the mindset indicators</w:t>
      </w:r>
      <w:r w:rsidR="00421E2D">
        <w:t xml:space="preserve"> by end of the Circular Minds project and ultimate organisational ambition </w:t>
      </w:r>
      <w:r w:rsidR="00CE3431">
        <w:t>(</w:t>
      </w:r>
      <w:r w:rsidR="001E3FAA" w:rsidRPr="00E840D6">
        <w:rPr>
          <w:i/>
          <w:iCs/>
        </w:rPr>
        <w:t>Figure 2</w:t>
      </w:r>
      <w:r w:rsidR="00772CEB" w:rsidRPr="00E840D6">
        <w:rPr>
          <w:i/>
          <w:iCs/>
        </w:rPr>
        <w:t>a</w:t>
      </w:r>
      <w:r w:rsidR="00CE3431">
        <w:t>)</w:t>
      </w:r>
      <w:r w:rsidR="00FA7B4F">
        <w:t>.</w:t>
      </w:r>
      <w:r w:rsidR="00001802">
        <w:t xml:space="preserve"> </w:t>
      </w:r>
      <w:r w:rsidR="00CE3431">
        <w:t xml:space="preserve"> </w:t>
      </w:r>
    </w:p>
    <w:p w14:paraId="1E8C12AE" w14:textId="5A8622FE" w:rsidR="003803BD" w:rsidRDefault="0055787C" w:rsidP="00121F31">
      <w:pPr>
        <w:pStyle w:val="ListParagraph"/>
        <w:numPr>
          <w:ilvl w:val="0"/>
          <w:numId w:val="4"/>
        </w:numPr>
      </w:pPr>
      <w:r>
        <w:t xml:space="preserve">For simplicity each of the mindset indicators has a single variable. However </w:t>
      </w:r>
      <w:r w:rsidR="00B12C1D">
        <w:t>having also</w:t>
      </w:r>
      <w:r>
        <w:t xml:space="preserve"> complet</w:t>
      </w:r>
      <w:r w:rsidR="00B12C1D">
        <w:t>ed</w:t>
      </w:r>
      <w:r>
        <w:t xml:space="preserve"> </w:t>
      </w:r>
      <w:r w:rsidR="000559F5">
        <w:t xml:space="preserve">the </w:t>
      </w:r>
      <w:r w:rsidR="00B12C1D">
        <w:t xml:space="preserve">separate </w:t>
      </w:r>
      <w:r w:rsidR="000559F5">
        <w:t xml:space="preserve">situational </w:t>
      </w:r>
      <w:r w:rsidR="00D86DC9">
        <w:t xml:space="preserve">analysis </w:t>
      </w:r>
      <w:r w:rsidR="00B12C1D">
        <w:t xml:space="preserve">questionnaire template </w:t>
      </w:r>
      <w:r w:rsidR="00D86DC9">
        <w:t>c</w:t>
      </w:r>
      <w:r w:rsidR="00331A0C">
        <w:t xml:space="preserve">onsider </w:t>
      </w:r>
      <w:r w:rsidR="001F08FA">
        <w:t>whether</w:t>
      </w:r>
      <w:r w:rsidR="003803BD">
        <w:t xml:space="preserve"> other indicators </w:t>
      </w:r>
      <w:r w:rsidR="00331A0C">
        <w:t xml:space="preserve">may be necessary </w:t>
      </w:r>
      <w:r w:rsidR="00766C6E">
        <w:t>to demonstrate a shift in mindset</w:t>
      </w:r>
      <w:r w:rsidR="00BE3EA9">
        <w:t xml:space="preserve">. These should be added to the Framework </w:t>
      </w:r>
      <w:r w:rsidR="00345303">
        <w:t xml:space="preserve">(below) </w:t>
      </w:r>
      <w:r w:rsidR="00BE3EA9">
        <w:t>in addition to the core issues</w:t>
      </w:r>
      <w:r w:rsidR="00345303">
        <w:t xml:space="preserve"> and </w:t>
      </w:r>
      <w:r w:rsidR="00216EC0">
        <w:t>bench</w:t>
      </w:r>
      <w:r w:rsidR="00345303">
        <w:t xml:space="preserve">marked </w:t>
      </w:r>
      <w:r w:rsidR="00216EC0">
        <w:t>in the same way</w:t>
      </w:r>
      <w:r w:rsidR="00097F85">
        <w:t>.</w:t>
      </w:r>
    </w:p>
    <w:p w14:paraId="0F3D70D2" w14:textId="2919A1F5" w:rsidR="003803BD" w:rsidRDefault="00430A65" w:rsidP="003803BD">
      <w:pPr>
        <w:pStyle w:val="ListParagraph"/>
        <w:numPr>
          <w:ilvl w:val="0"/>
          <w:numId w:val="4"/>
        </w:numPr>
      </w:pPr>
      <w:r>
        <w:t xml:space="preserve">Finally, </w:t>
      </w:r>
      <w:r w:rsidR="00723B90">
        <w:t>prioritise</w:t>
      </w:r>
      <w:r>
        <w:t xml:space="preserve"> the indicators in importance with regards to </w:t>
      </w:r>
      <w:r w:rsidR="008E13FF">
        <w:t>the desired behaviour change</w:t>
      </w:r>
      <w:r w:rsidR="00723B90">
        <w:t xml:space="preserve"> identified in the situational analysis questionnaire.</w:t>
      </w:r>
      <w:r>
        <w:t xml:space="preserve"> </w:t>
      </w:r>
      <w:r w:rsidR="00982E6B">
        <w:t xml:space="preserve">For example some may require </w:t>
      </w:r>
      <w:r w:rsidR="00FA26C8">
        <w:t>less</w:t>
      </w:r>
      <w:r w:rsidR="00982E6B">
        <w:t xml:space="preserve"> work than others</w:t>
      </w:r>
      <w:r w:rsidR="00FA26C8">
        <w:t xml:space="preserve"> (‘quick wins’), and some may have more impact than others</w:t>
      </w:r>
      <w:r w:rsidR="00A232D7">
        <w:t>.</w:t>
      </w:r>
    </w:p>
    <w:p w14:paraId="1A7AFE74" w14:textId="6D6CFAE8" w:rsidR="006B0E4C" w:rsidRDefault="006B0E4C" w:rsidP="003803BD">
      <w:pPr>
        <w:pStyle w:val="ListParagraph"/>
        <w:numPr>
          <w:ilvl w:val="0"/>
          <w:numId w:val="4"/>
        </w:numPr>
      </w:pPr>
      <w:r>
        <w:t xml:space="preserve">Once the Mindset </w:t>
      </w:r>
      <w:r w:rsidR="004108AA">
        <w:t>I</w:t>
      </w:r>
      <w:r>
        <w:t xml:space="preserve">ndicator </w:t>
      </w:r>
      <w:r w:rsidR="004108AA">
        <w:t>Matrix has been completed, complete the separate accompanying situational analysis questionnaire template.</w:t>
      </w:r>
    </w:p>
    <w:p w14:paraId="2613EF6F" w14:textId="3D1E9F6D" w:rsidR="00772CEB" w:rsidRDefault="00697C52" w:rsidP="00772CEB">
      <w:pPr>
        <w:pStyle w:val="ListParagraph"/>
      </w:pPr>
      <w:r>
        <w:rPr>
          <w:noProof/>
        </w:rPr>
        <w:drawing>
          <wp:anchor distT="0" distB="0" distL="114300" distR="114300" simplePos="0" relativeHeight="251658240" behindDoc="0" locked="0" layoutInCell="1" allowOverlap="1" wp14:anchorId="77853537" wp14:editId="3E0AAEC1">
            <wp:simplePos x="0" y="0"/>
            <wp:positionH relativeFrom="column">
              <wp:posOffset>226024</wp:posOffset>
            </wp:positionH>
            <wp:positionV relativeFrom="paragraph">
              <wp:posOffset>74295</wp:posOffset>
            </wp:positionV>
            <wp:extent cx="5079706" cy="2686050"/>
            <wp:effectExtent l="0" t="0" r="6985" b="0"/>
            <wp:wrapNone/>
            <wp:docPr id="55778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8193"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9706" cy="2686050"/>
                    </a:xfrm>
                    <a:prstGeom prst="rect">
                      <a:avLst/>
                    </a:prstGeom>
                    <a:noFill/>
                  </pic:spPr>
                </pic:pic>
              </a:graphicData>
            </a:graphic>
            <wp14:sizeRelH relativeFrom="page">
              <wp14:pctWidth>0</wp14:pctWidth>
            </wp14:sizeRelH>
            <wp14:sizeRelV relativeFrom="page">
              <wp14:pctHeight>0</wp14:pctHeight>
            </wp14:sizeRelV>
          </wp:anchor>
        </w:drawing>
      </w:r>
    </w:p>
    <w:p w14:paraId="42EEDF92" w14:textId="77777777" w:rsidR="00772CEB" w:rsidRDefault="00772CEB" w:rsidP="00772CEB">
      <w:pPr>
        <w:pStyle w:val="ListParagraph"/>
      </w:pPr>
    </w:p>
    <w:p w14:paraId="667B9F36" w14:textId="77777777" w:rsidR="00772CEB" w:rsidRDefault="00772CEB" w:rsidP="00772CEB">
      <w:pPr>
        <w:pStyle w:val="ListParagraph"/>
      </w:pPr>
    </w:p>
    <w:tbl>
      <w:tblPr>
        <w:tblStyle w:val="GridTable5Dark-Accent1"/>
        <w:tblpPr w:leftFromText="180" w:rightFromText="180" w:vertAnchor="text" w:horzAnchor="page" w:tblpX="10321" w:tblpY="-76"/>
        <w:tblW w:w="6010" w:type="dxa"/>
        <w:tblLook w:val="04A0" w:firstRow="1" w:lastRow="0" w:firstColumn="1" w:lastColumn="0" w:noHBand="0" w:noVBand="1"/>
      </w:tblPr>
      <w:tblGrid>
        <w:gridCol w:w="1502"/>
        <w:gridCol w:w="1502"/>
        <w:gridCol w:w="1503"/>
        <w:gridCol w:w="1503"/>
      </w:tblGrid>
      <w:tr w:rsidR="00772CEB" w14:paraId="0573C70B" w14:textId="77777777" w:rsidTr="00772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054743EC" w14:textId="77777777" w:rsidR="00772CEB" w:rsidRDefault="00772CEB" w:rsidP="00772CEB">
            <w:r>
              <w:t>Indicator</w:t>
            </w:r>
          </w:p>
        </w:tc>
        <w:tc>
          <w:tcPr>
            <w:tcW w:w="1502" w:type="dxa"/>
          </w:tcPr>
          <w:p w14:paraId="1A056058" w14:textId="77777777" w:rsidR="00772CEB" w:rsidRDefault="00772CEB" w:rsidP="00772CEB">
            <w:pPr>
              <w:cnfStyle w:val="100000000000" w:firstRow="1" w:lastRow="0" w:firstColumn="0" w:lastColumn="0" w:oddVBand="0" w:evenVBand="0" w:oddHBand="0" w:evenHBand="0" w:firstRowFirstColumn="0" w:firstRowLastColumn="0" w:lastRowFirstColumn="0" w:lastRowLastColumn="0"/>
            </w:pPr>
            <w:r>
              <w:t>Current</w:t>
            </w:r>
          </w:p>
          <w:p w14:paraId="5B4DDEDE" w14:textId="77777777" w:rsidR="00772CEB" w:rsidRDefault="00772CEB" w:rsidP="00772CEB">
            <w:pPr>
              <w:cnfStyle w:val="100000000000" w:firstRow="1" w:lastRow="0" w:firstColumn="0" w:lastColumn="0" w:oddVBand="0" w:evenVBand="0" w:oddHBand="0" w:evenHBand="0" w:firstRowFirstColumn="0" w:firstRowLastColumn="0" w:lastRowFirstColumn="0" w:lastRowLastColumn="0"/>
            </w:pPr>
            <w:r>
              <w:t xml:space="preserve">Level </w:t>
            </w:r>
          </w:p>
        </w:tc>
        <w:tc>
          <w:tcPr>
            <w:tcW w:w="1503" w:type="dxa"/>
          </w:tcPr>
          <w:p w14:paraId="556BCEC0" w14:textId="77777777" w:rsidR="00772CEB" w:rsidRDefault="00772CEB" w:rsidP="00772CEB">
            <w:pPr>
              <w:cnfStyle w:val="100000000000" w:firstRow="1" w:lastRow="0" w:firstColumn="0" w:lastColumn="0" w:oddVBand="0" w:evenVBand="0" w:oddHBand="0" w:evenHBand="0" w:firstRowFirstColumn="0" w:firstRowLastColumn="0" w:lastRowFirstColumn="0" w:lastRowLastColumn="0"/>
            </w:pPr>
            <w:r>
              <w:t>CM project ambition Level</w:t>
            </w:r>
          </w:p>
        </w:tc>
        <w:tc>
          <w:tcPr>
            <w:tcW w:w="1503" w:type="dxa"/>
          </w:tcPr>
          <w:p w14:paraId="23E78F5E" w14:textId="77777777" w:rsidR="00772CEB" w:rsidRDefault="00772CEB" w:rsidP="00772CEB">
            <w:pPr>
              <w:cnfStyle w:val="100000000000" w:firstRow="1" w:lastRow="0" w:firstColumn="0" w:lastColumn="0" w:oddVBand="0" w:evenVBand="0" w:oddHBand="0" w:evenHBand="0" w:firstRowFirstColumn="0" w:firstRowLastColumn="0" w:lastRowFirstColumn="0" w:lastRowLastColumn="0"/>
            </w:pPr>
            <w:r>
              <w:t xml:space="preserve">Final ambition Level </w:t>
            </w:r>
          </w:p>
        </w:tc>
      </w:tr>
      <w:tr w:rsidR="00772CEB" w14:paraId="0C4D6921" w14:textId="77777777" w:rsidTr="00772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45A7A5D2" w14:textId="77777777" w:rsidR="00772CEB" w:rsidRDefault="00772CEB" w:rsidP="00772CEB">
            <w:r>
              <w:t>M1</w:t>
            </w:r>
          </w:p>
        </w:tc>
        <w:tc>
          <w:tcPr>
            <w:tcW w:w="1502" w:type="dxa"/>
          </w:tcPr>
          <w:p w14:paraId="4B91454D" w14:textId="77777777" w:rsidR="00772CEB" w:rsidRDefault="00772CEB" w:rsidP="00772CEB">
            <w:pPr>
              <w:cnfStyle w:val="000000100000" w:firstRow="0" w:lastRow="0" w:firstColumn="0" w:lastColumn="0" w:oddVBand="0" w:evenVBand="0" w:oddHBand="1" w:evenHBand="0" w:firstRowFirstColumn="0" w:firstRowLastColumn="0" w:lastRowFirstColumn="0" w:lastRowLastColumn="0"/>
            </w:pPr>
          </w:p>
        </w:tc>
        <w:tc>
          <w:tcPr>
            <w:tcW w:w="1503" w:type="dxa"/>
          </w:tcPr>
          <w:p w14:paraId="1F1C76E9" w14:textId="77777777" w:rsidR="00772CEB" w:rsidRDefault="00772CEB" w:rsidP="00772CEB">
            <w:pPr>
              <w:cnfStyle w:val="000000100000" w:firstRow="0" w:lastRow="0" w:firstColumn="0" w:lastColumn="0" w:oddVBand="0" w:evenVBand="0" w:oddHBand="1" w:evenHBand="0" w:firstRowFirstColumn="0" w:firstRowLastColumn="0" w:lastRowFirstColumn="0" w:lastRowLastColumn="0"/>
            </w:pPr>
          </w:p>
        </w:tc>
        <w:tc>
          <w:tcPr>
            <w:tcW w:w="1503" w:type="dxa"/>
          </w:tcPr>
          <w:p w14:paraId="220A9D9E" w14:textId="77777777" w:rsidR="00772CEB" w:rsidRDefault="00772CEB" w:rsidP="00772CEB">
            <w:pPr>
              <w:cnfStyle w:val="000000100000" w:firstRow="0" w:lastRow="0" w:firstColumn="0" w:lastColumn="0" w:oddVBand="0" w:evenVBand="0" w:oddHBand="1" w:evenHBand="0" w:firstRowFirstColumn="0" w:firstRowLastColumn="0" w:lastRowFirstColumn="0" w:lastRowLastColumn="0"/>
            </w:pPr>
          </w:p>
        </w:tc>
      </w:tr>
      <w:tr w:rsidR="00772CEB" w14:paraId="1D08DC51" w14:textId="77777777" w:rsidTr="00772CEB">
        <w:tc>
          <w:tcPr>
            <w:cnfStyle w:val="001000000000" w:firstRow="0" w:lastRow="0" w:firstColumn="1" w:lastColumn="0" w:oddVBand="0" w:evenVBand="0" w:oddHBand="0" w:evenHBand="0" w:firstRowFirstColumn="0" w:firstRowLastColumn="0" w:lastRowFirstColumn="0" w:lastRowLastColumn="0"/>
            <w:tcW w:w="1502" w:type="dxa"/>
          </w:tcPr>
          <w:p w14:paraId="10C6C958" w14:textId="77777777" w:rsidR="00772CEB" w:rsidRDefault="00772CEB" w:rsidP="00772CEB">
            <w:r>
              <w:t>M2</w:t>
            </w:r>
          </w:p>
        </w:tc>
        <w:tc>
          <w:tcPr>
            <w:tcW w:w="1502" w:type="dxa"/>
          </w:tcPr>
          <w:p w14:paraId="3526EAD8" w14:textId="77777777" w:rsidR="00772CEB" w:rsidRDefault="00772CEB" w:rsidP="00772CEB">
            <w:pPr>
              <w:cnfStyle w:val="000000000000" w:firstRow="0" w:lastRow="0" w:firstColumn="0" w:lastColumn="0" w:oddVBand="0" w:evenVBand="0" w:oddHBand="0" w:evenHBand="0" w:firstRowFirstColumn="0" w:firstRowLastColumn="0" w:lastRowFirstColumn="0" w:lastRowLastColumn="0"/>
            </w:pPr>
          </w:p>
        </w:tc>
        <w:tc>
          <w:tcPr>
            <w:tcW w:w="1503" w:type="dxa"/>
          </w:tcPr>
          <w:p w14:paraId="310C2AF3" w14:textId="77777777" w:rsidR="00772CEB" w:rsidRDefault="00772CEB" w:rsidP="00772CEB">
            <w:pPr>
              <w:cnfStyle w:val="000000000000" w:firstRow="0" w:lastRow="0" w:firstColumn="0" w:lastColumn="0" w:oddVBand="0" w:evenVBand="0" w:oddHBand="0" w:evenHBand="0" w:firstRowFirstColumn="0" w:firstRowLastColumn="0" w:lastRowFirstColumn="0" w:lastRowLastColumn="0"/>
            </w:pPr>
          </w:p>
        </w:tc>
        <w:tc>
          <w:tcPr>
            <w:tcW w:w="1503" w:type="dxa"/>
          </w:tcPr>
          <w:p w14:paraId="3AD874E2" w14:textId="77777777" w:rsidR="00772CEB" w:rsidRDefault="00772CEB" w:rsidP="00772CEB">
            <w:pPr>
              <w:cnfStyle w:val="000000000000" w:firstRow="0" w:lastRow="0" w:firstColumn="0" w:lastColumn="0" w:oddVBand="0" w:evenVBand="0" w:oddHBand="0" w:evenHBand="0" w:firstRowFirstColumn="0" w:firstRowLastColumn="0" w:lastRowFirstColumn="0" w:lastRowLastColumn="0"/>
            </w:pPr>
          </w:p>
        </w:tc>
      </w:tr>
      <w:tr w:rsidR="00772CEB" w14:paraId="356EB195" w14:textId="77777777" w:rsidTr="00772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77F8DD93" w14:textId="77777777" w:rsidR="00772CEB" w:rsidRDefault="00772CEB" w:rsidP="00772CEB">
            <w:r>
              <w:t>M3</w:t>
            </w:r>
          </w:p>
        </w:tc>
        <w:tc>
          <w:tcPr>
            <w:tcW w:w="1502" w:type="dxa"/>
          </w:tcPr>
          <w:p w14:paraId="21593B8D" w14:textId="77777777" w:rsidR="00772CEB" w:rsidRDefault="00772CEB" w:rsidP="00772CEB">
            <w:pPr>
              <w:cnfStyle w:val="000000100000" w:firstRow="0" w:lastRow="0" w:firstColumn="0" w:lastColumn="0" w:oddVBand="0" w:evenVBand="0" w:oddHBand="1" w:evenHBand="0" w:firstRowFirstColumn="0" w:firstRowLastColumn="0" w:lastRowFirstColumn="0" w:lastRowLastColumn="0"/>
            </w:pPr>
          </w:p>
        </w:tc>
        <w:tc>
          <w:tcPr>
            <w:tcW w:w="1503" w:type="dxa"/>
          </w:tcPr>
          <w:p w14:paraId="774E6078" w14:textId="77777777" w:rsidR="00772CEB" w:rsidRDefault="00772CEB" w:rsidP="00772CEB">
            <w:pPr>
              <w:cnfStyle w:val="000000100000" w:firstRow="0" w:lastRow="0" w:firstColumn="0" w:lastColumn="0" w:oddVBand="0" w:evenVBand="0" w:oddHBand="1" w:evenHBand="0" w:firstRowFirstColumn="0" w:firstRowLastColumn="0" w:lastRowFirstColumn="0" w:lastRowLastColumn="0"/>
            </w:pPr>
          </w:p>
        </w:tc>
        <w:tc>
          <w:tcPr>
            <w:tcW w:w="1503" w:type="dxa"/>
          </w:tcPr>
          <w:p w14:paraId="14D7CA0B" w14:textId="77777777" w:rsidR="00772CEB" w:rsidRDefault="00772CEB" w:rsidP="00772CEB">
            <w:pPr>
              <w:cnfStyle w:val="000000100000" w:firstRow="0" w:lastRow="0" w:firstColumn="0" w:lastColumn="0" w:oddVBand="0" w:evenVBand="0" w:oddHBand="1" w:evenHBand="0" w:firstRowFirstColumn="0" w:firstRowLastColumn="0" w:lastRowFirstColumn="0" w:lastRowLastColumn="0"/>
            </w:pPr>
          </w:p>
        </w:tc>
      </w:tr>
      <w:tr w:rsidR="00772CEB" w14:paraId="65564A43" w14:textId="77777777" w:rsidTr="00772CEB">
        <w:tc>
          <w:tcPr>
            <w:cnfStyle w:val="001000000000" w:firstRow="0" w:lastRow="0" w:firstColumn="1" w:lastColumn="0" w:oddVBand="0" w:evenVBand="0" w:oddHBand="0" w:evenHBand="0" w:firstRowFirstColumn="0" w:firstRowLastColumn="0" w:lastRowFirstColumn="0" w:lastRowLastColumn="0"/>
            <w:tcW w:w="1502" w:type="dxa"/>
          </w:tcPr>
          <w:p w14:paraId="729F73B2" w14:textId="77777777" w:rsidR="00772CEB" w:rsidRDefault="00772CEB" w:rsidP="00772CEB">
            <w:r>
              <w:t>C1</w:t>
            </w:r>
          </w:p>
        </w:tc>
        <w:tc>
          <w:tcPr>
            <w:tcW w:w="1502" w:type="dxa"/>
          </w:tcPr>
          <w:p w14:paraId="6A267A4F" w14:textId="77777777" w:rsidR="00772CEB" w:rsidRDefault="00772CEB" w:rsidP="00772CEB">
            <w:pPr>
              <w:cnfStyle w:val="000000000000" w:firstRow="0" w:lastRow="0" w:firstColumn="0" w:lastColumn="0" w:oddVBand="0" w:evenVBand="0" w:oddHBand="0" w:evenHBand="0" w:firstRowFirstColumn="0" w:firstRowLastColumn="0" w:lastRowFirstColumn="0" w:lastRowLastColumn="0"/>
            </w:pPr>
          </w:p>
        </w:tc>
        <w:tc>
          <w:tcPr>
            <w:tcW w:w="1503" w:type="dxa"/>
          </w:tcPr>
          <w:p w14:paraId="612F1245" w14:textId="77777777" w:rsidR="00772CEB" w:rsidRDefault="00772CEB" w:rsidP="00772CEB">
            <w:pPr>
              <w:cnfStyle w:val="000000000000" w:firstRow="0" w:lastRow="0" w:firstColumn="0" w:lastColumn="0" w:oddVBand="0" w:evenVBand="0" w:oddHBand="0" w:evenHBand="0" w:firstRowFirstColumn="0" w:firstRowLastColumn="0" w:lastRowFirstColumn="0" w:lastRowLastColumn="0"/>
            </w:pPr>
          </w:p>
        </w:tc>
        <w:tc>
          <w:tcPr>
            <w:tcW w:w="1503" w:type="dxa"/>
          </w:tcPr>
          <w:p w14:paraId="65DCDEA5" w14:textId="77777777" w:rsidR="00772CEB" w:rsidRDefault="00772CEB" w:rsidP="00772CEB">
            <w:pPr>
              <w:cnfStyle w:val="000000000000" w:firstRow="0" w:lastRow="0" w:firstColumn="0" w:lastColumn="0" w:oddVBand="0" w:evenVBand="0" w:oddHBand="0" w:evenHBand="0" w:firstRowFirstColumn="0" w:firstRowLastColumn="0" w:lastRowFirstColumn="0" w:lastRowLastColumn="0"/>
            </w:pPr>
          </w:p>
        </w:tc>
      </w:tr>
      <w:tr w:rsidR="00772CEB" w14:paraId="466FD294" w14:textId="77777777" w:rsidTr="00772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3A6BE2E1" w14:textId="77777777" w:rsidR="00772CEB" w:rsidRDefault="00772CEB" w:rsidP="00772CEB">
            <w:r>
              <w:t>C2</w:t>
            </w:r>
          </w:p>
        </w:tc>
        <w:tc>
          <w:tcPr>
            <w:tcW w:w="1502" w:type="dxa"/>
          </w:tcPr>
          <w:p w14:paraId="57EB92DA" w14:textId="77777777" w:rsidR="00772CEB" w:rsidRDefault="00772CEB" w:rsidP="00772CEB">
            <w:pPr>
              <w:cnfStyle w:val="000000100000" w:firstRow="0" w:lastRow="0" w:firstColumn="0" w:lastColumn="0" w:oddVBand="0" w:evenVBand="0" w:oddHBand="1" w:evenHBand="0" w:firstRowFirstColumn="0" w:firstRowLastColumn="0" w:lastRowFirstColumn="0" w:lastRowLastColumn="0"/>
            </w:pPr>
          </w:p>
        </w:tc>
        <w:tc>
          <w:tcPr>
            <w:tcW w:w="1503" w:type="dxa"/>
          </w:tcPr>
          <w:p w14:paraId="036D891E" w14:textId="77777777" w:rsidR="00772CEB" w:rsidRDefault="00772CEB" w:rsidP="00772CEB">
            <w:pPr>
              <w:cnfStyle w:val="000000100000" w:firstRow="0" w:lastRow="0" w:firstColumn="0" w:lastColumn="0" w:oddVBand="0" w:evenVBand="0" w:oddHBand="1" w:evenHBand="0" w:firstRowFirstColumn="0" w:firstRowLastColumn="0" w:lastRowFirstColumn="0" w:lastRowLastColumn="0"/>
            </w:pPr>
          </w:p>
        </w:tc>
        <w:tc>
          <w:tcPr>
            <w:tcW w:w="1503" w:type="dxa"/>
          </w:tcPr>
          <w:p w14:paraId="1C320829" w14:textId="77777777" w:rsidR="00772CEB" w:rsidRDefault="00772CEB" w:rsidP="00772CEB">
            <w:pPr>
              <w:cnfStyle w:val="000000100000" w:firstRow="0" w:lastRow="0" w:firstColumn="0" w:lastColumn="0" w:oddVBand="0" w:evenVBand="0" w:oddHBand="1" w:evenHBand="0" w:firstRowFirstColumn="0" w:firstRowLastColumn="0" w:lastRowFirstColumn="0" w:lastRowLastColumn="0"/>
            </w:pPr>
          </w:p>
        </w:tc>
      </w:tr>
      <w:tr w:rsidR="00772CEB" w14:paraId="3CBA5338" w14:textId="77777777" w:rsidTr="00772CEB">
        <w:tc>
          <w:tcPr>
            <w:cnfStyle w:val="001000000000" w:firstRow="0" w:lastRow="0" w:firstColumn="1" w:lastColumn="0" w:oddVBand="0" w:evenVBand="0" w:oddHBand="0" w:evenHBand="0" w:firstRowFirstColumn="0" w:firstRowLastColumn="0" w:lastRowFirstColumn="0" w:lastRowLastColumn="0"/>
            <w:tcW w:w="1502" w:type="dxa"/>
          </w:tcPr>
          <w:p w14:paraId="4AEE4EC2" w14:textId="77777777" w:rsidR="00772CEB" w:rsidRDefault="00772CEB" w:rsidP="00772CEB">
            <w:r>
              <w:t>O1</w:t>
            </w:r>
          </w:p>
        </w:tc>
        <w:tc>
          <w:tcPr>
            <w:tcW w:w="1502" w:type="dxa"/>
          </w:tcPr>
          <w:p w14:paraId="33503DE5" w14:textId="77777777" w:rsidR="00772CEB" w:rsidRDefault="00772CEB" w:rsidP="00772CEB">
            <w:pPr>
              <w:cnfStyle w:val="000000000000" w:firstRow="0" w:lastRow="0" w:firstColumn="0" w:lastColumn="0" w:oddVBand="0" w:evenVBand="0" w:oddHBand="0" w:evenHBand="0" w:firstRowFirstColumn="0" w:firstRowLastColumn="0" w:lastRowFirstColumn="0" w:lastRowLastColumn="0"/>
            </w:pPr>
          </w:p>
        </w:tc>
        <w:tc>
          <w:tcPr>
            <w:tcW w:w="1503" w:type="dxa"/>
          </w:tcPr>
          <w:p w14:paraId="286356BB" w14:textId="77777777" w:rsidR="00772CEB" w:rsidRDefault="00772CEB" w:rsidP="00772CEB">
            <w:pPr>
              <w:cnfStyle w:val="000000000000" w:firstRow="0" w:lastRow="0" w:firstColumn="0" w:lastColumn="0" w:oddVBand="0" w:evenVBand="0" w:oddHBand="0" w:evenHBand="0" w:firstRowFirstColumn="0" w:firstRowLastColumn="0" w:lastRowFirstColumn="0" w:lastRowLastColumn="0"/>
            </w:pPr>
          </w:p>
        </w:tc>
        <w:tc>
          <w:tcPr>
            <w:tcW w:w="1503" w:type="dxa"/>
          </w:tcPr>
          <w:p w14:paraId="060303ED" w14:textId="77777777" w:rsidR="00772CEB" w:rsidRDefault="00772CEB" w:rsidP="00772CEB">
            <w:pPr>
              <w:cnfStyle w:val="000000000000" w:firstRow="0" w:lastRow="0" w:firstColumn="0" w:lastColumn="0" w:oddVBand="0" w:evenVBand="0" w:oddHBand="0" w:evenHBand="0" w:firstRowFirstColumn="0" w:firstRowLastColumn="0" w:lastRowFirstColumn="0" w:lastRowLastColumn="0"/>
            </w:pPr>
          </w:p>
        </w:tc>
      </w:tr>
      <w:tr w:rsidR="00772CEB" w14:paraId="2B38DB4C" w14:textId="77777777" w:rsidTr="00772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5317670E" w14:textId="77777777" w:rsidR="00772CEB" w:rsidRDefault="00772CEB" w:rsidP="00772CEB">
            <w:r>
              <w:t>O2</w:t>
            </w:r>
          </w:p>
        </w:tc>
        <w:tc>
          <w:tcPr>
            <w:tcW w:w="1502" w:type="dxa"/>
          </w:tcPr>
          <w:p w14:paraId="43D96A83" w14:textId="77777777" w:rsidR="00772CEB" w:rsidRDefault="00772CEB" w:rsidP="00772CEB">
            <w:pPr>
              <w:cnfStyle w:val="000000100000" w:firstRow="0" w:lastRow="0" w:firstColumn="0" w:lastColumn="0" w:oddVBand="0" w:evenVBand="0" w:oddHBand="1" w:evenHBand="0" w:firstRowFirstColumn="0" w:firstRowLastColumn="0" w:lastRowFirstColumn="0" w:lastRowLastColumn="0"/>
            </w:pPr>
          </w:p>
        </w:tc>
        <w:tc>
          <w:tcPr>
            <w:tcW w:w="1503" w:type="dxa"/>
          </w:tcPr>
          <w:p w14:paraId="06D8090C" w14:textId="77777777" w:rsidR="00772CEB" w:rsidRDefault="00772CEB" w:rsidP="00772CEB">
            <w:pPr>
              <w:cnfStyle w:val="000000100000" w:firstRow="0" w:lastRow="0" w:firstColumn="0" w:lastColumn="0" w:oddVBand="0" w:evenVBand="0" w:oddHBand="1" w:evenHBand="0" w:firstRowFirstColumn="0" w:firstRowLastColumn="0" w:lastRowFirstColumn="0" w:lastRowLastColumn="0"/>
            </w:pPr>
          </w:p>
        </w:tc>
        <w:tc>
          <w:tcPr>
            <w:tcW w:w="1503" w:type="dxa"/>
          </w:tcPr>
          <w:p w14:paraId="28DFC297" w14:textId="77777777" w:rsidR="00772CEB" w:rsidRDefault="00772CEB" w:rsidP="00772CEB">
            <w:pPr>
              <w:cnfStyle w:val="000000100000" w:firstRow="0" w:lastRow="0" w:firstColumn="0" w:lastColumn="0" w:oddVBand="0" w:evenVBand="0" w:oddHBand="1" w:evenHBand="0" w:firstRowFirstColumn="0" w:firstRowLastColumn="0" w:lastRowFirstColumn="0" w:lastRowLastColumn="0"/>
            </w:pPr>
          </w:p>
        </w:tc>
      </w:tr>
    </w:tbl>
    <w:p w14:paraId="6D87B4EB" w14:textId="77777777" w:rsidR="00772CEB" w:rsidRDefault="00772CEB" w:rsidP="00772CEB">
      <w:pPr>
        <w:pStyle w:val="ListParagraph"/>
      </w:pPr>
    </w:p>
    <w:p w14:paraId="1DA61A92" w14:textId="77777777" w:rsidR="00772CEB" w:rsidRDefault="00772CEB" w:rsidP="00772CEB">
      <w:pPr>
        <w:pStyle w:val="ListParagraph"/>
      </w:pPr>
    </w:p>
    <w:p w14:paraId="69475079" w14:textId="77777777" w:rsidR="00772CEB" w:rsidRDefault="00772CEB" w:rsidP="00772CEB">
      <w:pPr>
        <w:pStyle w:val="ListParagraph"/>
      </w:pPr>
    </w:p>
    <w:p w14:paraId="121A907A" w14:textId="77777777" w:rsidR="00772CEB" w:rsidRDefault="00772CEB" w:rsidP="00772CEB">
      <w:pPr>
        <w:pStyle w:val="ListParagraph"/>
      </w:pPr>
    </w:p>
    <w:p w14:paraId="53049555" w14:textId="77777777" w:rsidR="00772CEB" w:rsidRDefault="00772CEB" w:rsidP="00772CEB">
      <w:pPr>
        <w:pStyle w:val="ListParagraph"/>
      </w:pPr>
    </w:p>
    <w:p w14:paraId="7A43ABAB" w14:textId="77777777" w:rsidR="00772CEB" w:rsidRDefault="00772CEB" w:rsidP="00772CEB">
      <w:pPr>
        <w:pStyle w:val="ListParagraph"/>
      </w:pPr>
    </w:p>
    <w:p w14:paraId="3DC01F36" w14:textId="77777777" w:rsidR="00772CEB" w:rsidRDefault="00772CEB" w:rsidP="00772CEB">
      <w:pPr>
        <w:pStyle w:val="ListParagraph"/>
      </w:pPr>
    </w:p>
    <w:p w14:paraId="2F863F7E" w14:textId="593212C4" w:rsidR="001F08FA" w:rsidRDefault="001F08FA" w:rsidP="003803BD"/>
    <w:p w14:paraId="1992C9AB" w14:textId="77777777" w:rsidR="00134FDD" w:rsidRDefault="00134FDD" w:rsidP="003803BD"/>
    <w:p w14:paraId="55C3DDB2" w14:textId="77777777" w:rsidR="00134FDD" w:rsidRDefault="00134FDD" w:rsidP="003803BD"/>
    <w:p w14:paraId="425B0750" w14:textId="75E02755" w:rsidR="00772CEB" w:rsidRPr="00DA1702" w:rsidRDefault="00772CEB" w:rsidP="003803BD">
      <w:pPr>
        <w:rPr>
          <w:rFonts w:ascii="Aptos" w:eastAsia="Aptos" w:hAnsi="Aptos" w:cs="Times New Roman"/>
        </w:rPr>
        <w:sectPr w:rsidR="00772CEB" w:rsidRPr="00DA1702" w:rsidSect="00772CEB">
          <w:headerReference w:type="default" r:id="rId12"/>
          <w:pgSz w:w="16838" w:h="11906" w:orient="landscape"/>
          <w:pgMar w:top="993" w:right="1440" w:bottom="709" w:left="1440" w:header="708" w:footer="219" w:gutter="0"/>
          <w:cols w:space="708"/>
          <w:docGrid w:linePitch="360"/>
        </w:sectPr>
      </w:pPr>
      <w:r w:rsidRPr="00FC37DD">
        <w:rPr>
          <w:rFonts w:ascii="Aptos" w:eastAsia="Aptos" w:hAnsi="Aptos" w:cs="Times New Roman"/>
          <w:i/>
          <w:iCs/>
        </w:rPr>
        <w:t xml:space="preserve">Figure </w:t>
      </w:r>
      <w:r w:rsidR="00FE52B1">
        <w:rPr>
          <w:rFonts w:ascii="Aptos" w:eastAsia="Aptos" w:hAnsi="Aptos" w:cs="Times New Roman"/>
          <w:i/>
          <w:iCs/>
        </w:rPr>
        <w:t>2a</w:t>
      </w:r>
      <w:r w:rsidRPr="00FC37DD">
        <w:rPr>
          <w:rFonts w:ascii="Aptos" w:eastAsia="Aptos" w:hAnsi="Aptos" w:cs="Times New Roman"/>
        </w:rPr>
        <w:t xml:space="preserve"> </w:t>
      </w:r>
      <w:r w:rsidR="00FE52B1">
        <w:rPr>
          <w:rFonts w:ascii="Aptos" w:eastAsia="Aptos" w:hAnsi="Aptos" w:cs="Times New Roman"/>
        </w:rPr>
        <w:t xml:space="preserve">Example of </w:t>
      </w:r>
      <w:r w:rsidR="005067A3">
        <w:rPr>
          <w:rFonts w:ascii="Aptos" w:eastAsia="Aptos" w:hAnsi="Aptos" w:cs="Times New Roman"/>
        </w:rPr>
        <w:t xml:space="preserve">completed </w:t>
      </w:r>
      <w:r w:rsidR="00FE52B1">
        <w:rPr>
          <w:rFonts w:ascii="Aptos" w:eastAsia="Aptos" w:hAnsi="Aptos" w:cs="Times New Roman"/>
        </w:rPr>
        <w:t xml:space="preserve">Mindset Indicators </w:t>
      </w:r>
      <w:r w:rsidR="005067A3">
        <w:rPr>
          <w:rFonts w:ascii="Aptos" w:eastAsia="Aptos" w:hAnsi="Aptos" w:cs="Times New Roman"/>
        </w:rPr>
        <w:t>Matrix</w:t>
      </w:r>
      <w:r w:rsidR="00DA1702">
        <w:rPr>
          <w:rFonts w:ascii="Aptos" w:eastAsia="Aptos" w:hAnsi="Aptos" w:cs="Times New Roman"/>
        </w:rPr>
        <w:tab/>
      </w:r>
      <w:r w:rsidR="00DA1702">
        <w:rPr>
          <w:rFonts w:ascii="Aptos" w:eastAsia="Aptos" w:hAnsi="Aptos" w:cs="Times New Roman"/>
        </w:rPr>
        <w:tab/>
      </w:r>
      <w:r w:rsidR="00DA1702">
        <w:rPr>
          <w:rFonts w:ascii="Aptos" w:eastAsia="Aptos" w:hAnsi="Aptos" w:cs="Times New Roman"/>
        </w:rPr>
        <w:tab/>
      </w:r>
      <w:r w:rsidR="00DA1702">
        <w:rPr>
          <w:rFonts w:ascii="Aptos" w:eastAsia="Aptos" w:hAnsi="Aptos" w:cs="Times New Roman"/>
        </w:rPr>
        <w:tab/>
      </w:r>
      <w:r w:rsidR="00DA1702">
        <w:rPr>
          <w:rFonts w:ascii="Aptos" w:eastAsia="Aptos" w:hAnsi="Aptos" w:cs="Times New Roman"/>
        </w:rPr>
        <w:tab/>
      </w:r>
      <w:r w:rsidR="00DA1702" w:rsidRPr="00FC37DD">
        <w:rPr>
          <w:rFonts w:ascii="Aptos" w:eastAsia="Aptos" w:hAnsi="Aptos" w:cs="Times New Roman"/>
          <w:i/>
          <w:iCs/>
        </w:rPr>
        <w:t xml:space="preserve">Figure </w:t>
      </w:r>
      <w:r w:rsidR="00DA1702">
        <w:rPr>
          <w:rFonts w:ascii="Aptos" w:eastAsia="Aptos" w:hAnsi="Aptos" w:cs="Times New Roman"/>
          <w:i/>
          <w:iCs/>
        </w:rPr>
        <w:t>2</w:t>
      </w:r>
      <w:r w:rsidR="00DA1702">
        <w:rPr>
          <w:rFonts w:ascii="Aptos" w:eastAsia="Aptos" w:hAnsi="Aptos" w:cs="Times New Roman"/>
          <w:i/>
          <w:iCs/>
        </w:rPr>
        <w:t>b</w:t>
      </w:r>
      <w:r w:rsidR="00DA1702" w:rsidRPr="00FC37DD">
        <w:rPr>
          <w:rFonts w:ascii="Aptos" w:eastAsia="Aptos" w:hAnsi="Aptos" w:cs="Times New Roman"/>
        </w:rPr>
        <w:t xml:space="preserve"> </w:t>
      </w:r>
      <w:r w:rsidR="00DA1702">
        <w:rPr>
          <w:rFonts w:ascii="Aptos" w:eastAsia="Aptos" w:hAnsi="Aptos" w:cs="Times New Roman"/>
        </w:rPr>
        <w:t>Mindset Indicators Framework</w:t>
      </w:r>
      <w:r w:rsidR="00DA1702">
        <w:rPr>
          <w:rFonts w:ascii="Aptos" w:eastAsia="Aptos" w:hAnsi="Aptos" w:cs="Times New Roman"/>
        </w:rPr>
        <w:t xml:space="preserve"> score</w:t>
      </w:r>
    </w:p>
    <w:tbl>
      <w:tblPr>
        <w:tblStyle w:val="MediumShading2-Accent1"/>
        <w:tblpPr w:leftFromText="180" w:rightFromText="180" w:vertAnchor="text" w:horzAnchor="margin" w:tblpX="-46" w:tblpY="65"/>
        <w:tblW w:w="14769" w:type="dxa"/>
        <w:tblBorders>
          <w:top w:val="single" w:sz="18" w:space="0" w:color="BFBFBF" w:themeColor="background1" w:themeShade="BF"/>
          <w:left w:val="single" w:sz="18" w:space="0" w:color="D9D9D9" w:themeColor="background1" w:themeShade="D9"/>
          <w:bottom w:val="single" w:sz="18" w:space="0" w:color="D9D9D9" w:themeColor="background1" w:themeShade="D9"/>
          <w:right w:val="single" w:sz="18" w:space="0" w:color="D9D9D9" w:themeColor="background1" w:themeShade="D9"/>
        </w:tblBorders>
        <w:tblLook w:val="04A0" w:firstRow="1" w:lastRow="0" w:firstColumn="1" w:lastColumn="0" w:noHBand="0" w:noVBand="1"/>
      </w:tblPr>
      <w:tblGrid>
        <w:gridCol w:w="1773"/>
        <w:gridCol w:w="2032"/>
        <w:gridCol w:w="2551"/>
        <w:gridCol w:w="2599"/>
        <w:gridCol w:w="2953"/>
        <w:gridCol w:w="2861"/>
      </w:tblGrid>
      <w:tr w:rsidR="00742C92" w:rsidRPr="00FF3163" w14:paraId="39924703" w14:textId="77777777" w:rsidTr="004C25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73" w:type="dxa"/>
            <w:tcBorders>
              <w:top w:val="single" w:sz="18" w:space="0" w:color="D9D9D9" w:themeColor="background1" w:themeShade="D9"/>
              <w:left w:val="none" w:sz="0" w:space="0" w:color="auto"/>
              <w:bottom w:val="single" w:sz="18" w:space="0" w:color="D9D9D9" w:themeColor="background1" w:themeShade="D9"/>
              <w:right w:val="none" w:sz="0" w:space="0" w:color="auto"/>
            </w:tcBorders>
            <w:tcMar>
              <w:left w:w="85" w:type="dxa"/>
              <w:right w:w="57" w:type="dxa"/>
            </w:tcMar>
            <w:hideMark/>
          </w:tcPr>
          <w:p w14:paraId="150C29A7" w14:textId="77777777" w:rsidR="00742C92" w:rsidRDefault="00742C92" w:rsidP="004C2508">
            <w:pPr>
              <w:jc w:val="center"/>
              <w:rPr>
                <w:rFonts w:ascii="Calibri" w:eastAsia="Times New Roman" w:hAnsi="Calibri" w:cs="Calibri"/>
                <w:b w:val="0"/>
                <w:bCs w:val="0"/>
                <w:i/>
                <w:iCs/>
                <w:sz w:val="20"/>
                <w:szCs w:val="20"/>
                <w:lang w:eastAsia="en-GB"/>
              </w:rPr>
            </w:pPr>
            <w:r>
              <w:rPr>
                <w:rFonts w:ascii="Calibri" w:eastAsia="Times New Roman" w:hAnsi="Calibri" w:cs="Calibri"/>
                <w:i/>
                <w:iCs/>
                <w:sz w:val="20"/>
                <w:szCs w:val="20"/>
                <w:lang w:eastAsia="en-GB"/>
              </w:rPr>
              <w:lastRenderedPageBreak/>
              <w:t>Mindset Shift</w:t>
            </w:r>
          </w:p>
          <w:p w14:paraId="0EA6A54B" w14:textId="77777777" w:rsidR="00742C92" w:rsidRPr="00FF3163" w:rsidRDefault="00742C92" w:rsidP="004C2508">
            <w:pPr>
              <w:jc w:val="center"/>
              <w:rPr>
                <w:rFonts w:ascii="Calibri" w:eastAsia="Times New Roman" w:hAnsi="Calibri" w:cs="Calibri"/>
                <w:sz w:val="20"/>
                <w:szCs w:val="20"/>
                <w:lang w:eastAsia="en-GB"/>
              </w:rPr>
            </w:pPr>
            <w:r>
              <w:rPr>
                <w:rFonts w:ascii="Calibri" w:eastAsia="Times New Roman" w:hAnsi="Calibri" w:cs="Calibri"/>
                <w:i/>
                <w:iCs/>
                <w:sz w:val="20"/>
                <w:szCs w:val="20"/>
                <w:lang w:eastAsia="en-GB"/>
              </w:rPr>
              <w:t>Indicators</w:t>
            </w:r>
          </w:p>
        </w:tc>
        <w:tc>
          <w:tcPr>
            <w:tcW w:w="2032" w:type="dxa"/>
            <w:tcBorders>
              <w:top w:val="single" w:sz="18" w:space="0" w:color="D9D9D9" w:themeColor="background1" w:themeShade="D9"/>
              <w:left w:val="none" w:sz="0" w:space="0" w:color="auto"/>
              <w:bottom w:val="single" w:sz="18" w:space="0" w:color="D9D9D9" w:themeColor="background1" w:themeShade="D9"/>
              <w:right w:val="none" w:sz="0" w:space="0" w:color="auto"/>
            </w:tcBorders>
            <w:hideMark/>
          </w:tcPr>
          <w:p w14:paraId="2A1FD583" w14:textId="77777777" w:rsidR="00742C92" w:rsidRDefault="00742C92" w:rsidP="004C250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FF3163">
              <w:rPr>
                <w:rFonts w:ascii="Calibri" w:eastAsia="Times New Roman" w:hAnsi="Calibri" w:cs="Calibri"/>
                <w:sz w:val="20"/>
                <w:szCs w:val="20"/>
                <w:lang w:eastAsia="en-GB"/>
              </w:rPr>
              <w:t>Foundation</w:t>
            </w:r>
          </w:p>
          <w:p w14:paraId="224EBCF6" w14:textId="77777777" w:rsidR="00742C92" w:rsidRPr="00FF3163" w:rsidRDefault="00742C92" w:rsidP="004C250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432AFA">
              <w:rPr>
                <w:rFonts w:ascii="Calibri" w:eastAsia="Times New Roman" w:hAnsi="Calibri" w:cs="Calibri"/>
                <w:color w:val="D9D9D9" w:themeColor="background1" w:themeShade="D9"/>
                <w:sz w:val="16"/>
                <w:szCs w:val="16"/>
                <w:lang w:eastAsia="en-GB"/>
              </w:rPr>
              <w:t>Level 1</w:t>
            </w:r>
          </w:p>
        </w:tc>
        <w:tc>
          <w:tcPr>
            <w:tcW w:w="2551" w:type="dxa"/>
            <w:tcBorders>
              <w:top w:val="single" w:sz="18" w:space="0" w:color="D9D9D9" w:themeColor="background1" w:themeShade="D9"/>
              <w:left w:val="none" w:sz="0" w:space="0" w:color="auto"/>
              <w:bottom w:val="single" w:sz="18" w:space="0" w:color="D9D9D9" w:themeColor="background1" w:themeShade="D9"/>
              <w:right w:val="none" w:sz="0" w:space="0" w:color="auto"/>
            </w:tcBorders>
            <w:hideMark/>
          </w:tcPr>
          <w:p w14:paraId="41B3EFF3" w14:textId="77777777" w:rsidR="00742C92" w:rsidRDefault="00742C92" w:rsidP="004C250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FF3163">
              <w:rPr>
                <w:rFonts w:ascii="Calibri" w:eastAsia="Times New Roman" w:hAnsi="Calibri" w:cs="Calibri"/>
                <w:sz w:val="20"/>
                <w:szCs w:val="20"/>
                <w:lang w:eastAsia="en-GB"/>
              </w:rPr>
              <w:t>Embed</w:t>
            </w:r>
          </w:p>
          <w:p w14:paraId="2F091B2A" w14:textId="77777777" w:rsidR="00742C92" w:rsidRPr="00FF3163" w:rsidRDefault="00742C92" w:rsidP="004C250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432AFA">
              <w:rPr>
                <w:rFonts w:ascii="Calibri" w:eastAsia="Times New Roman" w:hAnsi="Calibri" w:cs="Calibri"/>
                <w:color w:val="D9D9D9" w:themeColor="background1" w:themeShade="D9"/>
                <w:sz w:val="16"/>
                <w:szCs w:val="16"/>
                <w:lang w:eastAsia="en-GB"/>
              </w:rPr>
              <w:t>Level 2</w:t>
            </w:r>
          </w:p>
        </w:tc>
        <w:tc>
          <w:tcPr>
            <w:tcW w:w="2599" w:type="dxa"/>
            <w:tcBorders>
              <w:top w:val="single" w:sz="18" w:space="0" w:color="D9D9D9" w:themeColor="background1" w:themeShade="D9"/>
              <w:left w:val="none" w:sz="0" w:space="0" w:color="auto"/>
              <w:bottom w:val="single" w:sz="18" w:space="0" w:color="D9D9D9" w:themeColor="background1" w:themeShade="D9"/>
              <w:right w:val="none" w:sz="0" w:space="0" w:color="auto"/>
            </w:tcBorders>
            <w:hideMark/>
          </w:tcPr>
          <w:p w14:paraId="0B63E497" w14:textId="77777777" w:rsidR="00742C92" w:rsidRDefault="00742C92" w:rsidP="004C250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FF3163">
              <w:rPr>
                <w:rFonts w:ascii="Calibri" w:eastAsia="Times New Roman" w:hAnsi="Calibri" w:cs="Calibri"/>
                <w:sz w:val="20"/>
                <w:szCs w:val="20"/>
                <w:lang w:eastAsia="en-GB"/>
              </w:rPr>
              <w:t>Practice</w:t>
            </w:r>
          </w:p>
          <w:p w14:paraId="12452F87" w14:textId="77777777" w:rsidR="00742C92" w:rsidRPr="00FF3163" w:rsidRDefault="00742C92" w:rsidP="004C250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color w:val="D9D9D9" w:themeColor="background1" w:themeShade="D9"/>
                <w:sz w:val="16"/>
                <w:szCs w:val="16"/>
                <w:lang w:eastAsia="en-GB"/>
              </w:rPr>
              <w:t>Level 3</w:t>
            </w:r>
          </w:p>
        </w:tc>
        <w:tc>
          <w:tcPr>
            <w:tcW w:w="2953" w:type="dxa"/>
            <w:tcBorders>
              <w:top w:val="single" w:sz="18" w:space="0" w:color="D9D9D9" w:themeColor="background1" w:themeShade="D9"/>
              <w:left w:val="none" w:sz="0" w:space="0" w:color="auto"/>
              <w:bottom w:val="single" w:sz="18" w:space="0" w:color="D9D9D9" w:themeColor="background1" w:themeShade="D9"/>
              <w:right w:val="none" w:sz="0" w:space="0" w:color="auto"/>
            </w:tcBorders>
            <w:hideMark/>
          </w:tcPr>
          <w:p w14:paraId="033D0A24" w14:textId="77777777" w:rsidR="00742C92" w:rsidRDefault="00742C92" w:rsidP="004C250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FF3163">
              <w:rPr>
                <w:rFonts w:ascii="Calibri" w:eastAsia="Times New Roman" w:hAnsi="Calibri" w:cs="Calibri"/>
                <w:sz w:val="20"/>
                <w:szCs w:val="20"/>
                <w:lang w:eastAsia="en-GB"/>
              </w:rPr>
              <w:t>Enhance</w:t>
            </w:r>
          </w:p>
          <w:p w14:paraId="57BAAE1D" w14:textId="77777777" w:rsidR="00742C92" w:rsidRPr="00FF3163" w:rsidRDefault="00742C92" w:rsidP="004C250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color w:val="D9D9D9" w:themeColor="background1" w:themeShade="D9"/>
                <w:sz w:val="16"/>
                <w:szCs w:val="16"/>
                <w:lang w:eastAsia="en-GB"/>
              </w:rPr>
              <w:t>Level 4</w:t>
            </w:r>
          </w:p>
        </w:tc>
        <w:tc>
          <w:tcPr>
            <w:tcW w:w="2861" w:type="dxa"/>
            <w:tcBorders>
              <w:top w:val="single" w:sz="18" w:space="0" w:color="D9D9D9" w:themeColor="background1" w:themeShade="D9"/>
              <w:left w:val="none" w:sz="0" w:space="0" w:color="auto"/>
              <w:bottom w:val="single" w:sz="18" w:space="0" w:color="D9D9D9" w:themeColor="background1" w:themeShade="D9"/>
              <w:right w:val="none" w:sz="0" w:space="0" w:color="auto"/>
            </w:tcBorders>
            <w:hideMark/>
          </w:tcPr>
          <w:p w14:paraId="2FB680BB" w14:textId="77777777" w:rsidR="00742C92" w:rsidRDefault="00742C92" w:rsidP="004C250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sidRPr="00432AFA">
              <w:rPr>
                <w:rFonts w:ascii="Calibri" w:eastAsia="Times New Roman" w:hAnsi="Calibri" w:cs="Calibri"/>
                <w:sz w:val="20"/>
                <w:szCs w:val="20"/>
                <w:lang w:eastAsia="en-GB"/>
              </w:rPr>
              <w:t>Lead</w:t>
            </w:r>
          </w:p>
          <w:p w14:paraId="07754986" w14:textId="77777777" w:rsidR="00742C92" w:rsidRPr="00FF3163" w:rsidRDefault="00742C92" w:rsidP="004C250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Pr>
                <w:rFonts w:ascii="Calibri" w:eastAsia="Times New Roman" w:hAnsi="Calibri" w:cs="Calibri"/>
                <w:color w:val="D9D9D9" w:themeColor="background1" w:themeShade="D9"/>
                <w:sz w:val="16"/>
                <w:szCs w:val="16"/>
                <w:lang w:eastAsia="en-GB"/>
              </w:rPr>
              <w:t>Level 5</w:t>
            </w:r>
          </w:p>
        </w:tc>
      </w:tr>
      <w:tr w:rsidR="00742C92" w:rsidRPr="00FF3163" w14:paraId="12F3BE40" w14:textId="77777777" w:rsidTr="004C2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9" w:type="dxa"/>
            <w:gridSpan w:val="6"/>
            <w:tcBorders>
              <w:top w:val="single" w:sz="18" w:space="0" w:color="D9D9D9" w:themeColor="background1" w:themeShade="D9"/>
              <w:bottom w:val="single" w:sz="18" w:space="0" w:color="D9D9D9" w:themeColor="background1" w:themeShade="D9"/>
            </w:tcBorders>
            <w:shd w:val="clear" w:color="auto" w:fill="0F4761" w:themeFill="accent1" w:themeFillShade="BF"/>
            <w:tcMar>
              <w:left w:w="85" w:type="dxa"/>
              <w:right w:w="57" w:type="dxa"/>
            </w:tcMar>
          </w:tcPr>
          <w:p w14:paraId="3BBB13CF" w14:textId="77777777" w:rsidR="00742C92" w:rsidRPr="00F1669F" w:rsidRDefault="00742C92" w:rsidP="004C2508">
            <w:pPr>
              <w:ind w:left="70"/>
              <w:rPr>
                <w:rFonts w:ascii="Calibri" w:eastAsia="Times New Roman" w:hAnsi="Calibri" w:cs="Calibri"/>
                <w:sz w:val="16"/>
                <w:szCs w:val="16"/>
                <w:lang w:eastAsia="en-GB"/>
              </w:rPr>
            </w:pPr>
            <w:r>
              <w:rPr>
                <w:rFonts w:ascii="Calibri" w:eastAsia="Times New Roman" w:hAnsi="Calibri" w:cs="Calibri"/>
                <w:i/>
                <w:iCs/>
                <w:sz w:val="24"/>
                <w:szCs w:val="24"/>
                <w:lang w:eastAsia="en-GB"/>
              </w:rPr>
              <w:t>Motivatio</w:t>
            </w:r>
            <w:r w:rsidRPr="00F53568">
              <w:rPr>
                <w:rFonts w:ascii="Calibri" w:eastAsia="Times New Roman" w:hAnsi="Calibri" w:cs="Calibri"/>
                <w:i/>
                <w:iCs/>
                <w:sz w:val="24"/>
                <w:szCs w:val="24"/>
                <w:lang w:eastAsia="en-GB"/>
              </w:rPr>
              <w:t>n</w:t>
            </w:r>
            <w:r>
              <w:rPr>
                <w:rFonts w:ascii="Calibri" w:eastAsia="Times New Roman" w:hAnsi="Calibri" w:cs="Calibri"/>
                <w:i/>
                <w:iCs/>
                <w:sz w:val="24"/>
                <w:szCs w:val="24"/>
                <w:lang w:eastAsia="en-GB"/>
              </w:rPr>
              <w:t xml:space="preserve"> </w:t>
            </w:r>
          </w:p>
        </w:tc>
      </w:tr>
      <w:tr w:rsidR="00742C92" w:rsidRPr="00FF3163" w14:paraId="37D78A9F" w14:textId="77777777" w:rsidTr="004C2508">
        <w:tc>
          <w:tcPr>
            <w:cnfStyle w:val="001000000000" w:firstRow="0" w:lastRow="0" w:firstColumn="1" w:lastColumn="0" w:oddVBand="0" w:evenVBand="0" w:oddHBand="0" w:evenHBand="0" w:firstRowFirstColumn="0" w:firstRowLastColumn="0" w:lastRowFirstColumn="0" w:lastRowLastColumn="0"/>
            <w:tcW w:w="1773" w:type="dxa"/>
            <w:tcBorders>
              <w:top w:val="single" w:sz="18" w:space="0" w:color="D9D9D9" w:themeColor="background1" w:themeShade="D9"/>
              <w:left w:val="none" w:sz="0" w:space="0" w:color="auto"/>
              <w:bottom w:val="single" w:sz="18" w:space="0" w:color="D9D9D9" w:themeColor="background1" w:themeShade="D9"/>
              <w:right w:val="none" w:sz="0" w:space="0" w:color="auto"/>
            </w:tcBorders>
            <w:tcMar>
              <w:left w:w="57" w:type="dxa"/>
              <w:right w:w="57" w:type="dxa"/>
            </w:tcMar>
            <w:hideMark/>
          </w:tcPr>
          <w:p w14:paraId="2BD64CC2" w14:textId="77777777" w:rsidR="00742C92" w:rsidRPr="00FF3163" w:rsidRDefault="00742C92" w:rsidP="004C2508">
            <w:pPr>
              <w:rPr>
                <w:rFonts w:ascii="Calibri" w:eastAsia="Times New Roman" w:hAnsi="Calibri" w:cs="Calibri"/>
                <w:sz w:val="20"/>
                <w:szCs w:val="20"/>
                <w:lang w:eastAsia="en-GB"/>
              </w:rPr>
            </w:pPr>
            <w:r>
              <w:rPr>
                <w:rFonts w:ascii="Calibri" w:eastAsia="Times New Roman" w:hAnsi="Calibri" w:cs="Calibri"/>
                <w:sz w:val="20"/>
                <w:szCs w:val="20"/>
                <w:lang w:eastAsia="en-GB"/>
              </w:rPr>
              <w:t>M1 Ambitions</w:t>
            </w:r>
            <w:r w:rsidRPr="00FF3163">
              <w:rPr>
                <w:rFonts w:ascii="Calibri" w:eastAsia="Times New Roman" w:hAnsi="Calibri" w:cs="Calibri"/>
                <w:sz w:val="20"/>
                <w:szCs w:val="20"/>
                <w:lang w:eastAsia="en-GB"/>
              </w:rPr>
              <w:t xml:space="preserve"> </w:t>
            </w:r>
          </w:p>
          <w:p w14:paraId="574B6818" w14:textId="77777777" w:rsidR="00742C92" w:rsidRPr="00FF3163" w:rsidRDefault="00742C92" w:rsidP="004C2508">
            <w:pPr>
              <w:rPr>
                <w:rFonts w:ascii="Calibri" w:eastAsia="Times New Roman" w:hAnsi="Calibri" w:cs="Calibri"/>
                <w:sz w:val="20"/>
                <w:szCs w:val="20"/>
                <w:lang w:eastAsia="en-GB"/>
              </w:rPr>
            </w:pPr>
          </w:p>
        </w:tc>
        <w:tc>
          <w:tcPr>
            <w:tcW w:w="2032" w:type="dxa"/>
            <w:tcBorders>
              <w:top w:val="single" w:sz="18" w:space="0" w:color="D9D9D9" w:themeColor="background1" w:themeShade="D9"/>
              <w:bottom w:val="single" w:sz="18" w:space="0" w:color="D9D9D9" w:themeColor="background1" w:themeShade="D9"/>
            </w:tcBorders>
            <w:hideMark/>
          </w:tcPr>
          <w:p w14:paraId="02E554B6" w14:textId="77777777" w:rsidR="00742C92" w:rsidRPr="00E27261" w:rsidRDefault="00742C92"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E27261">
              <w:rPr>
                <w:rFonts w:ascii="Calibri" w:eastAsia="Times New Roman" w:hAnsi="Calibri" w:cs="Calibri"/>
                <w:sz w:val="16"/>
                <w:szCs w:val="16"/>
                <w:lang w:eastAsia="en-GB"/>
              </w:rPr>
              <w:t> No Circular Procurement (CP) ambition being set</w:t>
            </w:r>
          </w:p>
        </w:tc>
        <w:tc>
          <w:tcPr>
            <w:tcW w:w="2551" w:type="dxa"/>
            <w:tcBorders>
              <w:top w:val="single" w:sz="18" w:space="0" w:color="D9D9D9" w:themeColor="background1" w:themeShade="D9"/>
              <w:bottom w:val="single" w:sz="18" w:space="0" w:color="D9D9D9" w:themeColor="background1" w:themeShade="D9"/>
            </w:tcBorders>
            <w:hideMark/>
          </w:tcPr>
          <w:p w14:paraId="32EF847D" w14:textId="3260F53F" w:rsidR="00742C92" w:rsidRPr="00E27261" w:rsidRDefault="00B54540"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CP</w:t>
            </w:r>
            <w:r w:rsidR="00CD5FC3">
              <w:rPr>
                <w:rFonts w:ascii="Calibri" w:eastAsia="Times New Roman" w:hAnsi="Calibri" w:cs="Calibri"/>
                <w:sz w:val="16"/>
                <w:szCs w:val="16"/>
                <w:lang w:eastAsia="en-GB"/>
              </w:rPr>
              <w:t xml:space="preserve"> a</w:t>
            </w:r>
            <w:r w:rsidR="00742C92" w:rsidRPr="00E27261">
              <w:rPr>
                <w:rFonts w:ascii="Calibri" w:eastAsia="Times New Roman" w:hAnsi="Calibri" w:cs="Calibri"/>
                <w:sz w:val="16"/>
                <w:szCs w:val="16"/>
                <w:lang w:eastAsia="en-GB"/>
              </w:rPr>
              <w:t>mbitions being set at individual level (bottom up)</w:t>
            </w:r>
          </w:p>
        </w:tc>
        <w:tc>
          <w:tcPr>
            <w:tcW w:w="2599" w:type="dxa"/>
            <w:tcBorders>
              <w:top w:val="single" w:sz="18" w:space="0" w:color="D9D9D9" w:themeColor="background1" w:themeShade="D9"/>
              <w:bottom w:val="single" w:sz="18" w:space="0" w:color="D9D9D9" w:themeColor="background1" w:themeShade="D9"/>
            </w:tcBorders>
            <w:hideMark/>
          </w:tcPr>
          <w:p w14:paraId="29BA75FF" w14:textId="43981589" w:rsidR="00742C92" w:rsidRPr="00C9228F" w:rsidRDefault="00B54540"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CP a</w:t>
            </w:r>
            <w:r w:rsidR="00742C92">
              <w:rPr>
                <w:rFonts w:ascii="Calibri" w:eastAsia="Times New Roman" w:hAnsi="Calibri" w:cs="Calibri"/>
                <w:sz w:val="16"/>
                <w:szCs w:val="16"/>
                <w:lang w:eastAsia="en-GB"/>
              </w:rPr>
              <w:t>mbition</w:t>
            </w:r>
            <w:r>
              <w:rPr>
                <w:rFonts w:ascii="Calibri" w:eastAsia="Times New Roman" w:hAnsi="Calibri" w:cs="Calibri"/>
                <w:sz w:val="16"/>
                <w:szCs w:val="16"/>
                <w:lang w:eastAsia="en-GB"/>
              </w:rPr>
              <w:t>s</w:t>
            </w:r>
            <w:r w:rsidR="00742C92">
              <w:rPr>
                <w:rFonts w:ascii="Calibri" w:eastAsia="Times New Roman" w:hAnsi="Calibri" w:cs="Calibri"/>
                <w:sz w:val="16"/>
                <w:szCs w:val="16"/>
                <w:lang w:eastAsia="en-GB"/>
              </w:rPr>
              <w:t xml:space="preserve"> being set at project level</w:t>
            </w:r>
          </w:p>
          <w:p w14:paraId="714D8629" w14:textId="77777777" w:rsidR="00742C92" w:rsidRPr="00005003" w:rsidRDefault="00742C92" w:rsidP="004C2508">
            <w:pPr>
              <w:ind w:left="7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p>
        </w:tc>
        <w:tc>
          <w:tcPr>
            <w:tcW w:w="2953" w:type="dxa"/>
            <w:tcBorders>
              <w:top w:val="single" w:sz="18" w:space="0" w:color="D9D9D9" w:themeColor="background1" w:themeShade="D9"/>
              <w:bottom w:val="single" w:sz="18" w:space="0" w:color="D9D9D9" w:themeColor="background1" w:themeShade="D9"/>
            </w:tcBorders>
            <w:hideMark/>
          </w:tcPr>
          <w:p w14:paraId="4620BA85" w14:textId="221C7F7E" w:rsidR="00742C92" w:rsidRPr="00005003" w:rsidRDefault="00B54540"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CP a</w:t>
            </w:r>
            <w:r w:rsidR="00742C92">
              <w:rPr>
                <w:rFonts w:ascii="Calibri" w:eastAsia="Times New Roman" w:hAnsi="Calibri" w:cs="Calibri"/>
                <w:sz w:val="16"/>
                <w:szCs w:val="16"/>
                <w:lang w:eastAsia="en-GB"/>
              </w:rPr>
              <w:t>mbition being set at departmental level (e.g. Procurement, Finance</w:t>
            </w:r>
            <w:r w:rsidR="006C150D">
              <w:rPr>
                <w:rFonts w:ascii="Calibri" w:eastAsia="Times New Roman" w:hAnsi="Calibri" w:cs="Calibri"/>
                <w:sz w:val="16"/>
                <w:szCs w:val="16"/>
                <w:lang w:eastAsia="en-GB"/>
              </w:rPr>
              <w:t>,</w:t>
            </w:r>
            <w:r w:rsidR="00742C92">
              <w:rPr>
                <w:rFonts w:ascii="Calibri" w:eastAsia="Times New Roman" w:hAnsi="Calibri" w:cs="Calibri"/>
                <w:sz w:val="16"/>
                <w:szCs w:val="16"/>
                <w:lang w:eastAsia="en-GB"/>
              </w:rPr>
              <w:t xml:space="preserve"> technical etc) </w:t>
            </w:r>
          </w:p>
        </w:tc>
        <w:tc>
          <w:tcPr>
            <w:tcW w:w="2861" w:type="dxa"/>
            <w:tcBorders>
              <w:top w:val="single" w:sz="18" w:space="0" w:color="D9D9D9" w:themeColor="background1" w:themeShade="D9"/>
              <w:bottom w:val="single" w:sz="18" w:space="0" w:color="D9D9D9" w:themeColor="background1" w:themeShade="D9"/>
            </w:tcBorders>
            <w:hideMark/>
          </w:tcPr>
          <w:p w14:paraId="70A0623F" w14:textId="0FEAF367" w:rsidR="00742C92" w:rsidRPr="00C9228F" w:rsidRDefault="00742C92"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Ambition to scale</w:t>
            </w:r>
            <w:r w:rsidR="005A0A32">
              <w:rPr>
                <w:rFonts w:ascii="Calibri" w:eastAsia="Times New Roman" w:hAnsi="Calibri" w:cs="Calibri"/>
                <w:sz w:val="16"/>
                <w:szCs w:val="16"/>
                <w:lang w:eastAsia="en-GB"/>
              </w:rPr>
              <w:t xml:space="preserve"> </w:t>
            </w:r>
            <w:r>
              <w:rPr>
                <w:rFonts w:ascii="Calibri" w:eastAsia="Times New Roman" w:hAnsi="Calibri" w:cs="Calibri"/>
                <w:sz w:val="16"/>
                <w:szCs w:val="16"/>
                <w:lang w:eastAsia="en-GB"/>
              </w:rPr>
              <w:t>up</w:t>
            </w:r>
            <w:r w:rsidR="00023AB8">
              <w:rPr>
                <w:rFonts w:ascii="Calibri" w:eastAsia="Times New Roman" w:hAnsi="Calibri" w:cs="Calibri"/>
                <w:sz w:val="16"/>
                <w:szCs w:val="16"/>
                <w:lang w:eastAsia="en-GB"/>
              </w:rPr>
              <w:t xml:space="preserve"> CP</w:t>
            </w:r>
            <w:r>
              <w:rPr>
                <w:rFonts w:ascii="Calibri" w:eastAsia="Times New Roman" w:hAnsi="Calibri" w:cs="Calibri"/>
                <w:sz w:val="16"/>
                <w:szCs w:val="16"/>
                <w:lang w:eastAsia="en-GB"/>
              </w:rPr>
              <w:t xml:space="preserve"> </w:t>
            </w:r>
            <w:r w:rsidR="00585F8B">
              <w:rPr>
                <w:rFonts w:ascii="Calibri" w:eastAsia="Times New Roman" w:hAnsi="Calibri" w:cs="Calibri"/>
                <w:sz w:val="16"/>
                <w:szCs w:val="16"/>
                <w:lang w:eastAsia="en-GB"/>
              </w:rPr>
              <w:t xml:space="preserve">to </w:t>
            </w:r>
            <w:r>
              <w:rPr>
                <w:rFonts w:ascii="Calibri" w:eastAsia="Times New Roman" w:hAnsi="Calibri" w:cs="Calibri"/>
                <w:sz w:val="16"/>
                <w:szCs w:val="16"/>
                <w:lang w:eastAsia="en-GB"/>
              </w:rPr>
              <w:t>organisation level</w:t>
            </w:r>
            <w:r w:rsidR="00023AB8">
              <w:rPr>
                <w:rFonts w:ascii="Calibri" w:eastAsia="Times New Roman" w:hAnsi="Calibri" w:cs="Calibri"/>
                <w:sz w:val="16"/>
                <w:szCs w:val="16"/>
                <w:lang w:eastAsia="en-GB"/>
              </w:rPr>
              <w:t xml:space="preserve"> has been set</w:t>
            </w:r>
          </w:p>
          <w:p w14:paraId="53E5F43C" w14:textId="77777777" w:rsidR="00742C92" w:rsidRPr="00E27261" w:rsidRDefault="00742C92" w:rsidP="004C2508">
            <w:pPr>
              <w:ind w:left="7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E27261">
              <w:rPr>
                <w:rFonts w:ascii="Calibri" w:eastAsia="Times New Roman" w:hAnsi="Calibri" w:cs="Calibri"/>
                <w:sz w:val="16"/>
                <w:szCs w:val="16"/>
                <w:lang w:eastAsia="en-GB"/>
              </w:rPr>
              <w:t xml:space="preserve"> </w:t>
            </w:r>
          </w:p>
        </w:tc>
      </w:tr>
      <w:tr w:rsidR="00742C92" w:rsidRPr="00FF3163" w14:paraId="1E1F9581" w14:textId="77777777" w:rsidTr="004C2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18" w:space="0" w:color="D9D9D9" w:themeColor="background1" w:themeShade="D9"/>
              <w:bottom w:val="single" w:sz="18" w:space="0" w:color="D9D9D9" w:themeColor="background1" w:themeShade="D9"/>
            </w:tcBorders>
            <w:tcMar>
              <w:left w:w="57" w:type="dxa"/>
              <w:right w:w="57" w:type="dxa"/>
            </w:tcMar>
          </w:tcPr>
          <w:p w14:paraId="62EDD405" w14:textId="77777777" w:rsidR="00742C92" w:rsidRPr="00E27261" w:rsidRDefault="00742C92" w:rsidP="004C2508">
            <w:pP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M2 </w:t>
            </w:r>
            <w:r w:rsidRPr="00E27261">
              <w:rPr>
                <w:rFonts w:ascii="Calibri" w:eastAsia="Times New Roman" w:hAnsi="Calibri" w:cs="Calibri"/>
                <w:sz w:val="20"/>
                <w:szCs w:val="20"/>
                <w:lang w:eastAsia="en-GB"/>
              </w:rPr>
              <w:t>Policies</w:t>
            </w:r>
          </w:p>
        </w:tc>
        <w:tc>
          <w:tcPr>
            <w:tcW w:w="2032" w:type="dxa"/>
            <w:tcBorders>
              <w:top w:val="single" w:sz="18" w:space="0" w:color="D9D9D9" w:themeColor="background1" w:themeShade="D9"/>
              <w:bottom w:val="single" w:sz="18" w:space="0" w:color="D9D9D9" w:themeColor="background1" w:themeShade="D9"/>
            </w:tcBorders>
          </w:tcPr>
          <w:p w14:paraId="58EBB0FC" w14:textId="77777777" w:rsidR="00742C92" w:rsidRPr="00E27261"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sidRPr="00E27261">
              <w:rPr>
                <w:rFonts w:ascii="Calibri" w:eastAsia="Times New Roman" w:hAnsi="Calibri" w:cs="Calibri"/>
                <w:sz w:val="16"/>
                <w:szCs w:val="16"/>
                <w:lang w:eastAsia="en-GB"/>
              </w:rPr>
              <w:t xml:space="preserve">No sustainable </w:t>
            </w:r>
            <w:r>
              <w:rPr>
                <w:rFonts w:ascii="Calibri" w:eastAsia="Times New Roman" w:hAnsi="Calibri" w:cs="Calibri"/>
                <w:sz w:val="16"/>
                <w:szCs w:val="16"/>
                <w:lang w:eastAsia="en-GB"/>
              </w:rPr>
              <w:t>(</w:t>
            </w:r>
            <w:r w:rsidRPr="00E27261">
              <w:rPr>
                <w:rFonts w:ascii="Calibri" w:eastAsia="Times New Roman" w:hAnsi="Calibri" w:cs="Calibri"/>
                <w:sz w:val="16"/>
                <w:szCs w:val="16"/>
                <w:lang w:eastAsia="en-GB"/>
              </w:rPr>
              <w:t>or circular</w:t>
            </w:r>
            <w:r>
              <w:rPr>
                <w:rFonts w:ascii="Calibri" w:eastAsia="Times New Roman" w:hAnsi="Calibri" w:cs="Calibri"/>
                <w:sz w:val="16"/>
                <w:szCs w:val="16"/>
                <w:lang w:eastAsia="en-GB"/>
              </w:rPr>
              <w:t>)</w:t>
            </w:r>
            <w:r w:rsidRPr="00E27261">
              <w:rPr>
                <w:rFonts w:ascii="Calibri" w:eastAsia="Times New Roman" w:hAnsi="Calibri" w:cs="Calibri"/>
                <w:sz w:val="16"/>
                <w:szCs w:val="16"/>
                <w:lang w:eastAsia="en-GB"/>
              </w:rPr>
              <w:t xml:space="preserve"> procurement policy set</w:t>
            </w:r>
          </w:p>
        </w:tc>
        <w:tc>
          <w:tcPr>
            <w:tcW w:w="2551" w:type="dxa"/>
            <w:tcBorders>
              <w:top w:val="single" w:sz="18" w:space="0" w:color="D9D9D9" w:themeColor="background1" w:themeShade="D9"/>
              <w:bottom w:val="single" w:sz="18" w:space="0" w:color="D9D9D9" w:themeColor="background1" w:themeShade="D9"/>
            </w:tcBorders>
          </w:tcPr>
          <w:p w14:paraId="64F1A656" w14:textId="4D641290" w:rsidR="00742C92" w:rsidRPr="00E27261"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sidRPr="00E27261">
              <w:rPr>
                <w:rFonts w:ascii="Calibri" w:eastAsia="Times New Roman" w:hAnsi="Calibri" w:cs="Calibri"/>
                <w:sz w:val="16"/>
                <w:szCs w:val="16"/>
                <w:lang w:eastAsia="en-GB"/>
              </w:rPr>
              <w:t xml:space="preserve">A sustainable procurement </w:t>
            </w:r>
            <w:r w:rsidR="006C150D">
              <w:rPr>
                <w:rFonts w:ascii="Calibri" w:eastAsia="Times New Roman" w:hAnsi="Calibri" w:cs="Calibri"/>
                <w:sz w:val="16"/>
                <w:szCs w:val="16"/>
                <w:lang w:eastAsia="en-GB"/>
              </w:rPr>
              <w:t xml:space="preserve">(SP) </w:t>
            </w:r>
            <w:r w:rsidRPr="00E27261">
              <w:rPr>
                <w:rFonts w:ascii="Calibri" w:eastAsia="Times New Roman" w:hAnsi="Calibri" w:cs="Calibri"/>
                <w:sz w:val="16"/>
                <w:szCs w:val="16"/>
                <w:lang w:eastAsia="en-GB"/>
              </w:rPr>
              <w:t>policy has been produced by the organisation</w:t>
            </w:r>
          </w:p>
        </w:tc>
        <w:tc>
          <w:tcPr>
            <w:tcW w:w="2599" w:type="dxa"/>
            <w:tcBorders>
              <w:top w:val="single" w:sz="18" w:space="0" w:color="D9D9D9" w:themeColor="background1" w:themeShade="D9"/>
              <w:bottom w:val="single" w:sz="18" w:space="0" w:color="D9D9D9" w:themeColor="background1" w:themeShade="D9"/>
            </w:tcBorders>
          </w:tcPr>
          <w:p w14:paraId="25871593" w14:textId="37F73F3E" w:rsidR="00742C92" w:rsidRPr="00E27261"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sidRPr="00E27261">
              <w:rPr>
                <w:rFonts w:ascii="Calibri" w:eastAsia="Times New Roman" w:hAnsi="Calibri" w:cs="Calibri"/>
                <w:sz w:val="16"/>
                <w:szCs w:val="16"/>
                <w:lang w:eastAsia="en-GB"/>
              </w:rPr>
              <w:t>A Circular Procurement</w:t>
            </w:r>
            <w:r w:rsidR="00DA2BA9">
              <w:rPr>
                <w:rFonts w:ascii="Calibri" w:eastAsia="Times New Roman" w:hAnsi="Calibri" w:cs="Calibri"/>
                <w:sz w:val="16"/>
                <w:szCs w:val="16"/>
                <w:lang w:eastAsia="en-GB"/>
              </w:rPr>
              <w:t xml:space="preserve"> (CP)</w:t>
            </w:r>
            <w:r w:rsidRPr="00E27261">
              <w:rPr>
                <w:rFonts w:ascii="Calibri" w:eastAsia="Times New Roman" w:hAnsi="Calibri" w:cs="Calibri"/>
                <w:sz w:val="16"/>
                <w:szCs w:val="16"/>
                <w:lang w:eastAsia="en-GB"/>
              </w:rPr>
              <w:t xml:space="preserve"> policy and actions have replaced the initial sustainability policy</w:t>
            </w:r>
          </w:p>
          <w:p w14:paraId="62C57D34" w14:textId="77777777" w:rsidR="000A40F2"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sidRPr="00E27261">
              <w:rPr>
                <w:rFonts w:ascii="Calibri" w:eastAsia="Times New Roman" w:hAnsi="Calibri" w:cs="Calibri"/>
                <w:sz w:val="16"/>
                <w:szCs w:val="16"/>
                <w:lang w:eastAsia="en-GB"/>
              </w:rPr>
              <w:t xml:space="preserve">Or </w:t>
            </w:r>
          </w:p>
          <w:p w14:paraId="4A536432" w14:textId="234C6316" w:rsidR="00742C92" w:rsidRPr="00E27261" w:rsidRDefault="000A40F2" w:rsidP="000A40F2">
            <w:pPr>
              <w:pStyle w:val="ListParagraph"/>
              <w:ind w:left="21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S</w:t>
            </w:r>
            <w:r w:rsidR="00742C92" w:rsidRPr="00E27261">
              <w:rPr>
                <w:rFonts w:ascii="Calibri" w:eastAsia="Times New Roman" w:hAnsi="Calibri" w:cs="Calibri"/>
                <w:sz w:val="16"/>
                <w:szCs w:val="16"/>
                <w:lang w:eastAsia="en-GB"/>
              </w:rPr>
              <w:t>ustainability policy explicitly references circular outcomes</w:t>
            </w:r>
          </w:p>
        </w:tc>
        <w:tc>
          <w:tcPr>
            <w:tcW w:w="2953" w:type="dxa"/>
            <w:tcBorders>
              <w:top w:val="single" w:sz="18" w:space="0" w:color="D9D9D9" w:themeColor="background1" w:themeShade="D9"/>
              <w:bottom w:val="single" w:sz="18" w:space="0" w:color="D9D9D9" w:themeColor="background1" w:themeShade="D9"/>
            </w:tcBorders>
          </w:tcPr>
          <w:p w14:paraId="7C37AA0D" w14:textId="77777777" w:rsidR="00742C92" w:rsidRPr="00E27261"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sidRPr="00E27261">
              <w:rPr>
                <w:rFonts w:ascii="Calibri" w:eastAsia="Times New Roman" w:hAnsi="Calibri" w:cs="Calibri"/>
                <w:sz w:val="16"/>
                <w:szCs w:val="16"/>
                <w:lang w:eastAsia="en-GB"/>
              </w:rPr>
              <w:t xml:space="preserve">A CP policy is in place (with review dates &amp; owners) and is supported by a strategy and action plan, with targets and timescales for delivery </w:t>
            </w:r>
          </w:p>
        </w:tc>
        <w:tc>
          <w:tcPr>
            <w:tcW w:w="2861" w:type="dxa"/>
            <w:tcBorders>
              <w:top w:val="single" w:sz="18" w:space="0" w:color="D9D9D9" w:themeColor="background1" w:themeShade="D9"/>
              <w:bottom w:val="single" w:sz="18" w:space="0" w:color="D9D9D9" w:themeColor="background1" w:themeShade="D9"/>
            </w:tcBorders>
          </w:tcPr>
          <w:p w14:paraId="7E83B765" w14:textId="6FCDDE0D" w:rsidR="00742C92" w:rsidRPr="00E27261"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sidRPr="00E27261">
              <w:rPr>
                <w:rFonts w:ascii="Calibri" w:eastAsia="Times New Roman" w:hAnsi="Calibri" w:cs="Calibri"/>
                <w:sz w:val="16"/>
                <w:szCs w:val="16"/>
                <w:lang w:eastAsia="en-GB"/>
              </w:rPr>
              <w:t xml:space="preserve">A circular </w:t>
            </w:r>
            <w:r w:rsidR="00585F8B">
              <w:rPr>
                <w:rFonts w:ascii="Calibri" w:eastAsia="Times New Roman" w:hAnsi="Calibri" w:cs="Calibri"/>
                <w:sz w:val="16"/>
                <w:szCs w:val="16"/>
                <w:lang w:eastAsia="en-GB"/>
              </w:rPr>
              <w:t>procurement</w:t>
            </w:r>
            <w:r w:rsidRPr="00E27261">
              <w:rPr>
                <w:rFonts w:ascii="Calibri" w:eastAsia="Times New Roman" w:hAnsi="Calibri" w:cs="Calibri"/>
                <w:sz w:val="16"/>
                <w:szCs w:val="16"/>
                <w:lang w:eastAsia="en-GB"/>
              </w:rPr>
              <w:t xml:space="preserve"> policy (and supporting materials) is directly linked to CE, Sustainability, Social and </w:t>
            </w:r>
            <w:r>
              <w:rPr>
                <w:rFonts w:ascii="Calibri" w:eastAsia="Times New Roman" w:hAnsi="Calibri" w:cs="Calibri"/>
                <w:sz w:val="16"/>
                <w:szCs w:val="16"/>
                <w:lang w:eastAsia="en-GB"/>
              </w:rPr>
              <w:t>E</w:t>
            </w:r>
            <w:r w:rsidRPr="00E27261">
              <w:rPr>
                <w:rFonts w:ascii="Calibri" w:eastAsia="Times New Roman" w:hAnsi="Calibri" w:cs="Calibri"/>
                <w:sz w:val="16"/>
                <w:szCs w:val="16"/>
                <w:lang w:eastAsia="en-GB"/>
              </w:rPr>
              <w:t>nvironmental policies at organisational level</w:t>
            </w:r>
          </w:p>
        </w:tc>
      </w:tr>
      <w:tr w:rsidR="00742C92" w:rsidRPr="00FF3163" w14:paraId="4F2E6D02" w14:textId="77777777" w:rsidTr="004C2508">
        <w:tc>
          <w:tcPr>
            <w:cnfStyle w:val="001000000000" w:firstRow="0" w:lastRow="0" w:firstColumn="1" w:lastColumn="0" w:oddVBand="0" w:evenVBand="0" w:oddHBand="0" w:evenHBand="0" w:firstRowFirstColumn="0" w:firstRowLastColumn="0" w:lastRowFirstColumn="0" w:lastRowLastColumn="0"/>
            <w:tcW w:w="1773" w:type="dxa"/>
            <w:tcBorders>
              <w:top w:val="single" w:sz="18" w:space="0" w:color="D9D9D9" w:themeColor="background1" w:themeShade="D9"/>
              <w:left w:val="none" w:sz="0" w:space="0" w:color="auto"/>
              <w:bottom w:val="single" w:sz="18" w:space="0" w:color="D9D9D9" w:themeColor="background1" w:themeShade="D9"/>
              <w:right w:val="none" w:sz="0" w:space="0" w:color="auto"/>
            </w:tcBorders>
            <w:tcMar>
              <w:left w:w="57" w:type="dxa"/>
              <w:right w:w="57" w:type="dxa"/>
            </w:tcMar>
            <w:hideMark/>
          </w:tcPr>
          <w:p w14:paraId="3CB73A6C" w14:textId="68C1546B" w:rsidR="00742C92" w:rsidRDefault="00742C92" w:rsidP="004C2508">
            <w:pPr>
              <w:rPr>
                <w:rFonts w:ascii="Calibri" w:eastAsia="Times New Roman" w:hAnsi="Calibri" w:cs="Calibri"/>
                <w:b w:val="0"/>
                <w:bCs w:val="0"/>
                <w:sz w:val="20"/>
                <w:szCs w:val="20"/>
                <w:lang w:eastAsia="en-GB"/>
              </w:rPr>
            </w:pPr>
            <w:r>
              <w:rPr>
                <w:rFonts w:ascii="Calibri" w:eastAsia="Times New Roman" w:hAnsi="Calibri" w:cs="Calibri"/>
                <w:sz w:val="20"/>
                <w:szCs w:val="20"/>
                <w:lang w:eastAsia="en-GB"/>
              </w:rPr>
              <w:t xml:space="preserve">M3 </w:t>
            </w:r>
            <w:r w:rsidR="001B0805">
              <w:rPr>
                <w:rFonts w:ascii="Calibri" w:eastAsia="Times New Roman" w:hAnsi="Calibri" w:cs="Calibri"/>
                <w:sz w:val="20"/>
                <w:szCs w:val="20"/>
                <w:lang w:eastAsia="en-GB"/>
              </w:rPr>
              <w:t>Ownership of</w:t>
            </w:r>
            <w:r>
              <w:rPr>
                <w:rFonts w:ascii="Calibri" w:eastAsia="Times New Roman" w:hAnsi="Calibri" w:cs="Calibri"/>
                <w:sz w:val="20"/>
                <w:szCs w:val="20"/>
                <w:lang w:eastAsia="en-GB"/>
              </w:rPr>
              <w:t xml:space="preserve"> scaling up</w:t>
            </w:r>
          </w:p>
          <w:p w14:paraId="5C4922CA" w14:textId="77777777" w:rsidR="00742C92" w:rsidRPr="00FF3163" w:rsidRDefault="00742C92" w:rsidP="004C2508">
            <w:pPr>
              <w:rPr>
                <w:rFonts w:ascii="Calibri" w:eastAsia="Times New Roman" w:hAnsi="Calibri" w:cs="Calibri"/>
                <w:sz w:val="20"/>
                <w:szCs w:val="20"/>
                <w:lang w:eastAsia="en-GB"/>
              </w:rPr>
            </w:pPr>
          </w:p>
        </w:tc>
        <w:tc>
          <w:tcPr>
            <w:tcW w:w="2032" w:type="dxa"/>
            <w:tcBorders>
              <w:top w:val="single" w:sz="18" w:space="0" w:color="D9D9D9" w:themeColor="background1" w:themeShade="D9"/>
              <w:bottom w:val="single" w:sz="18" w:space="0" w:color="D9D9D9" w:themeColor="background1" w:themeShade="D9"/>
            </w:tcBorders>
            <w:hideMark/>
          </w:tcPr>
          <w:p w14:paraId="7CC88C40" w14:textId="17070B0C" w:rsidR="00742C92" w:rsidRPr="0044623D" w:rsidRDefault="00742C92"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No internal </w:t>
            </w:r>
            <w:r w:rsidR="00DA2BA9">
              <w:rPr>
                <w:rFonts w:ascii="Calibri" w:eastAsia="Times New Roman" w:hAnsi="Calibri" w:cs="Calibri"/>
                <w:sz w:val="16"/>
                <w:szCs w:val="16"/>
                <w:lang w:eastAsia="en-GB"/>
              </w:rPr>
              <w:t>responsibility</w:t>
            </w:r>
            <w:r>
              <w:rPr>
                <w:rFonts w:ascii="Calibri" w:eastAsia="Times New Roman" w:hAnsi="Calibri" w:cs="Calibri"/>
                <w:sz w:val="16"/>
                <w:szCs w:val="16"/>
                <w:lang w:eastAsia="en-GB"/>
              </w:rPr>
              <w:t xml:space="preserve"> </w:t>
            </w:r>
            <w:r w:rsidR="00C81185">
              <w:rPr>
                <w:rFonts w:ascii="Calibri" w:eastAsia="Times New Roman" w:hAnsi="Calibri" w:cs="Calibri"/>
                <w:sz w:val="16"/>
                <w:szCs w:val="16"/>
                <w:lang w:eastAsia="en-GB"/>
              </w:rPr>
              <w:t xml:space="preserve">for sustainable </w:t>
            </w:r>
            <w:r>
              <w:rPr>
                <w:rFonts w:ascii="Calibri" w:eastAsia="Times New Roman" w:hAnsi="Calibri" w:cs="Calibri"/>
                <w:sz w:val="16"/>
                <w:szCs w:val="16"/>
                <w:lang w:eastAsia="en-GB"/>
              </w:rPr>
              <w:t>procurement actions within the organisation</w:t>
            </w:r>
          </w:p>
        </w:tc>
        <w:tc>
          <w:tcPr>
            <w:tcW w:w="2551" w:type="dxa"/>
            <w:tcBorders>
              <w:top w:val="single" w:sz="18" w:space="0" w:color="D9D9D9" w:themeColor="background1" w:themeShade="D9"/>
              <w:bottom w:val="single" w:sz="18" w:space="0" w:color="D9D9D9" w:themeColor="background1" w:themeShade="D9"/>
            </w:tcBorders>
            <w:hideMark/>
          </w:tcPr>
          <w:p w14:paraId="34B97088" w14:textId="7798EF61" w:rsidR="00742C92" w:rsidRPr="004A2750" w:rsidRDefault="00742C92"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Sustainable procurement recognised across organisation and procurement function working towards wider organisational </w:t>
            </w:r>
            <w:r w:rsidR="00DA2BA9">
              <w:rPr>
                <w:rFonts w:ascii="Calibri" w:eastAsia="Times New Roman" w:hAnsi="Calibri" w:cs="Calibri"/>
                <w:sz w:val="16"/>
                <w:szCs w:val="16"/>
                <w:lang w:eastAsia="en-GB"/>
              </w:rPr>
              <w:t>ownership</w:t>
            </w:r>
          </w:p>
        </w:tc>
        <w:tc>
          <w:tcPr>
            <w:tcW w:w="2599" w:type="dxa"/>
            <w:tcBorders>
              <w:top w:val="single" w:sz="18" w:space="0" w:color="D9D9D9" w:themeColor="background1" w:themeShade="D9"/>
              <w:bottom w:val="single" w:sz="18" w:space="0" w:color="D9D9D9" w:themeColor="background1" w:themeShade="D9"/>
            </w:tcBorders>
            <w:hideMark/>
          </w:tcPr>
          <w:p w14:paraId="491EDFDB" w14:textId="50E2E203" w:rsidR="00742C92" w:rsidRPr="00E019BE" w:rsidRDefault="00742C92"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Operational teams recognise their role in </w:t>
            </w:r>
            <w:r w:rsidR="00DA2BA9">
              <w:rPr>
                <w:rFonts w:ascii="Calibri" w:eastAsia="Times New Roman" w:hAnsi="Calibri" w:cs="Calibri"/>
                <w:sz w:val="16"/>
                <w:szCs w:val="16"/>
                <w:lang w:eastAsia="en-GB"/>
              </w:rPr>
              <w:t>CP</w:t>
            </w:r>
            <w:r>
              <w:rPr>
                <w:rFonts w:ascii="Calibri" w:eastAsia="Times New Roman" w:hAnsi="Calibri" w:cs="Calibri"/>
                <w:sz w:val="16"/>
                <w:szCs w:val="16"/>
                <w:lang w:eastAsia="en-GB"/>
              </w:rPr>
              <w:t xml:space="preserve"> and the procurement cycle but no high level (Senior Management) </w:t>
            </w:r>
            <w:r w:rsidR="00DA2BA9">
              <w:rPr>
                <w:rFonts w:ascii="Calibri" w:eastAsia="Times New Roman" w:hAnsi="Calibri" w:cs="Calibri"/>
                <w:sz w:val="16"/>
                <w:szCs w:val="16"/>
                <w:lang w:eastAsia="en-GB"/>
              </w:rPr>
              <w:t>support for</w:t>
            </w:r>
            <w:r>
              <w:rPr>
                <w:rFonts w:ascii="Calibri" w:eastAsia="Times New Roman" w:hAnsi="Calibri" w:cs="Calibri"/>
                <w:sz w:val="16"/>
                <w:szCs w:val="16"/>
                <w:lang w:eastAsia="en-GB"/>
              </w:rPr>
              <w:t xml:space="preserve"> scaling up </w:t>
            </w:r>
          </w:p>
        </w:tc>
        <w:tc>
          <w:tcPr>
            <w:tcW w:w="2953" w:type="dxa"/>
            <w:tcBorders>
              <w:top w:val="single" w:sz="18" w:space="0" w:color="D9D9D9" w:themeColor="background1" w:themeShade="D9"/>
              <w:bottom w:val="single" w:sz="18" w:space="0" w:color="D9D9D9" w:themeColor="background1" w:themeShade="D9"/>
            </w:tcBorders>
            <w:hideMark/>
          </w:tcPr>
          <w:p w14:paraId="407EB537" w14:textId="4CA7F66A" w:rsidR="00742C92" w:rsidRPr="00427637" w:rsidRDefault="00742C92"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Senior leadership has recognised CP as a strategic mechanism </w:t>
            </w:r>
            <w:r w:rsidR="00DA2BA9">
              <w:rPr>
                <w:rFonts w:ascii="Calibri" w:eastAsia="Times New Roman" w:hAnsi="Calibri" w:cs="Calibri"/>
                <w:sz w:val="16"/>
                <w:szCs w:val="16"/>
                <w:lang w:eastAsia="en-GB"/>
              </w:rPr>
              <w:t>and the need for</w:t>
            </w:r>
            <w:r>
              <w:rPr>
                <w:rFonts w:ascii="Calibri" w:eastAsia="Times New Roman" w:hAnsi="Calibri" w:cs="Calibri"/>
                <w:sz w:val="16"/>
                <w:szCs w:val="16"/>
                <w:lang w:eastAsia="en-GB"/>
              </w:rPr>
              <w:t xml:space="preserve"> scaling </w:t>
            </w:r>
            <w:proofErr w:type="gramStart"/>
            <w:r>
              <w:rPr>
                <w:rFonts w:ascii="Calibri" w:eastAsia="Times New Roman" w:hAnsi="Calibri" w:cs="Calibri"/>
                <w:sz w:val="16"/>
                <w:szCs w:val="16"/>
                <w:lang w:eastAsia="en-GB"/>
              </w:rPr>
              <w:t>up</w:t>
            </w:r>
            <w:proofErr w:type="gramEnd"/>
            <w:r>
              <w:rPr>
                <w:rFonts w:ascii="Calibri" w:eastAsia="Times New Roman" w:hAnsi="Calibri" w:cs="Calibri"/>
                <w:sz w:val="16"/>
                <w:szCs w:val="16"/>
                <w:lang w:eastAsia="en-GB"/>
              </w:rPr>
              <w:t xml:space="preserve"> but operational teams are still being brought onboard</w:t>
            </w:r>
            <w:r w:rsidR="00DA2BA9">
              <w:rPr>
                <w:rFonts w:ascii="Calibri" w:eastAsia="Times New Roman" w:hAnsi="Calibri" w:cs="Calibri"/>
                <w:sz w:val="16"/>
                <w:szCs w:val="16"/>
                <w:lang w:eastAsia="en-GB"/>
              </w:rPr>
              <w:t xml:space="preserve"> with the process</w:t>
            </w:r>
          </w:p>
        </w:tc>
        <w:tc>
          <w:tcPr>
            <w:tcW w:w="2861" w:type="dxa"/>
            <w:tcBorders>
              <w:top w:val="single" w:sz="18" w:space="0" w:color="D9D9D9" w:themeColor="background1" w:themeShade="D9"/>
              <w:bottom w:val="single" w:sz="18" w:space="0" w:color="D9D9D9" w:themeColor="background1" w:themeShade="D9"/>
            </w:tcBorders>
            <w:hideMark/>
          </w:tcPr>
          <w:p w14:paraId="57FAE4F5" w14:textId="543F0219" w:rsidR="00742C92" w:rsidRPr="00191131" w:rsidRDefault="00742C92"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Circular Procurement is recognised as a strategic function by the Senior Leadership team and </w:t>
            </w:r>
            <w:r w:rsidR="00DA2BA9">
              <w:rPr>
                <w:rFonts w:ascii="Calibri" w:eastAsia="Times New Roman" w:hAnsi="Calibri" w:cs="Calibri"/>
                <w:sz w:val="16"/>
                <w:szCs w:val="16"/>
                <w:lang w:eastAsia="en-GB"/>
              </w:rPr>
              <w:t xml:space="preserve">adopted by the </w:t>
            </w:r>
            <w:r>
              <w:rPr>
                <w:rFonts w:ascii="Calibri" w:eastAsia="Times New Roman" w:hAnsi="Calibri" w:cs="Calibri"/>
                <w:sz w:val="16"/>
                <w:szCs w:val="16"/>
                <w:lang w:eastAsia="en-GB"/>
              </w:rPr>
              <w:t>operational functions across the organisation</w:t>
            </w:r>
          </w:p>
        </w:tc>
      </w:tr>
      <w:tr w:rsidR="00742C92" w:rsidRPr="00FF3163" w14:paraId="2389BBE5" w14:textId="77777777" w:rsidTr="004C2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18" w:space="0" w:color="D9D9D9" w:themeColor="background1" w:themeShade="D9"/>
              <w:bottom w:val="single" w:sz="18" w:space="0" w:color="D9D9D9" w:themeColor="background1" w:themeShade="D9"/>
            </w:tcBorders>
            <w:tcMar>
              <w:left w:w="57" w:type="dxa"/>
              <w:right w:w="57" w:type="dxa"/>
            </w:tcMar>
          </w:tcPr>
          <w:p w14:paraId="4318D60B" w14:textId="28C075BD" w:rsidR="00742C92" w:rsidRDefault="00742C92" w:rsidP="004C2508">
            <w:pP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M4 </w:t>
            </w:r>
            <w:r w:rsidR="00607291">
              <w:rPr>
                <w:rFonts w:ascii="Calibri" w:eastAsia="Times New Roman" w:hAnsi="Calibri" w:cs="Calibri"/>
                <w:sz w:val="20"/>
                <w:szCs w:val="20"/>
                <w:lang w:eastAsia="en-GB"/>
              </w:rPr>
              <w:t>C</w:t>
            </w:r>
            <w:r>
              <w:rPr>
                <w:rFonts w:ascii="Calibri" w:eastAsia="Times New Roman" w:hAnsi="Calibri" w:cs="Calibri"/>
                <w:sz w:val="20"/>
                <w:szCs w:val="20"/>
                <w:lang w:eastAsia="en-GB"/>
              </w:rPr>
              <w:t>ommunication</w:t>
            </w:r>
          </w:p>
        </w:tc>
        <w:tc>
          <w:tcPr>
            <w:tcW w:w="2032" w:type="dxa"/>
            <w:tcBorders>
              <w:top w:val="single" w:sz="18" w:space="0" w:color="D9D9D9" w:themeColor="background1" w:themeShade="D9"/>
              <w:bottom w:val="single" w:sz="18" w:space="0" w:color="D9D9D9" w:themeColor="background1" w:themeShade="D9"/>
            </w:tcBorders>
          </w:tcPr>
          <w:p w14:paraId="2AD8488D" w14:textId="77777777" w:rsidR="00742C92"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No communication internally or externally on ambitions</w:t>
            </w:r>
          </w:p>
        </w:tc>
        <w:tc>
          <w:tcPr>
            <w:tcW w:w="2551" w:type="dxa"/>
            <w:tcBorders>
              <w:top w:val="single" w:sz="18" w:space="0" w:color="D9D9D9" w:themeColor="background1" w:themeShade="D9"/>
              <w:bottom w:val="single" w:sz="18" w:space="0" w:color="D9D9D9" w:themeColor="background1" w:themeShade="D9"/>
            </w:tcBorders>
          </w:tcPr>
          <w:p w14:paraId="466419EC" w14:textId="13D92EC2" w:rsidR="00742C92"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Basic internal communication of SP</w:t>
            </w:r>
            <w:r w:rsidR="007F64E0">
              <w:rPr>
                <w:rFonts w:ascii="Calibri" w:eastAsia="Times New Roman" w:hAnsi="Calibri" w:cs="Calibri"/>
                <w:sz w:val="16"/>
                <w:szCs w:val="16"/>
                <w:lang w:eastAsia="en-GB"/>
              </w:rPr>
              <w:t xml:space="preserve"> or </w:t>
            </w:r>
            <w:r>
              <w:rPr>
                <w:rFonts w:ascii="Calibri" w:eastAsia="Times New Roman" w:hAnsi="Calibri" w:cs="Calibri"/>
                <w:sz w:val="16"/>
                <w:szCs w:val="16"/>
                <w:lang w:eastAsia="en-GB"/>
              </w:rPr>
              <w:t>CP policy aims</w:t>
            </w:r>
          </w:p>
        </w:tc>
        <w:tc>
          <w:tcPr>
            <w:tcW w:w="2599" w:type="dxa"/>
            <w:tcBorders>
              <w:top w:val="single" w:sz="18" w:space="0" w:color="D9D9D9" w:themeColor="background1" w:themeShade="D9"/>
              <w:bottom w:val="single" w:sz="18" w:space="0" w:color="D9D9D9" w:themeColor="background1" w:themeShade="D9"/>
            </w:tcBorders>
          </w:tcPr>
          <w:p w14:paraId="09433E44" w14:textId="77777777" w:rsidR="00742C92"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All relevant procurement stakeholders are aware of CP ambitions and procurement function recognise their roles and responsibilities</w:t>
            </w:r>
          </w:p>
        </w:tc>
        <w:tc>
          <w:tcPr>
            <w:tcW w:w="2953" w:type="dxa"/>
            <w:tcBorders>
              <w:top w:val="single" w:sz="18" w:space="0" w:color="D9D9D9" w:themeColor="background1" w:themeShade="D9"/>
              <w:bottom w:val="single" w:sz="18" w:space="0" w:color="D9D9D9" w:themeColor="background1" w:themeShade="D9"/>
            </w:tcBorders>
          </w:tcPr>
          <w:p w14:paraId="73B86DC6" w14:textId="77777777" w:rsidR="00742C92"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All relevant procurement stakeholders aware of CP ambitions and recognise their roles and responsibilities a</w:t>
            </w:r>
            <w:r w:rsidRPr="005A1CF9">
              <w:rPr>
                <w:rFonts w:ascii="Calibri" w:eastAsia="Times New Roman" w:hAnsi="Calibri" w:cs="Calibri"/>
                <w:sz w:val="16"/>
                <w:szCs w:val="16"/>
                <w:lang w:eastAsia="en-GB"/>
              </w:rPr>
              <w:t>nd external peer to peer collaboration and knowledge sharing</w:t>
            </w:r>
          </w:p>
        </w:tc>
        <w:tc>
          <w:tcPr>
            <w:tcW w:w="2861" w:type="dxa"/>
            <w:tcBorders>
              <w:top w:val="single" w:sz="18" w:space="0" w:color="D9D9D9" w:themeColor="background1" w:themeShade="D9"/>
              <w:bottom w:val="single" w:sz="18" w:space="0" w:color="D9D9D9" w:themeColor="background1" w:themeShade="D9"/>
            </w:tcBorders>
          </w:tcPr>
          <w:p w14:paraId="0558322E" w14:textId="77777777" w:rsidR="00742C92" w:rsidRPr="001F08FA"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Internal and external communication on CP outcomes regularly undertaken alongside regular reporting to SMT on progress against CP actions</w:t>
            </w:r>
          </w:p>
        </w:tc>
      </w:tr>
      <w:tr w:rsidR="00742C92" w:rsidRPr="00FF3163" w14:paraId="1410B5C0" w14:textId="77777777" w:rsidTr="004C2508">
        <w:tc>
          <w:tcPr>
            <w:cnfStyle w:val="001000000000" w:firstRow="0" w:lastRow="0" w:firstColumn="1" w:lastColumn="0" w:oddVBand="0" w:evenVBand="0" w:oddHBand="0" w:evenHBand="0" w:firstRowFirstColumn="0" w:firstRowLastColumn="0" w:lastRowFirstColumn="0" w:lastRowLastColumn="0"/>
            <w:tcW w:w="14769" w:type="dxa"/>
            <w:gridSpan w:val="6"/>
            <w:tcBorders>
              <w:top w:val="single" w:sz="18" w:space="0" w:color="D9D9D9" w:themeColor="background1" w:themeShade="D9"/>
              <w:bottom w:val="single" w:sz="18" w:space="0" w:color="D9D9D9" w:themeColor="background1" w:themeShade="D9"/>
            </w:tcBorders>
            <w:shd w:val="clear" w:color="auto" w:fill="0F4761" w:themeFill="accent1" w:themeFillShade="BF"/>
            <w:tcMar>
              <w:left w:w="57" w:type="dxa"/>
              <w:right w:w="57" w:type="dxa"/>
            </w:tcMar>
          </w:tcPr>
          <w:p w14:paraId="75FA07F8" w14:textId="77777777" w:rsidR="00742C92" w:rsidRPr="00F1669F" w:rsidRDefault="00742C92" w:rsidP="004C2508">
            <w:pPr>
              <w:ind w:left="70"/>
              <w:rPr>
                <w:rFonts w:ascii="Calibri" w:eastAsia="Times New Roman" w:hAnsi="Calibri" w:cs="Calibri"/>
                <w:i/>
                <w:iCs/>
                <w:sz w:val="24"/>
                <w:szCs w:val="24"/>
                <w:lang w:eastAsia="en-GB"/>
              </w:rPr>
            </w:pPr>
            <w:r w:rsidRPr="00F1669F">
              <w:rPr>
                <w:rFonts w:ascii="Calibri" w:eastAsia="Times New Roman" w:hAnsi="Calibri" w:cs="Calibri"/>
                <w:i/>
                <w:iCs/>
                <w:sz w:val="24"/>
                <w:szCs w:val="24"/>
                <w:lang w:eastAsia="en-GB"/>
              </w:rPr>
              <w:t>Capabilities</w:t>
            </w:r>
          </w:p>
        </w:tc>
      </w:tr>
      <w:tr w:rsidR="00742C92" w:rsidRPr="00FF3163" w14:paraId="36B44E56" w14:textId="77777777" w:rsidTr="004C2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18" w:space="0" w:color="D9D9D9" w:themeColor="background1" w:themeShade="D9"/>
              <w:left w:val="none" w:sz="0" w:space="0" w:color="auto"/>
              <w:bottom w:val="single" w:sz="18" w:space="0" w:color="D9D9D9" w:themeColor="background1" w:themeShade="D9"/>
              <w:right w:val="none" w:sz="0" w:space="0" w:color="auto"/>
            </w:tcBorders>
            <w:tcMar>
              <w:left w:w="57" w:type="dxa"/>
              <w:right w:w="57" w:type="dxa"/>
            </w:tcMar>
          </w:tcPr>
          <w:p w14:paraId="60193594" w14:textId="77777777" w:rsidR="00742C92" w:rsidRPr="00FF3163" w:rsidRDefault="00742C92" w:rsidP="004C2508">
            <w:pP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C1 Awareness </w:t>
            </w:r>
          </w:p>
        </w:tc>
        <w:tc>
          <w:tcPr>
            <w:tcW w:w="2032" w:type="dxa"/>
            <w:tcBorders>
              <w:top w:val="single" w:sz="18" w:space="0" w:color="D9D9D9" w:themeColor="background1" w:themeShade="D9"/>
              <w:bottom w:val="single" w:sz="18" w:space="0" w:color="D9D9D9" w:themeColor="background1" w:themeShade="D9"/>
            </w:tcBorders>
          </w:tcPr>
          <w:p w14:paraId="42295CC3" w14:textId="77777777" w:rsidR="00742C92" w:rsidRPr="00725C7A"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There is little or no awareness of Circular Procurement and benefits </w:t>
            </w:r>
          </w:p>
        </w:tc>
        <w:tc>
          <w:tcPr>
            <w:tcW w:w="2551" w:type="dxa"/>
            <w:tcBorders>
              <w:top w:val="single" w:sz="18" w:space="0" w:color="D9D9D9" w:themeColor="background1" w:themeShade="D9"/>
              <w:bottom w:val="single" w:sz="18" w:space="0" w:color="D9D9D9" w:themeColor="background1" w:themeShade="D9"/>
            </w:tcBorders>
          </w:tcPr>
          <w:p w14:paraId="47D87131" w14:textId="77777777" w:rsidR="00742C92" w:rsidRPr="00423BEA"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Awareness of Sustainable Procurement and potential benefits of a holistic circular approach across the product procurement lifecycle. </w:t>
            </w:r>
          </w:p>
        </w:tc>
        <w:tc>
          <w:tcPr>
            <w:tcW w:w="2599" w:type="dxa"/>
            <w:tcBorders>
              <w:top w:val="single" w:sz="18" w:space="0" w:color="D9D9D9" w:themeColor="background1" w:themeShade="D9"/>
              <w:bottom w:val="single" w:sz="18" w:space="0" w:color="D9D9D9" w:themeColor="background1" w:themeShade="D9"/>
            </w:tcBorders>
          </w:tcPr>
          <w:p w14:paraId="557B4229" w14:textId="77777777" w:rsidR="00742C92" w:rsidRPr="00423BEA"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Procurement function and core stakeholders fully aware of CP benefits and benefits of scaling up</w:t>
            </w:r>
          </w:p>
        </w:tc>
        <w:tc>
          <w:tcPr>
            <w:tcW w:w="2953" w:type="dxa"/>
            <w:tcBorders>
              <w:top w:val="single" w:sz="18" w:space="0" w:color="D9D9D9" w:themeColor="background1" w:themeShade="D9"/>
              <w:bottom w:val="single" w:sz="18" w:space="0" w:color="D9D9D9" w:themeColor="background1" w:themeShade="D9"/>
            </w:tcBorders>
          </w:tcPr>
          <w:p w14:paraId="74A6052B" w14:textId="77777777" w:rsidR="00742C92" w:rsidRPr="00A749A4"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Full awareness across the organisation and scaling up being implemented alongside external peer-to-peer knowledge sharing</w:t>
            </w:r>
          </w:p>
        </w:tc>
        <w:tc>
          <w:tcPr>
            <w:tcW w:w="2861" w:type="dxa"/>
            <w:tcBorders>
              <w:top w:val="single" w:sz="18" w:space="0" w:color="D9D9D9" w:themeColor="background1" w:themeShade="D9"/>
              <w:bottom w:val="single" w:sz="18" w:space="0" w:color="D9D9D9" w:themeColor="background1" w:themeShade="D9"/>
            </w:tcBorders>
          </w:tcPr>
          <w:p w14:paraId="20214081" w14:textId="77777777" w:rsidR="00742C92" w:rsidRPr="00AB4CF8"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Full awareness across all organisation functions and scale up has been achieved.</w:t>
            </w:r>
          </w:p>
        </w:tc>
      </w:tr>
      <w:tr w:rsidR="00742C92" w:rsidRPr="00FF3163" w14:paraId="76B96947" w14:textId="77777777" w:rsidTr="004C2508">
        <w:trPr>
          <w:trHeight w:val="328"/>
        </w:trPr>
        <w:tc>
          <w:tcPr>
            <w:cnfStyle w:val="001000000000" w:firstRow="0" w:lastRow="0" w:firstColumn="1" w:lastColumn="0" w:oddVBand="0" w:evenVBand="0" w:oddHBand="0" w:evenHBand="0" w:firstRowFirstColumn="0" w:firstRowLastColumn="0" w:lastRowFirstColumn="0" w:lastRowLastColumn="0"/>
            <w:tcW w:w="1773" w:type="dxa"/>
            <w:tcBorders>
              <w:top w:val="single" w:sz="18" w:space="0" w:color="D9D9D9" w:themeColor="background1" w:themeShade="D9"/>
              <w:bottom w:val="single" w:sz="18" w:space="0" w:color="D9D9D9" w:themeColor="background1" w:themeShade="D9"/>
            </w:tcBorders>
            <w:tcMar>
              <w:left w:w="57" w:type="dxa"/>
              <w:right w:w="57" w:type="dxa"/>
            </w:tcMar>
          </w:tcPr>
          <w:p w14:paraId="3E2DF8EF" w14:textId="77777777" w:rsidR="00742C92" w:rsidRPr="00FF3163" w:rsidRDefault="00742C92" w:rsidP="004C2508">
            <w:pPr>
              <w:rPr>
                <w:rFonts w:ascii="Calibri" w:eastAsia="Times New Roman" w:hAnsi="Calibri" w:cs="Calibri"/>
                <w:sz w:val="20"/>
                <w:szCs w:val="20"/>
                <w:lang w:eastAsia="en-GB"/>
              </w:rPr>
            </w:pPr>
            <w:r>
              <w:rPr>
                <w:rFonts w:ascii="Calibri" w:eastAsia="Times New Roman" w:hAnsi="Calibri" w:cs="Calibri"/>
                <w:sz w:val="20"/>
                <w:szCs w:val="20"/>
                <w:lang w:eastAsia="en-GB"/>
              </w:rPr>
              <w:t>C2 Capacity</w:t>
            </w:r>
          </w:p>
        </w:tc>
        <w:tc>
          <w:tcPr>
            <w:tcW w:w="2032" w:type="dxa"/>
            <w:tcBorders>
              <w:top w:val="single" w:sz="18" w:space="0" w:color="D9D9D9" w:themeColor="background1" w:themeShade="D9"/>
              <w:bottom w:val="single" w:sz="18" w:space="0" w:color="D9D9D9" w:themeColor="background1" w:themeShade="D9"/>
            </w:tcBorders>
          </w:tcPr>
          <w:p w14:paraId="04B3AB70" w14:textId="16814F52" w:rsidR="000543EF" w:rsidRPr="000543EF" w:rsidRDefault="00742C92" w:rsidP="000543EF">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No capabilities assessment has been made</w:t>
            </w:r>
          </w:p>
        </w:tc>
        <w:tc>
          <w:tcPr>
            <w:tcW w:w="2551" w:type="dxa"/>
            <w:tcBorders>
              <w:top w:val="single" w:sz="18" w:space="0" w:color="D9D9D9" w:themeColor="background1" w:themeShade="D9"/>
              <w:bottom w:val="single" w:sz="18" w:space="0" w:color="D9D9D9" w:themeColor="background1" w:themeShade="D9"/>
            </w:tcBorders>
          </w:tcPr>
          <w:p w14:paraId="7BC4AD84" w14:textId="055A540F" w:rsidR="000543EF" w:rsidRPr="000543EF" w:rsidRDefault="00742C92" w:rsidP="000543EF">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Understanding of capabilities and skills gaps</w:t>
            </w:r>
          </w:p>
        </w:tc>
        <w:tc>
          <w:tcPr>
            <w:tcW w:w="2599" w:type="dxa"/>
            <w:tcBorders>
              <w:top w:val="single" w:sz="18" w:space="0" w:color="D9D9D9" w:themeColor="background1" w:themeShade="D9"/>
              <w:bottom w:val="single" w:sz="18" w:space="0" w:color="D9D9D9" w:themeColor="background1" w:themeShade="D9"/>
            </w:tcBorders>
          </w:tcPr>
          <w:p w14:paraId="4341AC3F" w14:textId="65B007CE" w:rsidR="000543EF" w:rsidRPr="000543EF" w:rsidRDefault="00742C92" w:rsidP="000543EF">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Core procurement team skills and capacity building complete and </w:t>
            </w:r>
            <w:r w:rsidRPr="000555E8">
              <w:rPr>
                <w:rFonts w:ascii="Calibri" w:eastAsia="Times New Roman" w:hAnsi="Calibri" w:cs="Calibri"/>
                <w:sz w:val="16"/>
                <w:szCs w:val="16"/>
                <w:lang w:eastAsia="en-GB"/>
              </w:rPr>
              <w:t>capacity building across wider stakeholders is in plannin</w:t>
            </w:r>
            <w:r w:rsidR="000543EF">
              <w:rPr>
                <w:rFonts w:ascii="Calibri" w:eastAsia="Times New Roman" w:hAnsi="Calibri" w:cs="Calibri"/>
                <w:sz w:val="16"/>
                <w:szCs w:val="16"/>
                <w:lang w:eastAsia="en-GB"/>
              </w:rPr>
              <w:t>g</w:t>
            </w:r>
          </w:p>
        </w:tc>
        <w:tc>
          <w:tcPr>
            <w:tcW w:w="2953" w:type="dxa"/>
            <w:tcBorders>
              <w:top w:val="single" w:sz="18" w:space="0" w:color="D9D9D9" w:themeColor="background1" w:themeShade="D9"/>
              <w:bottom w:val="single" w:sz="18" w:space="0" w:color="D9D9D9" w:themeColor="background1" w:themeShade="D9"/>
            </w:tcBorders>
          </w:tcPr>
          <w:p w14:paraId="4979BA23" w14:textId="03947444" w:rsidR="000543EF" w:rsidRPr="000543EF" w:rsidRDefault="00742C92" w:rsidP="000543EF">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Core team capacity and skills reviewed and updated regularly and capacity building across wider stakeholders is underway</w:t>
            </w:r>
          </w:p>
        </w:tc>
        <w:tc>
          <w:tcPr>
            <w:tcW w:w="2861" w:type="dxa"/>
            <w:tcBorders>
              <w:top w:val="single" w:sz="18" w:space="0" w:color="D9D9D9" w:themeColor="background1" w:themeShade="D9"/>
              <w:bottom w:val="single" w:sz="18" w:space="0" w:color="D9D9D9" w:themeColor="background1" w:themeShade="D9"/>
            </w:tcBorders>
          </w:tcPr>
          <w:p w14:paraId="5DE6B4F8" w14:textId="6F84FABA" w:rsidR="000543EF" w:rsidRPr="000543EF" w:rsidRDefault="00742C92" w:rsidP="000543EF">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Fully resourced roll-out of capacity and skills-building across wider procurement stakeholders and reviewed regularly</w:t>
            </w:r>
          </w:p>
        </w:tc>
      </w:tr>
      <w:tr w:rsidR="00742C92" w:rsidRPr="00FF3163" w14:paraId="66670C8E" w14:textId="77777777" w:rsidTr="004C2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9" w:type="dxa"/>
            <w:gridSpan w:val="6"/>
            <w:tcBorders>
              <w:top w:val="single" w:sz="18" w:space="0" w:color="D9D9D9" w:themeColor="background1" w:themeShade="D9"/>
              <w:bottom w:val="single" w:sz="18" w:space="0" w:color="D9D9D9" w:themeColor="background1" w:themeShade="D9"/>
            </w:tcBorders>
            <w:shd w:val="clear" w:color="auto" w:fill="0F4761" w:themeFill="accent1" w:themeFillShade="BF"/>
            <w:tcMar>
              <w:left w:w="57" w:type="dxa"/>
              <w:right w:w="57" w:type="dxa"/>
            </w:tcMar>
          </w:tcPr>
          <w:p w14:paraId="4208CB2B" w14:textId="77777777" w:rsidR="00742C92" w:rsidRPr="00147EC1" w:rsidRDefault="00742C92" w:rsidP="004C2508">
            <w:pPr>
              <w:ind w:left="70"/>
              <w:rPr>
                <w:rFonts w:ascii="Calibri" w:eastAsia="Times New Roman" w:hAnsi="Calibri" w:cs="Calibri"/>
                <w:sz w:val="16"/>
                <w:szCs w:val="16"/>
                <w:lang w:eastAsia="en-GB"/>
              </w:rPr>
            </w:pPr>
            <w:r>
              <w:rPr>
                <w:rFonts w:ascii="Calibri" w:eastAsia="Times New Roman" w:hAnsi="Calibri" w:cs="Calibri"/>
                <w:i/>
                <w:iCs/>
                <w:sz w:val="24"/>
                <w:szCs w:val="24"/>
                <w:lang w:eastAsia="en-GB"/>
              </w:rPr>
              <w:t>Opportunities</w:t>
            </w:r>
          </w:p>
        </w:tc>
      </w:tr>
      <w:tr w:rsidR="00742C92" w:rsidRPr="00FF3163" w14:paraId="635573EF" w14:textId="77777777" w:rsidTr="004C2508">
        <w:tc>
          <w:tcPr>
            <w:cnfStyle w:val="001000000000" w:firstRow="0" w:lastRow="0" w:firstColumn="1" w:lastColumn="0" w:oddVBand="0" w:evenVBand="0" w:oddHBand="0" w:evenHBand="0" w:firstRowFirstColumn="0" w:firstRowLastColumn="0" w:lastRowFirstColumn="0" w:lastRowLastColumn="0"/>
            <w:tcW w:w="1773" w:type="dxa"/>
            <w:tcBorders>
              <w:top w:val="single" w:sz="18" w:space="0" w:color="D9D9D9" w:themeColor="background1" w:themeShade="D9"/>
              <w:bottom w:val="single" w:sz="18" w:space="0" w:color="D9D9D9" w:themeColor="background1" w:themeShade="D9"/>
            </w:tcBorders>
            <w:tcMar>
              <w:left w:w="57" w:type="dxa"/>
              <w:right w:w="57" w:type="dxa"/>
            </w:tcMar>
          </w:tcPr>
          <w:p w14:paraId="1A599EEC" w14:textId="77777777" w:rsidR="00742C92" w:rsidRPr="00FF3163" w:rsidRDefault="00742C92" w:rsidP="004C2508">
            <w:pP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O1 </w:t>
            </w:r>
            <w:r w:rsidRPr="00FF3163">
              <w:rPr>
                <w:rFonts w:ascii="Calibri" w:eastAsia="Times New Roman" w:hAnsi="Calibri" w:cs="Calibri"/>
                <w:sz w:val="20"/>
                <w:szCs w:val="20"/>
                <w:lang w:eastAsia="en-GB"/>
              </w:rPr>
              <w:t>Procurement Process</w:t>
            </w:r>
            <w:r>
              <w:rPr>
                <w:rFonts w:ascii="Calibri" w:eastAsia="Times New Roman" w:hAnsi="Calibri" w:cs="Calibri"/>
                <w:sz w:val="20"/>
                <w:szCs w:val="20"/>
                <w:lang w:eastAsia="en-GB"/>
              </w:rPr>
              <w:t>es</w:t>
            </w:r>
          </w:p>
        </w:tc>
        <w:tc>
          <w:tcPr>
            <w:tcW w:w="2032" w:type="dxa"/>
            <w:tcBorders>
              <w:top w:val="single" w:sz="18" w:space="0" w:color="D9D9D9" w:themeColor="background1" w:themeShade="D9"/>
              <w:bottom w:val="single" w:sz="18" w:space="0" w:color="D9D9D9" w:themeColor="background1" w:themeShade="D9"/>
            </w:tcBorders>
          </w:tcPr>
          <w:p w14:paraId="7B327675" w14:textId="77777777" w:rsidR="00742C92" w:rsidRPr="00C9228F" w:rsidRDefault="00742C92"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Standard procurement processes in place with basic or minimal ad hoc consideration of SP on tender-by-tender basis</w:t>
            </w:r>
          </w:p>
        </w:tc>
        <w:tc>
          <w:tcPr>
            <w:tcW w:w="2551" w:type="dxa"/>
            <w:tcBorders>
              <w:top w:val="single" w:sz="18" w:space="0" w:color="D9D9D9" w:themeColor="background1" w:themeShade="D9"/>
              <w:bottom w:val="single" w:sz="18" w:space="0" w:color="D9D9D9" w:themeColor="background1" w:themeShade="D9"/>
            </w:tcBorders>
          </w:tcPr>
          <w:p w14:paraId="59F76595" w14:textId="77777777" w:rsidR="00742C92" w:rsidRPr="00C9228F" w:rsidRDefault="00742C92"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Tender-based approach to embedding SP through existing criteria on a consistent basis</w:t>
            </w:r>
          </w:p>
        </w:tc>
        <w:tc>
          <w:tcPr>
            <w:tcW w:w="2599" w:type="dxa"/>
            <w:tcBorders>
              <w:top w:val="single" w:sz="18" w:space="0" w:color="D9D9D9" w:themeColor="background1" w:themeShade="D9"/>
              <w:bottom w:val="single" w:sz="18" w:space="0" w:color="D9D9D9" w:themeColor="background1" w:themeShade="D9"/>
            </w:tcBorders>
          </w:tcPr>
          <w:p w14:paraId="0300E15F" w14:textId="694FB4B2" w:rsidR="00742C92" w:rsidRPr="00C9228F" w:rsidRDefault="00742C92"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Pre-tender</w:t>
            </w:r>
            <w:r w:rsidR="00A76987">
              <w:rPr>
                <w:rStyle w:val="FootnoteReference"/>
                <w:rFonts w:ascii="Calibri" w:eastAsia="Times New Roman" w:hAnsi="Calibri" w:cs="Calibri"/>
                <w:sz w:val="16"/>
                <w:szCs w:val="16"/>
                <w:lang w:eastAsia="en-GB"/>
              </w:rPr>
              <w:footnoteReference w:id="1"/>
            </w:r>
            <w:r>
              <w:rPr>
                <w:rFonts w:ascii="Calibri" w:eastAsia="Times New Roman" w:hAnsi="Calibri" w:cs="Calibri"/>
                <w:sz w:val="16"/>
                <w:szCs w:val="16"/>
                <w:lang w:eastAsia="en-GB"/>
              </w:rPr>
              <w:t xml:space="preserve"> procurement procedures in place (including market dialogues) to identify CP opportunities for key tenders</w:t>
            </w:r>
          </w:p>
        </w:tc>
        <w:tc>
          <w:tcPr>
            <w:tcW w:w="2953" w:type="dxa"/>
            <w:tcBorders>
              <w:top w:val="single" w:sz="18" w:space="0" w:color="D9D9D9" w:themeColor="background1" w:themeShade="D9"/>
              <w:bottom w:val="single" w:sz="18" w:space="0" w:color="D9D9D9" w:themeColor="background1" w:themeShade="D9"/>
            </w:tcBorders>
          </w:tcPr>
          <w:p w14:paraId="53D29DA0" w14:textId="77777777" w:rsidR="00742C92" w:rsidRPr="005A1CF9" w:rsidRDefault="00742C92"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Pre-tender CP assessments embedded in procedures and implemented on consistent basis. Forward planning of procurement is also undertaken regularly</w:t>
            </w:r>
          </w:p>
        </w:tc>
        <w:tc>
          <w:tcPr>
            <w:tcW w:w="2861" w:type="dxa"/>
            <w:tcBorders>
              <w:top w:val="single" w:sz="18" w:space="0" w:color="D9D9D9" w:themeColor="background1" w:themeShade="D9"/>
              <w:bottom w:val="single" w:sz="18" w:space="0" w:color="D9D9D9" w:themeColor="background1" w:themeShade="D9"/>
            </w:tcBorders>
          </w:tcPr>
          <w:p w14:paraId="51F5F218" w14:textId="77777777" w:rsidR="00742C92" w:rsidRPr="00147EC1" w:rsidRDefault="00742C92" w:rsidP="004C2508">
            <w:pPr>
              <w:pStyle w:val="ListParagraph"/>
              <w:numPr>
                <w:ilvl w:val="0"/>
                <w:numId w:val="1"/>
              </w:numPr>
              <w:ind w:left="212" w:hanging="142"/>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Pre-tender, tender and contract management procedures have been linked together along with a category management approach for prioritised categories</w:t>
            </w:r>
          </w:p>
        </w:tc>
      </w:tr>
      <w:tr w:rsidR="00742C92" w:rsidRPr="00FF3163" w14:paraId="6F62102F" w14:textId="77777777" w:rsidTr="004C250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773" w:type="dxa"/>
            <w:tcBorders>
              <w:top w:val="single" w:sz="18" w:space="0" w:color="D9D9D9" w:themeColor="background1" w:themeShade="D9"/>
              <w:bottom w:val="single" w:sz="18" w:space="0" w:color="D9D9D9" w:themeColor="background1" w:themeShade="D9"/>
            </w:tcBorders>
            <w:tcMar>
              <w:left w:w="57" w:type="dxa"/>
              <w:right w:w="57" w:type="dxa"/>
            </w:tcMar>
          </w:tcPr>
          <w:p w14:paraId="604D8345" w14:textId="77777777" w:rsidR="00742C92" w:rsidRPr="00FF3163" w:rsidRDefault="00742C92" w:rsidP="004C2508">
            <w:pPr>
              <w:rPr>
                <w:rFonts w:ascii="Calibri" w:eastAsia="Times New Roman" w:hAnsi="Calibri" w:cs="Calibri"/>
                <w:sz w:val="20"/>
                <w:szCs w:val="20"/>
                <w:lang w:eastAsia="en-GB"/>
              </w:rPr>
            </w:pPr>
            <w:r>
              <w:rPr>
                <w:rFonts w:ascii="Calibri" w:eastAsia="Times New Roman" w:hAnsi="Calibri" w:cs="Calibri"/>
                <w:sz w:val="20"/>
                <w:szCs w:val="20"/>
                <w:lang w:eastAsia="en-GB"/>
              </w:rPr>
              <w:t>O2 Organisational (infra)structure</w:t>
            </w:r>
          </w:p>
        </w:tc>
        <w:tc>
          <w:tcPr>
            <w:tcW w:w="2032" w:type="dxa"/>
            <w:tcBorders>
              <w:top w:val="single" w:sz="18" w:space="0" w:color="D9D9D9" w:themeColor="background1" w:themeShade="D9"/>
              <w:bottom w:val="single" w:sz="18" w:space="0" w:color="D9D9D9" w:themeColor="background1" w:themeShade="D9"/>
            </w:tcBorders>
          </w:tcPr>
          <w:p w14:paraId="18B1DA0A" w14:textId="4D5935A6" w:rsidR="00742C92" w:rsidRPr="00C9228F"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Organisation structure acts as a barrier to </w:t>
            </w:r>
            <w:r w:rsidR="00655946">
              <w:rPr>
                <w:rFonts w:ascii="Calibri" w:eastAsia="Times New Roman" w:hAnsi="Calibri" w:cs="Calibri"/>
                <w:sz w:val="16"/>
                <w:szCs w:val="16"/>
                <w:lang w:eastAsia="en-GB"/>
              </w:rPr>
              <w:t>identifying circular</w:t>
            </w:r>
            <w:r>
              <w:rPr>
                <w:rFonts w:ascii="Calibri" w:eastAsia="Times New Roman" w:hAnsi="Calibri" w:cs="Calibri"/>
                <w:sz w:val="16"/>
                <w:szCs w:val="16"/>
                <w:lang w:eastAsia="en-GB"/>
              </w:rPr>
              <w:t xml:space="preserve"> economy outcomes </w:t>
            </w:r>
          </w:p>
        </w:tc>
        <w:tc>
          <w:tcPr>
            <w:tcW w:w="2551" w:type="dxa"/>
            <w:tcBorders>
              <w:top w:val="single" w:sz="18" w:space="0" w:color="D9D9D9" w:themeColor="background1" w:themeShade="D9"/>
              <w:bottom w:val="single" w:sz="18" w:space="0" w:color="D9D9D9" w:themeColor="background1" w:themeShade="D9"/>
            </w:tcBorders>
          </w:tcPr>
          <w:p w14:paraId="7A0681A7" w14:textId="77777777" w:rsidR="00742C92" w:rsidRPr="00C9228F"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Organisation recognises circular </w:t>
            </w:r>
            <w:proofErr w:type="gramStart"/>
            <w:r>
              <w:rPr>
                <w:rFonts w:ascii="Calibri" w:eastAsia="Times New Roman" w:hAnsi="Calibri" w:cs="Calibri"/>
                <w:sz w:val="16"/>
                <w:szCs w:val="16"/>
                <w:lang w:eastAsia="en-GB"/>
              </w:rPr>
              <w:t>benefits</w:t>
            </w:r>
            <w:proofErr w:type="gramEnd"/>
            <w:r>
              <w:rPr>
                <w:rFonts w:ascii="Calibri" w:eastAsia="Times New Roman" w:hAnsi="Calibri" w:cs="Calibri"/>
                <w:sz w:val="16"/>
                <w:szCs w:val="16"/>
                <w:lang w:eastAsia="en-GB"/>
              </w:rPr>
              <w:t xml:space="preserve"> but structure only enables limited action e.g. pilots</w:t>
            </w:r>
          </w:p>
        </w:tc>
        <w:tc>
          <w:tcPr>
            <w:tcW w:w="2599" w:type="dxa"/>
            <w:tcBorders>
              <w:top w:val="single" w:sz="18" w:space="0" w:color="D9D9D9" w:themeColor="background1" w:themeShade="D9"/>
              <w:bottom w:val="single" w:sz="18" w:space="0" w:color="D9D9D9" w:themeColor="background1" w:themeShade="D9"/>
            </w:tcBorders>
          </w:tcPr>
          <w:p w14:paraId="66A8E392" w14:textId="77777777" w:rsidR="00742C92" w:rsidRPr="00C9228F"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Organisation structure and processes capable of limited change to adopt elements of circular procurement pilots</w:t>
            </w:r>
          </w:p>
        </w:tc>
        <w:tc>
          <w:tcPr>
            <w:tcW w:w="2953" w:type="dxa"/>
            <w:tcBorders>
              <w:top w:val="single" w:sz="18" w:space="0" w:color="D9D9D9" w:themeColor="background1" w:themeShade="D9"/>
              <w:bottom w:val="single" w:sz="18" w:space="0" w:color="D9D9D9" w:themeColor="background1" w:themeShade="D9"/>
            </w:tcBorders>
          </w:tcPr>
          <w:p w14:paraId="782F3446" w14:textId="77777777" w:rsidR="00742C92" w:rsidRPr="00C9228F"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Processes are being changed as required and organisation undertaking review of structural changes required to enable scale-up</w:t>
            </w:r>
          </w:p>
        </w:tc>
        <w:tc>
          <w:tcPr>
            <w:tcW w:w="2861" w:type="dxa"/>
            <w:tcBorders>
              <w:top w:val="single" w:sz="18" w:space="0" w:color="D9D9D9" w:themeColor="background1" w:themeShade="D9"/>
              <w:bottom w:val="single" w:sz="18" w:space="0" w:color="D9D9D9" w:themeColor="background1" w:themeShade="D9"/>
            </w:tcBorders>
          </w:tcPr>
          <w:p w14:paraId="45F55246" w14:textId="77777777" w:rsidR="00742C92" w:rsidRPr="00C9228F" w:rsidRDefault="00742C92" w:rsidP="004C2508">
            <w:pPr>
              <w:pStyle w:val="ListParagraph"/>
              <w:numPr>
                <w:ilvl w:val="0"/>
                <w:numId w:val="1"/>
              </w:numPr>
              <w:ind w:left="212" w:hanging="142"/>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Organisation in the process of, or completed, relevant structural changes to enable scaling up </w:t>
            </w:r>
          </w:p>
        </w:tc>
      </w:tr>
    </w:tbl>
    <w:p w14:paraId="2776D668" w14:textId="77777777" w:rsidR="00742C92" w:rsidRDefault="00742C92" w:rsidP="004C2508">
      <w:pPr>
        <w:ind w:left="142" w:hanging="142"/>
      </w:pPr>
    </w:p>
    <w:sectPr w:rsidR="00742C92" w:rsidSect="00420E1B">
      <w:headerReference w:type="default" r:id="rId13"/>
      <w:footerReference w:type="default" r:id="rId14"/>
      <w:pgSz w:w="16838" w:h="11906" w:orient="landscape"/>
      <w:pgMar w:top="1134" w:right="720" w:bottom="720" w:left="720"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DB4DA" w14:textId="77777777" w:rsidR="00390926" w:rsidRDefault="00390926" w:rsidP="00331A0C">
      <w:pPr>
        <w:spacing w:after="0" w:line="240" w:lineRule="auto"/>
      </w:pPr>
      <w:r>
        <w:separator/>
      </w:r>
    </w:p>
  </w:endnote>
  <w:endnote w:type="continuationSeparator" w:id="0">
    <w:p w14:paraId="0FD5FFA6" w14:textId="77777777" w:rsidR="00390926" w:rsidRDefault="00390926" w:rsidP="0033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6816384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5454B4AD" w14:textId="49C87F1D" w:rsidR="001F08FA" w:rsidRPr="001F08FA" w:rsidRDefault="001F08FA">
            <w:pPr>
              <w:pStyle w:val="Footer"/>
              <w:jc w:val="right"/>
              <w:rPr>
                <w:sz w:val="18"/>
                <w:szCs w:val="18"/>
              </w:rPr>
            </w:pPr>
            <w:r w:rsidRPr="001F08FA">
              <w:rPr>
                <w:sz w:val="18"/>
                <w:szCs w:val="18"/>
              </w:rPr>
              <w:t xml:space="preserve">Page </w:t>
            </w:r>
            <w:r w:rsidRPr="001F08FA">
              <w:rPr>
                <w:b/>
                <w:bCs/>
                <w:sz w:val="18"/>
                <w:szCs w:val="18"/>
              </w:rPr>
              <w:fldChar w:fldCharType="begin"/>
            </w:r>
            <w:r w:rsidRPr="001F08FA">
              <w:rPr>
                <w:b/>
                <w:bCs/>
                <w:sz w:val="18"/>
                <w:szCs w:val="18"/>
              </w:rPr>
              <w:instrText xml:space="preserve"> PAGE </w:instrText>
            </w:r>
            <w:r w:rsidRPr="001F08FA">
              <w:rPr>
                <w:b/>
                <w:bCs/>
                <w:sz w:val="18"/>
                <w:szCs w:val="18"/>
              </w:rPr>
              <w:fldChar w:fldCharType="separate"/>
            </w:r>
            <w:r w:rsidRPr="001F08FA">
              <w:rPr>
                <w:b/>
                <w:bCs/>
                <w:noProof/>
                <w:sz w:val="18"/>
                <w:szCs w:val="18"/>
              </w:rPr>
              <w:t>2</w:t>
            </w:r>
            <w:r w:rsidRPr="001F08FA">
              <w:rPr>
                <w:b/>
                <w:bCs/>
                <w:sz w:val="18"/>
                <w:szCs w:val="18"/>
              </w:rPr>
              <w:fldChar w:fldCharType="end"/>
            </w:r>
            <w:r w:rsidRPr="001F08FA">
              <w:rPr>
                <w:sz w:val="18"/>
                <w:szCs w:val="18"/>
              </w:rPr>
              <w:t xml:space="preserve"> of </w:t>
            </w:r>
            <w:r w:rsidRPr="001F08FA">
              <w:rPr>
                <w:b/>
                <w:bCs/>
                <w:sz w:val="18"/>
                <w:szCs w:val="18"/>
              </w:rPr>
              <w:fldChar w:fldCharType="begin"/>
            </w:r>
            <w:r w:rsidRPr="001F08FA">
              <w:rPr>
                <w:b/>
                <w:bCs/>
                <w:sz w:val="18"/>
                <w:szCs w:val="18"/>
              </w:rPr>
              <w:instrText xml:space="preserve"> NUMPAGES  </w:instrText>
            </w:r>
            <w:r w:rsidRPr="001F08FA">
              <w:rPr>
                <w:b/>
                <w:bCs/>
                <w:sz w:val="18"/>
                <w:szCs w:val="18"/>
              </w:rPr>
              <w:fldChar w:fldCharType="separate"/>
            </w:r>
            <w:r w:rsidRPr="001F08FA">
              <w:rPr>
                <w:b/>
                <w:bCs/>
                <w:noProof/>
                <w:sz w:val="18"/>
                <w:szCs w:val="18"/>
              </w:rPr>
              <w:t>2</w:t>
            </w:r>
            <w:r w:rsidRPr="001F08FA">
              <w:rPr>
                <w:b/>
                <w:bCs/>
                <w:sz w:val="18"/>
                <w:szCs w:val="18"/>
              </w:rPr>
              <w:fldChar w:fldCharType="end"/>
            </w:r>
          </w:p>
        </w:sdtContent>
      </w:sdt>
    </w:sdtContent>
  </w:sdt>
  <w:p w14:paraId="30CC2753" w14:textId="77777777" w:rsidR="001F08FA" w:rsidRDefault="001F0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21229053"/>
      <w:docPartObj>
        <w:docPartGallery w:val="Page Numbers (Bottom of Page)"/>
        <w:docPartUnique/>
      </w:docPartObj>
    </w:sdtPr>
    <w:sdtContent>
      <w:sdt>
        <w:sdtPr>
          <w:rPr>
            <w:sz w:val="18"/>
            <w:szCs w:val="18"/>
          </w:rPr>
          <w:id w:val="-1597937812"/>
          <w:docPartObj>
            <w:docPartGallery w:val="Page Numbers (Top of Page)"/>
            <w:docPartUnique/>
          </w:docPartObj>
        </w:sdtPr>
        <w:sdtContent>
          <w:p w14:paraId="02812016" w14:textId="77777777" w:rsidR="00CE532C" w:rsidRPr="001F08FA" w:rsidRDefault="00CE532C" w:rsidP="00420E1B">
            <w:pPr>
              <w:pStyle w:val="Footer"/>
              <w:ind w:right="89"/>
              <w:jc w:val="right"/>
              <w:rPr>
                <w:sz w:val="18"/>
                <w:szCs w:val="18"/>
              </w:rPr>
            </w:pPr>
            <w:r w:rsidRPr="001F08FA">
              <w:rPr>
                <w:sz w:val="18"/>
                <w:szCs w:val="18"/>
              </w:rPr>
              <w:t xml:space="preserve">Page </w:t>
            </w:r>
            <w:r w:rsidRPr="001F08FA">
              <w:rPr>
                <w:b/>
                <w:bCs/>
                <w:sz w:val="18"/>
                <w:szCs w:val="18"/>
              </w:rPr>
              <w:fldChar w:fldCharType="begin"/>
            </w:r>
            <w:r w:rsidRPr="001F08FA">
              <w:rPr>
                <w:b/>
                <w:bCs/>
                <w:sz w:val="18"/>
                <w:szCs w:val="18"/>
              </w:rPr>
              <w:instrText xml:space="preserve"> PAGE </w:instrText>
            </w:r>
            <w:r w:rsidRPr="001F08FA">
              <w:rPr>
                <w:b/>
                <w:bCs/>
                <w:sz w:val="18"/>
                <w:szCs w:val="18"/>
              </w:rPr>
              <w:fldChar w:fldCharType="separate"/>
            </w:r>
            <w:r w:rsidRPr="001F08FA">
              <w:rPr>
                <w:b/>
                <w:bCs/>
                <w:noProof/>
                <w:sz w:val="18"/>
                <w:szCs w:val="18"/>
              </w:rPr>
              <w:t>2</w:t>
            </w:r>
            <w:r w:rsidRPr="001F08FA">
              <w:rPr>
                <w:b/>
                <w:bCs/>
                <w:sz w:val="18"/>
                <w:szCs w:val="18"/>
              </w:rPr>
              <w:fldChar w:fldCharType="end"/>
            </w:r>
            <w:r w:rsidRPr="001F08FA">
              <w:rPr>
                <w:sz w:val="18"/>
                <w:szCs w:val="18"/>
              </w:rPr>
              <w:t xml:space="preserve"> of </w:t>
            </w:r>
            <w:r w:rsidRPr="001F08FA">
              <w:rPr>
                <w:b/>
                <w:bCs/>
                <w:sz w:val="18"/>
                <w:szCs w:val="18"/>
              </w:rPr>
              <w:fldChar w:fldCharType="begin"/>
            </w:r>
            <w:r w:rsidRPr="001F08FA">
              <w:rPr>
                <w:b/>
                <w:bCs/>
                <w:sz w:val="18"/>
                <w:szCs w:val="18"/>
              </w:rPr>
              <w:instrText xml:space="preserve"> NUMPAGES  </w:instrText>
            </w:r>
            <w:r w:rsidRPr="001F08FA">
              <w:rPr>
                <w:b/>
                <w:bCs/>
                <w:sz w:val="18"/>
                <w:szCs w:val="18"/>
              </w:rPr>
              <w:fldChar w:fldCharType="separate"/>
            </w:r>
            <w:r w:rsidRPr="001F08FA">
              <w:rPr>
                <w:b/>
                <w:bCs/>
                <w:noProof/>
                <w:sz w:val="18"/>
                <w:szCs w:val="18"/>
              </w:rPr>
              <w:t>2</w:t>
            </w:r>
            <w:r w:rsidRPr="001F08FA">
              <w:rPr>
                <w:b/>
                <w:bCs/>
                <w:sz w:val="18"/>
                <w:szCs w:val="18"/>
              </w:rPr>
              <w:fldChar w:fldCharType="end"/>
            </w:r>
          </w:p>
        </w:sdtContent>
      </w:sdt>
    </w:sdtContent>
  </w:sdt>
  <w:p w14:paraId="2EB89C79" w14:textId="77777777" w:rsidR="00CE532C" w:rsidRDefault="00CE5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A4D5C" w14:textId="77777777" w:rsidR="00390926" w:rsidRDefault="00390926" w:rsidP="00331A0C">
      <w:pPr>
        <w:spacing w:after="0" w:line="240" w:lineRule="auto"/>
      </w:pPr>
      <w:r>
        <w:separator/>
      </w:r>
    </w:p>
  </w:footnote>
  <w:footnote w:type="continuationSeparator" w:id="0">
    <w:p w14:paraId="22F8A3F3" w14:textId="77777777" w:rsidR="00390926" w:rsidRDefault="00390926" w:rsidP="00331A0C">
      <w:pPr>
        <w:spacing w:after="0" w:line="240" w:lineRule="auto"/>
      </w:pPr>
      <w:r>
        <w:continuationSeparator/>
      </w:r>
    </w:p>
  </w:footnote>
  <w:footnote w:id="1">
    <w:p w14:paraId="31D403AE" w14:textId="551CCB99" w:rsidR="00A76987" w:rsidRDefault="00A76987">
      <w:pPr>
        <w:pStyle w:val="FootnoteText"/>
      </w:pPr>
      <w:r>
        <w:rPr>
          <w:rStyle w:val="FootnoteReference"/>
        </w:rPr>
        <w:footnoteRef/>
      </w:r>
      <w:r>
        <w:t xml:space="preserve"> </w:t>
      </w:r>
      <w:r w:rsidRPr="00A76987">
        <w:rPr>
          <w:sz w:val="16"/>
          <w:szCs w:val="16"/>
        </w:rPr>
        <w:t>See Figure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54587" w14:textId="35EA1A32" w:rsidR="00331A0C" w:rsidRPr="001F08FA" w:rsidRDefault="00CE532C" w:rsidP="006E2BA9">
    <w:pPr>
      <w:pStyle w:val="Header"/>
      <w:spacing w:after="160"/>
      <w:rPr>
        <w:i/>
        <w:iCs/>
      </w:rPr>
    </w:pPr>
    <w:r>
      <w:rPr>
        <w:i/>
        <w:iCs/>
        <w:noProof/>
      </w:rPr>
      <w:drawing>
        <wp:anchor distT="0" distB="0" distL="114300" distR="114300" simplePos="0" relativeHeight="251658240" behindDoc="0" locked="0" layoutInCell="1" allowOverlap="1" wp14:anchorId="6533461A" wp14:editId="29645B7B">
          <wp:simplePos x="0" y="0"/>
          <wp:positionH relativeFrom="column">
            <wp:posOffset>5017770</wp:posOffset>
          </wp:positionH>
          <wp:positionV relativeFrom="paragraph">
            <wp:posOffset>-259080</wp:posOffset>
          </wp:positionV>
          <wp:extent cx="1536065" cy="554990"/>
          <wp:effectExtent l="0" t="0" r="6985" b="0"/>
          <wp:wrapNone/>
          <wp:docPr id="137844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554990"/>
                  </a:xfrm>
                  <a:prstGeom prst="rect">
                    <a:avLst/>
                  </a:prstGeom>
                  <a:noFill/>
                </pic:spPr>
              </pic:pic>
            </a:graphicData>
          </a:graphic>
          <wp14:sizeRelH relativeFrom="page">
            <wp14:pctWidth>0</wp14:pctWidth>
          </wp14:sizeRelH>
          <wp14:sizeRelV relativeFrom="page">
            <wp14:pctHeight>0</wp14:pctHeight>
          </wp14:sizeRelV>
        </wp:anchor>
      </w:drawing>
    </w:r>
    <w:r w:rsidR="001F08FA">
      <w:rPr>
        <w:i/>
        <w:iCs/>
      </w:rPr>
      <w:t xml:space="preserve">Circular Minds </w:t>
    </w:r>
    <w:r w:rsidR="00331A0C" w:rsidRPr="001F08FA">
      <w:rPr>
        <w:i/>
        <w:iCs/>
      </w:rPr>
      <w:t xml:space="preserve">Indicators </w:t>
    </w:r>
    <w:r w:rsidR="00001F53">
      <w:rPr>
        <w:i/>
        <w:iCs/>
      </w:rPr>
      <w:t>Matrix</w:t>
    </w:r>
    <w:r w:rsidR="001F08FA" w:rsidRPr="001F08FA">
      <w:rPr>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BCB0" w14:textId="77777777" w:rsidR="00CE532C" w:rsidRPr="001F08FA" w:rsidRDefault="00CE532C" w:rsidP="000E5BA0">
    <w:pPr>
      <w:pStyle w:val="Header"/>
      <w:spacing w:after="160"/>
      <w:ind w:left="-284"/>
      <w:rPr>
        <w:i/>
        <w:iCs/>
      </w:rPr>
    </w:pPr>
    <w:r>
      <w:rPr>
        <w:i/>
        <w:iCs/>
        <w:noProof/>
      </w:rPr>
      <w:drawing>
        <wp:anchor distT="0" distB="0" distL="114300" distR="114300" simplePos="0" relativeHeight="251660288" behindDoc="0" locked="0" layoutInCell="1" allowOverlap="1" wp14:anchorId="6FF15D03" wp14:editId="544909FE">
          <wp:simplePos x="0" y="0"/>
          <wp:positionH relativeFrom="column">
            <wp:posOffset>8122920</wp:posOffset>
          </wp:positionH>
          <wp:positionV relativeFrom="paragraph">
            <wp:posOffset>-259080</wp:posOffset>
          </wp:positionV>
          <wp:extent cx="1536065" cy="554990"/>
          <wp:effectExtent l="0" t="0" r="6985" b="0"/>
          <wp:wrapNone/>
          <wp:docPr id="2126661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554990"/>
                  </a:xfrm>
                  <a:prstGeom prst="rect">
                    <a:avLst/>
                  </a:prstGeom>
                  <a:noFill/>
                </pic:spPr>
              </pic:pic>
            </a:graphicData>
          </a:graphic>
          <wp14:sizeRelH relativeFrom="page">
            <wp14:pctWidth>0</wp14:pctWidth>
          </wp14:sizeRelH>
          <wp14:sizeRelV relativeFrom="page">
            <wp14:pctHeight>0</wp14:pctHeight>
          </wp14:sizeRelV>
        </wp:anchor>
      </w:drawing>
    </w:r>
    <w:r>
      <w:rPr>
        <w:i/>
        <w:iCs/>
      </w:rPr>
      <w:t xml:space="preserve">Circular Minds </w:t>
    </w:r>
    <w:r w:rsidRPr="001F08FA">
      <w:rPr>
        <w:i/>
        <w:iCs/>
      </w:rPr>
      <w:t xml:space="preserve">Indicators Framework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B7C8" w14:textId="20A6C67A" w:rsidR="00662270" w:rsidRPr="001F08FA" w:rsidRDefault="00655946" w:rsidP="000E5BA0">
    <w:pPr>
      <w:pStyle w:val="Header"/>
      <w:spacing w:after="160"/>
      <w:ind w:left="-284"/>
      <w:rPr>
        <w:i/>
        <w:iCs/>
      </w:rPr>
    </w:pPr>
    <w:r>
      <w:rPr>
        <w:i/>
        <w:iCs/>
        <w:noProof/>
      </w:rPr>
      <w:drawing>
        <wp:anchor distT="0" distB="0" distL="114300" distR="114300" simplePos="0" relativeHeight="251661312" behindDoc="0" locked="0" layoutInCell="1" allowOverlap="1" wp14:anchorId="7106DC45" wp14:editId="56803555">
          <wp:simplePos x="0" y="0"/>
          <wp:positionH relativeFrom="column">
            <wp:posOffset>7953375</wp:posOffset>
          </wp:positionH>
          <wp:positionV relativeFrom="paragraph">
            <wp:posOffset>-246380</wp:posOffset>
          </wp:positionV>
          <wp:extent cx="1530350" cy="554990"/>
          <wp:effectExtent l="0" t="0" r="0" b="0"/>
          <wp:wrapNone/>
          <wp:docPr id="7292147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554990"/>
                  </a:xfrm>
                  <a:prstGeom prst="rect">
                    <a:avLst/>
                  </a:prstGeom>
                  <a:noFill/>
                </pic:spPr>
              </pic:pic>
            </a:graphicData>
          </a:graphic>
          <wp14:sizeRelH relativeFrom="page">
            <wp14:pctWidth>0</wp14:pctWidth>
          </wp14:sizeRelH>
          <wp14:sizeRelV relativeFrom="page">
            <wp14:pctHeight>0</wp14:pctHeight>
          </wp14:sizeRelV>
        </wp:anchor>
      </w:drawing>
    </w:r>
    <w:r w:rsidR="00662270">
      <w:rPr>
        <w:i/>
        <w:iCs/>
      </w:rPr>
      <w:t xml:space="preserve">Circular Minds </w:t>
    </w:r>
    <w:r w:rsidR="00662270" w:rsidRPr="001F08FA">
      <w:rPr>
        <w:i/>
        <w:iCs/>
      </w:rPr>
      <w:t xml:space="preserve">Indicators Framework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12DE5"/>
    <w:multiLevelType w:val="hybridMultilevel"/>
    <w:tmpl w:val="C20CCA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CD31B9"/>
    <w:multiLevelType w:val="hybridMultilevel"/>
    <w:tmpl w:val="6BB6BB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4444B6"/>
    <w:multiLevelType w:val="hybridMultilevel"/>
    <w:tmpl w:val="83143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F810193"/>
    <w:multiLevelType w:val="hybridMultilevel"/>
    <w:tmpl w:val="29561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FB3011"/>
    <w:multiLevelType w:val="hybridMultilevel"/>
    <w:tmpl w:val="68C01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10872">
    <w:abstractNumId w:val="1"/>
  </w:num>
  <w:num w:numId="2" w16cid:durableId="607543408">
    <w:abstractNumId w:val="4"/>
  </w:num>
  <w:num w:numId="3" w16cid:durableId="1032608833">
    <w:abstractNumId w:val="3"/>
  </w:num>
  <w:num w:numId="4" w16cid:durableId="129203375">
    <w:abstractNumId w:val="0"/>
  </w:num>
  <w:num w:numId="5" w16cid:durableId="1918829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BD"/>
    <w:rsid w:val="00001802"/>
    <w:rsid w:val="00001F53"/>
    <w:rsid w:val="0001788F"/>
    <w:rsid w:val="00023AB8"/>
    <w:rsid w:val="00026124"/>
    <w:rsid w:val="00044944"/>
    <w:rsid w:val="000543EF"/>
    <w:rsid w:val="000555E8"/>
    <w:rsid w:val="000559F5"/>
    <w:rsid w:val="00067470"/>
    <w:rsid w:val="000737D6"/>
    <w:rsid w:val="0008557A"/>
    <w:rsid w:val="00097F85"/>
    <w:rsid w:val="000A40F2"/>
    <w:rsid w:val="000B4FDF"/>
    <w:rsid w:val="000E5BA0"/>
    <w:rsid w:val="000F4038"/>
    <w:rsid w:val="000F5FBB"/>
    <w:rsid w:val="00121F31"/>
    <w:rsid w:val="001258D5"/>
    <w:rsid w:val="00134FDD"/>
    <w:rsid w:val="00147EC1"/>
    <w:rsid w:val="001604D7"/>
    <w:rsid w:val="00185774"/>
    <w:rsid w:val="001B0805"/>
    <w:rsid w:val="001B274F"/>
    <w:rsid w:val="001C6A09"/>
    <w:rsid w:val="001E03A5"/>
    <w:rsid w:val="001E3FAA"/>
    <w:rsid w:val="001F08FA"/>
    <w:rsid w:val="001F3579"/>
    <w:rsid w:val="00211AA9"/>
    <w:rsid w:val="0021636F"/>
    <w:rsid w:val="00216EC0"/>
    <w:rsid w:val="00257698"/>
    <w:rsid w:val="0026180E"/>
    <w:rsid w:val="00267881"/>
    <w:rsid w:val="00274DCC"/>
    <w:rsid w:val="002C618A"/>
    <w:rsid w:val="002D09FA"/>
    <w:rsid w:val="002D65BD"/>
    <w:rsid w:val="002F0CF8"/>
    <w:rsid w:val="00311CE8"/>
    <w:rsid w:val="0031568C"/>
    <w:rsid w:val="0032166D"/>
    <w:rsid w:val="00331A0C"/>
    <w:rsid w:val="00345303"/>
    <w:rsid w:val="0034718D"/>
    <w:rsid w:val="00351238"/>
    <w:rsid w:val="003602FD"/>
    <w:rsid w:val="00365FBD"/>
    <w:rsid w:val="003803BD"/>
    <w:rsid w:val="003817B5"/>
    <w:rsid w:val="0038332A"/>
    <w:rsid w:val="00390926"/>
    <w:rsid w:val="003932AF"/>
    <w:rsid w:val="003E743A"/>
    <w:rsid w:val="003F166C"/>
    <w:rsid w:val="004108AA"/>
    <w:rsid w:val="00420E1B"/>
    <w:rsid w:val="00421E2D"/>
    <w:rsid w:val="00430A65"/>
    <w:rsid w:val="004412D0"/>
    <w:rsid w:val="00457DAA"/>
    <w:rsid w:val="0048731B"/>
    <w:rsid w:val="00496134"/>
    <w:rsid w:val="004A2750"/>
    <w:rsid w:val="004B5CA1"/>
    <w:rsid w:val="004C2508"/>
    <w:rsid w:val="004E47D3"/>
    <w:rsid w:val="00503FA9"/>
    <w:rsid w:val="005067A3"/>
    <w:rsid w:val="0052613D"/>
    <w:rsid w:val="005511F3"/>
    <w:rsid w:val="00557367"/>
    <w:rsid w:val="0055787C"/>
    <w:rsid w:val="005730E3"/>
    <w:rsid w:val="00585F8B"/>
    <w:rsid w:val="00591E8B"/>
    <w:rsid w:val="0059459E"/>
    <w:rsid w:val="00597508"/>
    <w:rsid w:val="005A0A32"/>
    <w:rsid w:val="005A1CF9"/>
    <w:rsid w:val="005B0B9B"/>
    <w:rsid w:val="005B1847"/>
    <w:rsid w:val="005C0F30"/>
    <w:rsid w:val="005D770E"/>
    <w:rsid w:val="00607291"/>
    <w:rsid w:val="00612672"/>
    <w:rsid w:val="00615F27"/>
    <w:rsid w:val="00643B31"/>
    <w:rsid w:val="00644941"/>
    <w:rsid w:val="00654790"/>
    <w:rsid w:val="00655946"/>
    <w:rsid w:val="00662270"/>
    <w:rsid w:val="006724BF"/>
    <w:rsid w:val="00675B95"/>
    <w:rsid w:val="006816DF"/>
    <w:rsid w:val="006859F5"/>
    <w:rsid w:val="00697C52"/>
    <w:rsid w:val="006B0E4C"/>
    <w:rsid w:val="006B2DBF"/>
    <w:rsid w:val="006C150D"/>
    <w:rsid w:val="006D491D"/>
    <w:rsid w:val="006E2BA9"/>
    <w:rsid w:val="006F125D"/>
    <w:rsid w:val="006F59B6"/>
    <w:rsid w:val="00723B90"/>
    <w:rsid w:val="0072764A"/>
    <w:rsid w:val="00742C92"/>
    <w:rsid w:val="007502E4"/>
    <w:rsid w:val="00756553"/>
    <w:rsid w:val="00761AC4"/>
    <w:rsid w:val="007633FC"/>
    <w:rsid w:val="00766C6E"/>
    <w:rsid w:val="00772CEB"/>
    <w:rsid w:val="00795B09"/>
    <w:rsid w:val="007A57F6"/>
    <w:rsid w:val="007C6C2C"/>
    <w:rsid w:val="007E1649"/>
    <w:rsid w:val="007E286B"/>
    <w:rsid w:val="007E6DE2"/>
    <w:rsid w:val="007F64E0"/>
    <w:rsid w:val="00807455"/>
    <w:rsid w:val="0082537D"/>
    <w:rsid w:val="00832D6A"/>
    <w:rsid w:val="008D5E63"/>
    <w:rsid w:val="008E13FF"/>
    <w:rsid w:val="008E7554"/>
    <w:rsid w:val="009071D5"/>
    <w:rsid w:val="0091050A"/>
    <w:rsid w:val="00952458"/>
    <w:rsid w:val="00974992"/>
    <w:rsid w:val="00982E6B"/>
    <w:rsid w:val="009C53C6"/>
    <w:rsid w:val="009E4310"/>
    <w:rsid w:val="009F3922"/>
    <w:rsid w:val="009F51F7"/>
    <w:rsid w:val="009F5721"/>
    <w:rsid w:val="00A10889"/>
    <w:rsid w:val="00A14F33"/>
    <w:rsid w:val="00A2327D"/>
    <w:rsid w:val="00A232D7"/>
    <w:rsid w:val="00A27830"/>
    <w:rsid w:val="00A40E63"/>
    <w:rsid w:val="00A72BFC"/>
    <w:rsid w:val="00A76987"/>
    <w:rsid w:val="00A91BB4"/>
    <w:rsid w:val="00AB0656"/>
    <w:rsid w:val="00AC79C6"/>
    <w:rsid w:val="00AF0068"/>
    <w:rsid w:val="00B12C1D"/>
    <w:rsid w:val="00B35C43"/>
    <w:rsid w:val="00B54540"/>
    <w:rsid w:val="00B65316"/>
    <w:rsid w:val="00B65E21"/>
    <w:rsid w:val="00B758D1"/>
    <w:rsid w:val="00B97838"/>
    <w:rsid w:val="00B97A79"/>
    <w:rsid w:val="00BB6688"/>
    <w:rsid w:val="00BC242B"/>
    <w:rsid w:val="00BC7403"/>
    <w:rsid w:val="00BD5B78"/>
    <w:rsid w:val="00BD6988"/>
    <w:rsid w:val="00BD6B5D"/>
    <w:rsid w:val="00BE3EA9"/>
    <w:rsid w:val="00C051E3"/>
    <w:rsid w:val="00C16D7F"/>
    <w:rsid w:val="00C45FFC"/>
    <w:rsid w:val="00C6289B"/>
    <w:rsid w:val="00C7239C"/>
    <w:rsid w:val="00C81185"/>
    <w:rsid w:val="00C85BD7"/>
    <w:rsid w:val="00C93E33"/>
    <w:rsid w:val="00CA6346"/>
    <w:rsid w:val="00CB324B"/>
    <w:rsid w:val="00CB34D0"/>
    <w:rsid w:val="00CC5D80"/>
    <w:rsid w:val="00CD514E"/>
    <w:rsid w:val="00CD5BDE"/>
    <w:rsid w:val="00CD5FC3"/>
    <w:rsid w:val="00CE3431"/>
    <w:rsid w:val="00CE3F78"/>
    <w:rsid w:val="00CE532C"/>
    <w:rsid w:val="00CF37C4"/>
    <w:rsid w:val="00D10B0A"/>
    <w:rsid w:val="00D304D2"/>
    <w:rsid w:val="00D31B02"/>
    <w:rsid w:val="00D43BD2"/>
    <w:rsid w:val="00D74DEB"/>
    <w:rsid w:val="00D84CA3"/>
    <w:rsid w:val="00D86DC9"/>
    <w:rsid w:val="00DA1702"/>
    <w:rsid w:val="00DA204C"/>
    <w:rsid w:val="00DA2BA9"/>
    <w:rsid w:val="00DB067A"/>
    <w:rsid w:val="00DB7EFB"/>
    <w:rsid w:val="00DE1056"/>
    <w:rsid w:val="00DE4A00"/>
    <w:rsid w:val="00E007FC"/>
    <w:rsid w:val="00E27261"/>
    <w:rsid w:val="00E31907"/>
    <w:rsid w:val="00E71885"/>
    <w:rsid w:val="00E72197"/>
    <w:rsid w:val="00E7464A"/>
    <w:rsid w:val="00E840D6"/>
    <w:rsid w:val="00E9568B"/>
    <w:rsid w:val="00EB1483"/>
    <w:rsid w:val="00EB1C93"/>
    <w:rsid w:val="00EB54EF"/>
    <w:rsid w:val="00F109E7"/>
    <w:rsid w:val="00F11610"/>
    <w:rsid w:val="00F1669F"/>
    <w:rsid w:val="00F52607"/>
    <w:rsid w:val="00F53568"/>
    <w:rsid w:val="00F7202D"/>
    <w:rsid w:val="00F76B34"/>
    <w:rsid w:val="00F80E3E"/>
    <w:rsid w:val="00F84434"/>
    <w:rsid w:val="00FA21BE"/>
    <w:rsid w:val="00FA26C8"/>
    <w:rsid w:val="00FA7B4F"/>
    <w:rsid w:val="00FD4290"/>
    <w:rsid w:val="00FE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4E202"/>
  <w15:chartTrackingRefBased/>
  <w15:docId w15:val="{C5DD7BFE-8131-4DD9-BBFF-3AE1F520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3BD"/>
  </w:style>
  <w:style w:type="paragraph" w:styleId="Heading1">
    <w:name w:val="heading 1"/>
    <w:basedOn w:val="Normal"/>
    <w:next w:val="Normal"/>
    <w:link w:val="Heading1Char"/>
    <w:uiPriority w:val="9"/>
    <w:qFormat/>
    <w:rsid w:val="00380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3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3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3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3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3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3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3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3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3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3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3BD"/>
    <w:rPr>
      <w:rFonts w:eastAsiaTheme="majorEastAsia" w:cstheme="majorBidi"/>
      <w:color w:val="272727" w:themeColor="text1" w:themeTint="D8"/>
    </w:rPr>
  </w:style>
  <w:style w:type="paragraph" w:styleId="Title">
    <w:name w:val="Title"/>
    <w:basedOn w:val="Normal"/>
    <w:next w:val="Normal"/>
    <w:link w:val="TitleChar"/>
    <w:uiPriority w:val="10"/>
    <w:qFormat/>
    <w:rsid w:val="00380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3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3BD"/>
    <w:pPr>
      <w:spacing w:before="160"/>
      <w:jc w:val="center"/>
    </w:pPr>
    <w:rPr>
      <w:i/>
      <w:iCs/>
      <w:color w:val="404040" w:themeColor="text1" w:themeTint="BF"/>
    </w:rPr>
  </w:style>
  <w:style w:type="character" w:customStyle="1" w:styleId="QuoteChar">
    <w:name w:val="Quote Char"/>
    <w:basedOn w:val="DefaultParagraphFont"/>
    <w:link w:val="Quote"/>
    <w:uiPriority w:val="29"/>
    <w:rsid w:val="003803BD"/>
    <w:rPr>
      <w:i/>
      <w:iCs/>
      <w:color w:val="404040" w:themeColor="text1" w:themeTint="BF"/>
    </w:rPr>
  </w:style>
  <w:style w:type="paragraph" w:styleId="ListParagraph">
    <w:name w:val="List Paragraph"/>
    <w:basedOn w:val="Normal"/>
    <w:link w:val="ListParagraphChar"/>
    <w:uiPriority w:val="34"/>
    <w:qFormat/>
    <w:rsid w:val="003803BD"/>
    <w:pPr>
      <w:ind w:left="720"/>
      <w:contextualSpacing/>
    </w:pPr>
  </w:style>
  <w:style w:type="character" w:styleId="IntenseEmphasis">
    <w:name w:val="Intense Emphasis"/>
    <w:basedOn w:val="DefaultParagraphFont"/>
    <w:uiPriority w:val="21"/>
    <w:qFormat/>
    <w:rsid w:val="003803BD"/>
    <w:rPr>
      <w:i/>
      <w:iCs/>
      <w:color w:val="0F4761" w:themeColor="accent1" w:themeShade="BF"/>
    </w:rPr>
  </w:style>
  <w:style w:type="paragraph" w:styleId="IntenseQuote">
    <w:name w:val="Intense Quote"/>
    <w:basedOn w:val="Normal"/>
    <w:next w:val="Normal"/>
    <w:link w:val="IntenseQuoteChar"/>
    <w:uiPriority w:val="30"/>
    <w:qFormat/>
    <w:rsid w:val="00380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3BD"/>
    <w:rPr>
      <w:i/>
      <w:iCs/>
      <w:color w:val="0F4761" w:themeColor="accent1" w:themeShade="BF"/>
    </w:rPr>
  </w:style>
  <w:style w:type="character" w:styleId="IntenseReference">
    <w:name w:val="Intense Reference"/>
    <w:basedOn w:val="DefaultParagraphFont"/>
    <w:uiPriority w:val="32"/>
    <w:qFormat/>
    <w:rsid w:val="003803BD"/>
    <w:rPr>
      <w:b/>
      <w:bCs/>
      <w:smallCaps/>
      <w:color w:val="0F4761" w:themeColor="accent1" w:themeShade="BF"/>
      <w:spacing w:val="5"/>
    </w:rPr>
  </w:style>
  <w:style w:type="table" w:styleId="MediumShading2-Accent1">
    <w:name w:val="Medium Shading 2 Accent 1"/>
    <w:basedOn w:val="TableNormal"/>
    <w:uiPriority w:val="64"/>
    <w:rsid w:val="003803BD"/>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basedOn w:val="DefaultParagraphFont"/>
    <w:link w:val="ListParagraph"/>
    <w:uiPriority w:val="34"/>
    <w:locked/>
    <w:rsid w:val="003803BD"/>
  </w:style>
  <w:style w:type="paragraph" w:styleId="Header">
    <w:name w:val="header"/>
    <w:basedOn w:val="Normal"/>
    <w:link w:val="HeaderChar"/>
    <w:uiPriority w:val="99"/>
    <w:unhideWhenUsed/>
    <w:rsid w:val="00331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A0C"/>
  </w:style>
  <w:style w:type="paragraph" w:styleId="Footer">
    <w:name w:val="footer"/>
    <w:basedOn w:val="Normal"/>
    <w:link w:val="FooterChar"/>
    <w:uiPriority w:val="99"/>
    <w:unhideWhenUsed/>
    <w:rsid w:val="00331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A0C"/>
  </w:style>
  <w:style w:type="table" w:styleId="GridTable5Dark-Accent1">
    <w:name w:val="Grid Table 5 Dark Accent 1"/>
    <w:basedOn w:val="TableNormal"/>
    <w:uiPriority w:val="50"/>
    <w:rsid w:val="001604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FootnoteText">
    <w:name w:val="footnote text"/>
    <w:basedOn w:val="Normal"/>
    <w:link w:val="FootnoteTextChar"/>
    <w:uiPriority w:val="99"/>
    <w:semiHidden/>
    <w:unhideWhenUsed/>
    <w:rsid w:val="00A769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987"/>
    <w:rPr>
      <w:sz w:val="20"/>
      <w:szCs w:val="20"/>
    </w:rPr>
  </w:style>
  <w:style w:type="character" w:styleId="FootnoteReference">
    <w:name w:val="footnote reference"/>
    <w:basedOn w:val="DefaultParagraphFont"/>
    <w:uiPriority w:val="99"/>
    <w:semiHidden/>
    <w:unhideWhenUsed/>
    <w:rsid w:val="00A769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37B8-6DBD-4E12-B621-A6DDE125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Jones</dc:creator>
  <cp:keywords/>
  <dc:description/>
  <cp:lastModifiedBy>Mervyn Jones</cp:lastModifiedBy>
  <cp:revision>30</cp:revision>
  <cp:lastPrinted>2024-07-05T14:22:00Z</cp:lastPrinted>
  <dcterms:created xsi:type="dcterms:W3CDTF">2025-03-17T11:13:00Z</dcterms:created>
  <dcterms:modified xsi:type="dcterms:W3CDTF">2025-03-17T11:40:00Z</dcterms:modified>
</cp:coreProperties>
</file>