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BA653" w14:textId="77777777" w:rsidR="00312669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>
        <w:rPr>
          <w:rFonts w:ascii="CalibriRegular" w:hAnsi="CalibriRegular" w:cs="CalibriRegular"/>
          <w:color w:val="58585A"/>
          <w:sz w:val="18"/>
          <w:szCs w:val="18"/>
          <w:lang w:val="en-GB"/>
        </w:rPr>
        <w:t>INTERREG EUROPE</w:t>
      </w:r>
    </w:p>
    <w:p w14:paraId="672A6659" w14:textId="77777777" w:rsid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</w:p>
    <w:p w14:paraId="2B897ED5" w14:textId="77777777" w:rsidR="00344F4C" w:rsidRP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  <w:r w:rsidRPr="00344F4C"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  <w:t>A smarter Europe</w:t>
      </w:r>
    </w:p>
    <w:p w14:paraId="0A37501D" w14:textId="77777777" w:rsid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0239D79A" w14:textId="77777777" w:rsidR="00344F4C" w:rsidRP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  <w:proofErr w:type="spellStart"/>
      <w:r w:rsidRPr="00344F4C"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  <w:t>Research&amp;Innovation</w:t>
      </w:r>
      <w:proofErr w:type="spellEnd"/>
      <w:r w:rsidRPr="00344F4C"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  <w:t xml:space="preserve"> capacities, uptake of advanced technologies</w:t>
      </w:r>
    </w:p>
    <w:p w14:paraId="5DAB6C7B" w14:textId="77777777" w:rsid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02EB378F" w14:textId="77777777" w:rsidR="00344F4C" w:rsidRDefault="00344F4C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2D71449D" w14:textId="65C94417" w:rsidR="00312669" w:rsidRPr="0084378B" w:rsidRDefault="00E915B6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26"/>
          <w:szCs w:val="18"/>
          <w:lang w:val="en-GB"/>
        </w:rPr>
      </w:pPr>
      <w:r>
        <w:rPr>
          <w:rFonts w:ascii="CalibriRegular" w:hAnsi="CalibriRegular" w:cs="CalibriRegular"/>
          <w:b/>
          <w:color w:val="58585A"/>
          <w:sz w:val="26"/>
          <w:szCs w:val="18"/>
          <w:lang w:val="en-GB"/>
        </w:rPr>
        <w:t>“</w:t>
      </w:r>
      <w:r w:rsidR="00D74C58" w:rsidRPr="0084378B">
        <w:rPr>
          <w:rFonts w:ascii="CalibriRegular" w:hAnsi="CalibriRegular" w:cs="CalibriRegular"/>
          <w:b/>
          <w:color w:val="58585A"/>
          <w:sz w:val="26"/>
          <w:szCs w:val="18"/>
          <w:lang w:val="en-GB"/>
        </w:rPr>
        <w:t>Social Competences for Research and Innovation Infrastructure</w:t>
      </w:r>
      <w:r>
        <w:rPr>
          <w:rFonts w:ascii="CalibriRegular" w:hAnsi="CalibriRegular" w:cs="CalibriRegular"/>
          <w:b/>
          <w:color w:val="58585A"/>
          <w:sz w:val="26"/>
          <w:szCs w:val="18"/>
          <w:lang w:val="en-GB"/>
        </w:rPr>
        <w:t>” -SCORE</w:t>
      </w:r>
      <w:r w:rsidR="0024018C">
        <w:rPr>
          <w:rStyle w:val="Odwoanieprzypisudolnego"/>
          <w:rFonts w:ascii="CalibriRegular" w:hAnsi="CalibriRegular" w:cs="CalibriRegular"/>
          <w:b/>
          <w:color w:val="58585A"/>
          <w:sz w:val="26"/>
          <w:szCs w:val="18"/>
          <w:lang w:val="en-GB"/>
        </w:rPr>
        <w:footnoteReference w:id="1"/>
      </w:r>
      <w:bookmarkStart w:id="0" w:name="_GoBack"/>
      <w:bookmarkEnd w:id="0"/>
    </w:p>
    <w:p w14:paraId="6A05A809" w14:textId="77777777" w:rsidR="00D74C58" w:rsidRDefault="00D74C58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A39BBE3" w14:textId="77777777" w:rsidR="008F749D" w:rsidRDefault="008F749D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DE930F5" w14:textId="66361FE4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Many High Education Institutions (HEI) own a sophisticated and state-of-art Research and Innovation Infrastructure (RII). Although they have great potential, their contribution to regional economic and innovative development is far from ideal. It is partly connected with a lack of adequate skills and competences of RII’ personal, who isn’t proactive enough in searching for cooperation possibilities.</w:t>
      </w:r>
    </w:p>
    <w:p w14:paraId="39BB5ED5" w14:textId="33ED4C4D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0FB4F9CE" w14:textId="537AA7D4" w:rsidR="00312669" w:rsidRDefault="00312669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HEIs RII with its infrastructure</w:t>
      </w:r>
      <w:r w:rsidR="0097392B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is a key factor to regional innovativeness, but without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trained</w:t>
      </w:r>
      <w:r w:rsidR="0097392B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staff in scope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of social skills boosting creation of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partnerships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and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the integration of organisations, companies, universities, clients and users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are hindered.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Well-trained and prone to networking staff is key to building synergies and a part of </w:t>
      </w:r>
      <w:r w:rsidR="4D77D5C1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milieu prepared to uptake of advanced technologies.</w:t>
      </w:r>
    </w:p>
    <w:p w14:paraId="13712A53" w14:textId="69007D40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1B9CEC5E" w14:textId="49F1C271" w:rsidR="00312669" w:rsidRPr="00312669" w:rsidRDefault="00E915B6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SCORE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project aims at diagnosing and </w:t>
      </w:r>
      <w:r w:rsidR="000A611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boosting the competences of RII staff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as key stakeholders for</w:t>
      </w:r>
    </w:p>
    <w:p w14:paraId="1DC63899" w14:textId="6612AD82" w:rsidR="00AF4353" w:rsidRDefault="00312669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regional </w:t>
      </w:r>
      <w:r w:rsidR="000A611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and international </w:t>
      </w:r>
      <w:proofErr w:type="spellStart"/>
      <w:r w:rsidR="000A611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RD&amp;I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nnovation</w:t>
      </w:r>
      <w:proofErr w:type="spellEnd"/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development. Fostering not only technical but foremost </w:t>
      </w:r>
      <w:r w:rsidR="00AF4353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HEI-personnel’s: </w:t>
      </w:r>
    </w:p>
    <w:p w14:paraId="540D1386" w14:textId="44F560FF" w:rsidR="00AF4353" w:rsidRDefault="00AF4353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social skills, </w:t>
      </w:r>
    </w:p>
    <w:p w14:paraId="0C0FDEED" w14:textId="0A41C4AC" w:rsidR="00AF4353" w:rsidRDefault="00AF4353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open attitude, </w:t>
      </w:r>
    </w:p>
    <w:p w14:paraId="6F862611" w14:textId="53F86262" w:rsidR="00AF4353" w:rsidRDefault="00AF4353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proficiency</w:t>
      </w:r>
      <w:r w:rsidR="4D77D5C1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in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international environment, </w:t>
      </w:r>
    </w:p>
    <w:p w14:paraId="7F241E49" w14:textId="639DD9E9" w:rsidR="00AF4353" w:rsidRDefault="00AF4353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entrepreneurial mind-set,</w:t>
      </w:r>
    </w:p>
    <w:p w14:paraId="2441C074" w14:textId="0B8D478D" w:rsidR="00AF4353" w:rsidRDefault="00AF4353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and </w:t>
      </w:r>
      <w:r w:rsidR="4D77D5C1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management skills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benefit with using HEI’s RII and their full potential and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thus increasing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the economic growth of regions.</w:t>
      </w:r>
    </w:p>
    <w:p w14:paraId="1AAF00A7" w14:textId="50161268" w:rsidR="004038BE" w:rsidRDefault="004038BE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312065D0" w14:textId="14398A10" w:rsidR="004038BE" w:rsidRDefault="4D77D5C1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Impacts:</w:t>
      </w:r>
    </w:p>
    <w:p w14:paraId="20439CFC" w14:textId="5E0CE8B5" w:rsidR="004038BE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Creating conditions for boosting regional economy and facilitating regional and cross regional collaborations;</w:t>
      </w:r>
    </w:p>
    <w:p w14:paraId="55728494" w14:textId="74C5AF1A" w:rsidR="004038BE" w:rsidRDefault="4D77D5C1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Promote education, life-long learning and training, outreach and knowledge dissemination;</w:t>
      </w:r>
    </w:p>
    <w:p w14:paraId="6344D4D9" w14:textId="26907A42" w:rsidR="004038BE" w:rsidRDefault="4D77D5C1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Provide scientific support to public policies (creating new tools for supporting innovation);</w:t>
      </w:r>
    </w:p>
    <w:p w14:paraId="477FCD8E" w14:textId="751A0775" w:rsidR="004038BE" w:rsidRDefault="4D77D5C1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Provide high quality scientific data and associated services;</w:t>
      </w:r>
    </w:p>
    <w:p w14:paraId="4E720EC8" w14:textId="2A76868D" w:rsidR="004038BE" w:rsidRDefault="4D77D5C1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Social responsibility.</w:t>
      </w:r>
    </w:p>
    <w:p w14:paraId="50CA890D" w14:textId="28771F97" w:rsidR="004038BE" w:rsidRDefault="004038BE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6122AD6B" w14:textId="1726947F" w:rsidR="004038BE" w:rsidRDefault="00E915B6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SCORE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project addresses the</w:t>
      </w:r>
      <w:r w:rsidR="00AF4353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challenge to enhance HEI RII</w:t>
      </w:r>
      <w:r w:rsidR="00BF24BF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employees’ competences as a basis for successful cooperation between HEI and business and an accelerator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of entrepreneurship discovery process (EDP) which is an inclusive and interactive bottom-up process in which</w:t>
      </w:r>
      <w:r w:rsidR="004038BE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participants from different environments (policy, business, academia, </w:t>
      </w:r>
      <w:proofErr w:type="spellStart"/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etc</w:t>
      </w:r>
      <w:proofErr w:type="spellEnd"/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) are discovering potential new activities and opportunities that emerge through this</w:t>
      </w:r>
      <w:r w:rsidR="004038BE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interaction. </w:t>
      </w:r>
    </w:p>
    <w:p w14:paraId="72A3D3EC" w14:textId="77777777" w:rsidR="004038BE" w:rsidRDefault="004038BE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5EE2135" w14:textId="0FF0E13E" w:rsidR="00312669" w:rsidRDefault="00312669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Thus, </w:t>
      </w:r>
      <w:r w:rsidR="00E915B6"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SCORE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partners look at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practices and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possibilities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of enhancing competences of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HEIs RII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staff in a favour of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regional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innovation development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,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removing barriers </w:t>
      </w:r>
      <w:r w:rsidR="001F1885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of cooperation and communication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among </w:t>
      </w:r>
      <w:r w:rsidR="00D42D1C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scientist, brokers, entrepreneurs to enrich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their cross-institutional and cross-</w:t>
      </w:r>
      <w:proofErr w:type="spellStart"/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sectoral</w:t>
      </w:r>
      <w:proofErr w:type="spellEnd"/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collaboration.</w:t>
      </w:r>
    </w:p>
    <w:p w14:paraId="0D0B940D" w14:textId="77777777" w:rsidR="004038BE" w:rsidRPr="00312669" w:rsidRDefault="004038BE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246FC9A1" w14:textId="77777777" w:rsidR="00312669" w:rsidRDefault="00312669" w:rsidP="00312669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RII responding to the regional needs and demand using co-creation methods, demand and user-driven, open innovation approaches to solve regional </w:t>
      </w:r>
      <w:r w:rsidR="00874EE8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societal challenges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.</w:t>
      </w:r>
    </w:p>
    <w:p w14:paraId="6987DE57" w14:textId="360127D9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379E1EBB" w14:textId="3CFB9F2A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26D6AA5A" w14:textId="1246888D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F81A83C" w14:textId="79B70810" w:rsidR="00C83092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policy learning events will be organized: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Study Visits back-to-back with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Interregional Thematic Workshops and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Peer Reviews and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regional Stakeholder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g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roup meetings. Thorough regional diagnosis in partner regions will be conducted identifying existing good practices</w:t>
      </w:r>
      <w:r w:rsidR="00481BED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="00481BED" w:rsidRPr="4D77D5C1">
        <w:rPr>
          <w:rFonts w:ascii="CalibriRegular" w:hAnsi="CalibriRegular" w:cs="CalibriRegular"/>
          <w:sz w:val="18"/>
          <w:szCs w:val="18"/>
          <w:lang w:val="en-GB"/>
        </w:rPr>
        <w:t>for improve social capacities</w:t>
      </w:r>
      <w:r w:rsidR="00312669" w:rsidRPr="4D77D5C1">
        <w:rPr>
          <w:rFonts w:ascii="CalibriRegular" w:hAnsi="CalibriRegular" w:cs="CalibriRegular"/>
          <w:sz w:val="18"/>
          <w:szCs w:val="18"/>
          <w:lang w:val="en-GB"/>
        </w:rPr>
        <w:t xml:space="preserve">.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Partners estimate that at least 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……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good</w:t>
      </w: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  <w:r w:rsidR="00312669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practices will be analysed and at least 210 people will increase their professional capacities.</w:t>
      </w:r>
    </w:p>
    <w:p w14:paraId="44EAFD9C" w14:textId="77777777" w:rsid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4B94D5A5" w14:textId="77777777" w:rsid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13FAAF1F" w14:textId="294CCC70" w:rsidR="00D42D1C" w:rsidRDefault="00E915B6" w:rsidP="4D77D5C1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SCORE</w:t>
      </w:r>
      <w:r w:rsidR="00D42D1C"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:</w:t>
      </w:r>
    </w:p>
    <w:p w14:paraId="3DEEC669" w14:textId="77777777" w:rsid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</w:p>
    <w:p w14:paraId="1AFC3530" w14:textId="77777777" w:rsid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  <w:r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  <w:t>What are the objectives?</w:t>
      </w:r>
    </w:p>
    <w:p w14:paraId="4DC5DD98" w14:textId="77777777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00D42D1C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to </w:t>
      </w:r>
      <w:r>
        <w:rPr>
          <w:rFonts w:ascii="CalibriRegular" w:hAnsi="CalibriRegular" w:cs="CalibriRegular"/>
          <w:color w:val="58585A"/>
          <w:sz w:val="18"/>
          <w:szCs w:val="18"/>
          <w:lang w:val="en-GB"/>
        </w:rPr>
        <w:t>improve of regional RDI ecosystem</w:t>
      </w:r>
    </w:p>
    <w:p w14:paraId="03648882" w14:textId="77777777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>
        <w:rPr>
          <w:rFonts w:ascii="CalibriRegular" w:hAnsi="CalibriRegular" w:cs="CalibriRegular"/>
          <w:color w:val="58585A"/>
          <w:sz w:val="18"/>
          <w:szCs w:val="18"/>
          <w:lang w:val="en-GB"/>
        </w:rPr>
        <w:t>to increase RI capacities</w:t>
      </w:r>
    </w:p>
    <w:p w14:paraId="19A4A605" w14:textId="77777777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>
        <w:rPr>
          <w:rFonts w:ascii="CalibriRegular" w:hAnsi="CalibriRegular" w:cs="CalibriRegular"/>
          <w:color w:val="58585A"/>
          <w:sz w:val="18"/>
          <w:szCs w:val="18"/>
          <w:lang w:val="en-GB"/>
        </w:rPr>
        <w:lastRenderedPageBreak/>
        <w:t>enhancing uptake of advanced technologies</w:t>
      </w:r>
    </w:p>
    <w:p w14:paraId="3CD3BD9D" w14:textId="77777777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>
        <w:rPr>
          <w:rFonts w:ascii="CalibriRegular" w:hAnsi="CalibriRegular" w:cs="CalibriRegular"/>
          <w:color w:val="58585A"/>
          <w:sz w:val="18"/>
          <w:szCs w:val="18"/>
          <w:lang w:val="en-GB"/>
        </w:rPr>
        <w:t>increasing social capital for networking</w:t>
      </w:r>
    </w:p>
    <w:p w14:paraId="3656B9AB" w14:textId="77777777" w:rsid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93654C7" w14:textId="77777777" w:rsidR="00D42D1C" w:rsidRPr="00D42D1C" w:rsidRDefault="00D42D1C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</w:pPr>
      <w:r w:rsidRPr="00D42D1C">
        <w:rPr>
          <w:rFonts w:ascii="CalibriRegular" w:hAnsi="CalibriRegular" w:cs="CalibriRegular"/>
          <w:b/>
          <w:color w:val="58585A"/>
          <w:sz w:val="18"/>
          <w:szCs w:val="18"/>
          <w:lang w:val="en-GB"/>
        </w:rPr>
        <w:t>What do we need to do?</w:t>
      </w:r>
    </w:p>
    <w:p w14:paraId="4D5A28D4" w14:textId="607FF3C0" w:rsidR="00D42D1C" w:rsidRDefault="00D42D1C" w:rsidP="4D77D5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Analyse social capital of HEI RII’s personal (but also supporting staff - TTO’s, Career Bureau, Infrastructure’s Office) - </w:t>
      </w:r>
      <w:r w:rsidR="4D77D5C1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Look at the differences of staff’s competencies in Research and Innovation Infrastructure between partners;</w:t>
      </w:r>
    </w:p>
    <w:p w14:paraId="262155D4" w14:textId="29277BA3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Diagnose what type of competences are crucial to boost international and economic cooperation; </w:t>
      </w:r>
    </w:p>
    <w:p w14:paraId="6B1CE093" w14:textId="7A10A960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Diagnose the education system (HEI, vocational training, LLL institutes) in scope of training the future RII’s staff (including PhD students);</w:t>
      </w:r>
    </w:p>
    <w:p w14:paraId="6D1D7C28" w14:textId="5D3AB997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Analyse factors for effective ecosystem;</w:t>
      </w:r>
    </w:p>
    <w:p w14:paraId="4BDAD19B" w14:textId="132B8E3D" w:rsidR="00D42D1C" w:rsidRDefault="00D42D1C" w:rsidP="00D42D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Analyse of barriers;</w:t>
      </w:r>
    </w:p>
    <w:p w14:paraId="2FC60875" w14:textId="39C54529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Improving education &amp; networking processes;</w:t>
      </w:r>
    </w:p>
    <w:p w14:paraId="04DADB8C" w14:textId="29CBF269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Rising awareness about smart specialisation in HEIs;</w:t>
      </w:r>
    </w:p>
    <w:p w14:paraId="1F521278" w14:textId="3CDBC7A1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Use the method: Process in six steps: Analysis, governance, vision, priorities, policy mix and evaluation);</w:t>
      </w:r>
    </w:p>
    <w:p w14:paraId="581FFCCF" w14:textId="5243B973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Identification of the talents and support them;</w:t>
      </w:r>
    </w:p>
    <w:p w14:paraId="61741CA2" w14:textId="71E0D047" w:rsidR="4D77D5C1" w:rsidRDefault="4D77D5C1" w:rsidP="4D77D5C1">
      <w:pPr>
        <w:pStyle w:val="Akapitzlist"/>
        <w:numPr>
          <w:ilvl w:val="0"/>
          <w:numId w:val="4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Improve policy instruments.</w:t>
      </w:r>
    </w:p>
    <w:p w14:paraId="0B254B07" w14:textId="28754269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460AC36D" w14:textId="345FCCCD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1D46BCD5" w14:textId="02B5F1A5" w:rsidR="00D42D1C" w:rsidRDefault="00D42D1C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Why do we need to do?</w:t>
      </w:r>
      <w:r w:rsidR="4D77D5C1"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 </w:t>
      </w:r>
    </w:p>
    <w:p w14:paraId="0555AAD0" w14:textId="4DC3B19D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The need for the project stems from diagnosed barriers:</w:t>
      </w:r>
    </w:p>
    <w:p w14:paraId="3CE25192" w14:textId="7FE778D9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0EBA72C9" w14:textId="7A5AE6C9" w:rsidR="4D77D5C1" w:rsidRDefault="4D77D5C1" w:rsidP="4D77D5C1">
      <w:pPr>
        <w:spacing w:after="0" w:line="240" w:lineRule="auto"/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1. Lack of social and business competencies of innovation ecosystem participants (RII’s and supporting staff);</w:t>
      </w:r>
    </w:p>
    <w:p w14:paraId="3C707D38" w14:textId="08598B8C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 gap between research, business, organizations especially in social competencies;</w:t>
      </w:r>
    </w:p>
    <w:p w14:paraId="7C6237DF" w14:textId="25297215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lack of diagnosis of key competencies of innovation support staff;</w:t>
      </w:r>
    </w:p>
    <w:p w14:paraId="77BB055F" w14:textId="6BADE1D4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lack of diagnosis of key competencies of the staff dealing with the innovation infrastructure;</w:t>
      </w:r>
    </w:p>
    <w:p w14:paraId="4DFD24AB" w14:textId="08D017D2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 xml:space="preserve">too low level of personal skills (open attitude, entrepreneurial </w:t>
      </w:r>
      <w:proofErr w:type="spellStart"/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mindset</w:t>
      </w:r>
      <w:proofErr w:type="spellEnd"/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, networking abilities);</w:t>
      </w:r>
    </w:p>
    <w:p w14:paraId="4829FDFB" w14:textId="482613DB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low number of joint research projects;</w:t>
      </w:r>
    </w:p>
    <w:p w14:paraId="43FC01F2" w14:textId="510F9F47" w:rsidR="4D77D5C1" w:rsidRDefault="4D77D5C1" w:rsidP="4D77D5C1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little knowledge of the implementation of particular processes related to interdisciplinary cooperation.</w:t>
      </w:r>
    </w:p>
    <w:p w14:paraId="53C68C47" w14:textId="5F371E3B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10E23030" w14:textId="66ED13E0" w:rsidR="4D77D5C1" w:rsidRDefault="4D77D5C1" w:rsidP="4D77D5C1">
      <w:pPr>
        <w:spacing w:after="0" w:line="240" w:lineRule="auto"/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2. Too low level of internationalisation</w:t>
      </w:r>
    </w:p>
    <w:p w14:paraId="50619CF4" w14:textId="553A0CEE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30CAFEF4" w14:textId="6356747A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low level of internationalisation of education and research;</w:t>
      </w:r>
    </w:p>
    <w:p w14:paraId="64DD90B2" w14:textId="015031DE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low level of commercialization of knowledge domestic and abroad;</w:t>
      </w:r>
    </w:p>
    <w:p w14:paraId="333C292D" w14:textId="6F7B7FF8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low number of international projects;</w:t>
      </w:r>
    </w:p>
    <w:p w14:paraId="52BF8E64" w14:textId="3CAC5B7A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too low level of adjustment of the university to functioning in the global conditions;</w:t>
      </w:r>
    </w:p>
    <w:p w14:paraId="52C69C9B" w14:textId="5F565236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administrative areas of the university do not sufficiently support the effectiveness of internationalisation; development in both teaching and research - lack of motivation;</w:t>
      </w:r>
    </w:p>
    <w:p w14:paraId="7AA0A5FD" w14:textId="44E427EA" w:rsidR="4D77D5C1" w:rsidRDefault="4D77D5C1" w:rsidP="4D77D5C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ineffectively used potential in international cooperation.</w:t>
      </w:r>
    </w:p>
    <w:p w14:paraId="23CA79E0" w14:textId="65FFB219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2C5EDD48" w14:textId="5095D9DB" w:rsidR="4D77D5C1" w:rsidRDefault="4D77D5C1" w:rsidP="4D77D5C1">
      <w:pPr>
        <w:spacing w:after="0" w:line="240" w:lineRule="auto"/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b/>
          <w:bCs/>
          <w:color w:val="58585A"/>
          <w:sz w:val="18"/>
          <w:szCs w:val="18"/>
          <w:lang w:val="en-GB"/>
        </w:rPr>
        <w:t>3. Culture of disengagement</w:t>
      </w:r>
    </w:p>
    <w:p w14:paraId="58526C74" w14:textId="3E7176B4" w:rsidR="4D77D5C1" w:rsidRDefault="4D77D5C1" w:rsidP="4D77D5C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anti-engagement atmosphere within research institutions;</w:t>
      </w:r>
    </w:p>
    <w:p w14:paraId="6E8C4229" w14:textId="00CBF581" w:rsidR="4D77D5C1" w:rsidRDefault="4D77D5C1" w:rsidP="4D77D5C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no career development for public engagement (understood e.g. as a willingness to make massive experiments in which some of data is collected by citizens);</w:t>
      </w:r>
    </w:p>
    <w:p w14:paraId="70A24B4B" w14:textId="0F3F5C5E" w:rsidR="4D77D5C1" w:rsidRDefault="4D77D5C1" w:rsidP="4D77D5C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public engagement not viewed as part of a research career (but yet it can be seen as a profitable way to networking);</w:t>
      </w:r>
    </w:p>
    <w:p w14:paraId="68FE89C4" w14:textId="7153338A" w:rsidR="4D77D5C1" w:rsidRDefault="4D77D5C1" w:rsidP="4D77D5C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researchers not engaging due to ‘lack of time’: those that engage are forced to stop;</w:t>
      </w:r>
    </w:p>
    <w:p w14:paraId="61D86507" w14:textId="36B501B8" w:rsidR="4D77D5C1" w:rsidRDefault="4D77D5C1" w:rsidP="4D77D5C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no system for public engagement assessment.</w:t>
      </w:r>
    </w:p>
    <w:p w14:paraId="53128261" w14:textId="77777777" w:rsidR="0084378B" w:rsidRDefault="0084378B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62486C05" w14:textId="77777777" w:rsidR="0084378B" w:rsidRDefault="0084378B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4101652C" w14:textId="2A9DDAA9" w:rsidR="0084378B" w:rsidRDefault="4D77D5C1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---</w:t>
      </w:r>
    </w:p>
    <w:p w14:paraId="4B99056E" w14:textId="77777777" w:rsidR="0084378B" w:rsidRDefault="0084378B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5BCD63D2" w14:textId="77777777" w:rsidR="0099760F" w:rsidRDefault="0099760F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  <w:r w:rsidRPr="4D77D5C1">
        <w:rPr>
          <w:rFonts w:ascii="CalibriRegular" w:hAnsi="CalibriRegular" w:cs="CalibriRegular"/>
          <w:color w:val="58585A"/>
          <w:sz w:val="18"/>
          <w:szCs w:val="18"/>
          <w:lang w:val="en-GB"/>
        </w:rPr>
        <w:t>We need to know what policy connected with description and questions will be taken into the project.</w:t>
      </w:r>
    </w:p>
    <w:p w14:paraId="2BFE75DE" w14:textId="670A85CB" w:rsidR="4D77D5C1" w:rsidRDefault="4D77D5C1" w:rsidP="4D77D5C1">
      <w:pPr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p w14:paraId="0562CB0E" w14:textId="77777777" w:rsidR="00874EE8" w:rsidRPr="00D42D1C" w:rsidRDefault="00874EE8" w:rsidP="00D42D1C">
      <w:pPr>
        <w:autoSpaceDE w:val="0"/>
        <w:autoSpaceDN w:val="0"/>
        <w:adjustRightInd w:val="0"/>
        <w:spacing w:after="0" w:line="240" w:lineRule="auto"/>
        <w:rPr>
          <w:rFonts w:ascii="CalibriRegular" w:hAnsi="CalibriRegular" w:cs="CalibriRegular"/>
          <w:color w:val="58585A"/>
          <w:sz w:val="18"/>
          <w:szCs w:val="18"/>
          <w:lang w:val="en-GB"/>
        </w:rPr>
      </w:pPr>
    </w:p>
    <w:sectPr w:rsidR="00874EE8" w:rsidRPr="00D4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0A41" w14:textId="77777777" w:rsidR="00AF2238" w:rsidRDefault="00AF2238" w:rsidP="00D42D1C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AF2238" w:rsidRDefault="00AF2238" w:rsidP="00D4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12B" w14:textId="77777777" w:rsidR="00AF2238" w:rsidRDefault="00AF2238" w:rsidP="00D42D1C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AF2238" w:rsidRDefault="00AF2238" w:rsidP="00D42D1C">
      <w:pPr>
        <w:spacing w:after="0" w:line="240" w:lineRule="auto"/>
      </w:pPr>
      <w:r>
        <w:continuationSeparator/>
      </w:r>
    </w:p>
  </w:footnote>
  <w:footnote w:id="1">
    <w:p w14:paraId="75461865" w14:textId="2B5C9B1B" w:rsidR="0024018C" w:rsidRPr="0024018C" w:rsidRDefault="0024018C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rPr>
          <w:lang w:val="en-GB"/>
        </w:rPr>
        <w:t xml:space="preserve"> Basing</w:t>
      </w:r>
      <w:r w:rsidRPr="0024018C">
        <w:rPr>
          <w:lang w:val="en-GB"/>
        </w:rPr>
        <w:t xml:space="preserve"> on experience gained in </w:t>
      </w:r>
      <w:proofErr w:type="spellStart"/>
      <w:r w:rsidRPr="0024018C">
        <w:rPr>
          <w:lang w:val="en-GB"/>
        </w:rPr>
        <w:t>I</w:t>
      </w:r>
      <w:r>
        <w:rPr>
          <w:lang w:val="en-GB"/>
        </w:rPr>
        <w:t>nnoHEIs</w:t>
      </w:r>
      <w:proofErr w:type="spellEnd"/>
      <w:r>
        <w:rPr>
          <w:lang w:val="en-GB"/>
        </w:rPr>
        <w:t xml:space="preserve"> project and “Skills for innovation” policy brief.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2B6"/>
    <w:multiLevelType w:val="hybridMultilevel"/>
    <w:tmpl w:val="984AB9D4"/>
    <w:lvl w:ilvl="0" w:tplc="8BEAF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C2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8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09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5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22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9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4B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2675A"/>
    <w:multiLevelType w:val="hybridMultilevel"/>
    <w:tmpl w:val="901C266A"/>
    <w:lvl w:ilvl="0" w:tplc="10D2C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4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2F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7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8C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0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CA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2B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5041F"/>
    <w:multiLevelType w:val="hybridMultilevel"/>
    <w:tmpl w:val="7D7EC2C8"/>
    <w:lvl w:ilvl="0" w:tplc="F538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003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E9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D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0A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45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B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4F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575A"/>
    <w:multiLevelType w:val="hybridMultilevel"/>
    <w:tmpl w:val="59580BD6"/>
    <w:lvl w:ilvl="0" w:tplc="38489F64">
      <w:start w:val="10"/>
      <w:numFmt w:val="bullet"/>
      <w:lvlText w:val="-"/>
      <w:lvlJc w:val="left"/>
      <w:pPr>
        <w:ind w:left="720" w:hanging="360"/>
      </w:pPr>
      <w:rPr>
        <w:rFonts w:ascii="CalibriRegular" w:eastAsiaTheme="minorHAnsi" w:hAnsi="CalibriRegular" w:cs="CalibriRegula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M0M7W0tDAzsjRW0lEKTi0uzszPAykwrwUAjhPVUywAAAA="/>
  </w:docVars>
  <w:rsids>
    <w:rsidRoot w:val="00312669"/>
    <w:rsid w:val="00042516"/>
    <w:rsid w:val="000A6115"/>
    <w:rsid w:val="001F1885"/>
    <w:rsid w:val="0024018C"/>
    <w:rsid w:val="002C100C"/>
    <w:rsid w:val="00312669"/>
    <w:rsid w:val="00344F4C"/>
    <w:rsid w:val="004038BE"/>
    <w:rsid w:val="00481BED"/>
    <w:rsid w:val="0054606D"/>
    <w:rsid w:val="0084378B"/>
    <w:rsid w:val="00874EE8"/>
    <w:rsid w:val="008F749D"/>
    <w:rsid w:val="00916D96"/>
    <w:rsid w:val="0097392B"/>
    <w:rsid w:val="0099760F"/>
    <w:rsid w:val="009B6996"/>
    <w:rsid w:val="00AF2238"/>
    <w:rsid w:val="00AF4353"/>
    <w:rsid w:val="00BF24BF"/>
    <w:rsid w:val="00C83092"/>
    <w:rsid w:val="00D10A9B"/>
    <w:rsid w:val="00D42D1C"/>
    <w:rsid w:val="00D74C58"/>
    <w:rsid w:val="00D93CB2"/>
    <w:rsid w:val="00E325A7"/>
    <w:rsid w:val="00E915B6"/>
    <w:rsid w:val="016B9108"/>
    <w:rsid w:val="063E2D4A"/>
    <w:rsid w:val="0741703F"/>
    <w:rsid w:val="0757D615"/>
    <w:rsid w:val="0785383E"/>
    <w:rsid w:val="08FEAF97"/>
    <w:rsid w:val="0A9A7FF8"/>
    <w:rsid w:val="0B119E6D"/>
    <w:rsid w:val="0B50DE78"/>
    <w:rsid w:val="0C29A80E"/>
    <w:rsid w:val="0C361D88"/>
    <w:rsid w:val="0CE8E59B"/>
    <w:rsid w:val="11FDC0DD"/>
    <w:rsid w:val="176C5AB5"/>
    <w:rsid w:val="1C025CCD"/>
    <w:rsid w:val="1E67507F"/>
    <w:rsid w:val="23D9BE2D"/>
    <w:rsid w:val="25EE9BA4"/>
    <w:rsid w:val="28E9A23C"/>
    <w:rsid w:val="2C6168FD"/>
    <w:rsid w:val="2C8A1BF4"/>
    <w:rsid w:val="2DBD135F"/>
    <w:rsid w:val="2DF9AD89"/>
    <w:rsid w:val="2F9F3B75"/>
    <w:rsid w:val="30CE0F93"/>
    <w:rsid w:val="32D6DC37"/>
    <w:rsid w:val="353B9C1D"/>
    <w:rsid w:val="35A2D6E4"/>
    <w:rsid w:val="360E7CF9"/>
    <w:rsid w:val="374ACD48"/>
    <w:rsid w:val="379D4068"/>
    <w:rsid w:val="37AA4D5A"/>
    <w:rsid w:val="399DEDB0"/>
    <w:rsid w:val="3A390BCD"/>
    <w:rsid w:val="3BA64B15"/>
    <w:rsid w:val="4079BC38"/>
    <w:rsid w:val="43A4B4AF"/>
    <w:rsid w:val="43B3F748"/>
    <w:rsid w:val="46DC5571"/>
    <w:rsid w:val="46E8CAEB"/>
    <w:rsid w:val="490C040C"/>
    <w:rsid w:val="4B732C6A"/>
    <w:rsid w:val="4D77D5C1"/>
    <w:rsid w:val="4EAACD2C"/>
    <w:rsid w:val="4EC320A8"/>
    <w:rsid w:val="4EE76756"/>
    <w:rsid w:val="5241EE00"/>
    <w:rsid w:val="53BAD879"/>
    <w:rsid w:val="563DEBBB"/>
    <w:rsid w:val="57D9BC1C"/>
    <w:rsid w:val="5BC7BB5E"/>
    <w:rsid w:val="5CCF8647"/>
    <w:rsid w:val="5F285E8E"/>
    <w:rsid w:val="60976343"/>
    <w:rsid w:val="623333A4"/>
    <w:rsid w:val="623D1968"/>
    <w:rsid w:val="625FFF50"/>
    <w:rsid w:val="6893328F"/>
    <w:rsid w:val="68CF40D4"/>
    <w:rsid w:val="69B5F6D5"/>
    <w:rsid w:val="69F268C6"/>
    <w:rsid w:val="6A6B1135"/>
    <w:rsid w:val="6B32087C"/>
    <w:rsid w:val="6C06E196"/>
    <w:rsid w:val="6C5EB18B"/>
    <w:rsid w:val="6CED9797"/>
    <w:rsid w:val="7343B0BE"/>
    <w:rsid w:val="73B19E88"/>
    <w:rsid w:val="74BFC265"/>
    <w:rsid w:val="767B5180"/>
    <w:rsid w:val="77662036"/>
    <w:rsid w:val="7978D29E"/>
    <w:rsid w:val="799D194C"/>
    <w:rsid w:val="7B4EC2A3"/>
    <w:rsid w:val="7D00F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E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D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D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D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4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D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D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D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D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4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4b0fabba5bd94f2f" Type="http://schemas.microsoft.com/office/2011/relationships/commentsExtended" Target="commentsExtended.xml"/><Relationship Id="R1e61c7dbbbb8415a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Nowak</dc:creator>
  <cp:lastModifiedBy>Jacek Nowak</cp:lastModifiedBy>
  <cp:revision>2</cp:revision>
  <dcterms:created xsi:type="dcterms:W3CDTF">2022-05-23T13:09:00Z</dcterms:created>
  <dcterms:modified xsi:type="dcterms:W3CDTF">2022-05-23T13:09:00Z</dcterms:modified>
</cp:coreProperties>
</file>