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EBB4" w14:textId="6095E8F9" w:rsidR="00BB2292" w:rsidRPr="001F1777" w:rsidRDefault="00B860B8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Декарбонизацията на енергийната система изисква всички Европейски граждани да могат да се възползват пълноценно от</w:t>
      </w:r>
      <w:r w:rsid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възобновяемите енергийни източници (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ВЕИ</w:t>
      </w:r>
      <w:r w:rsid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)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. Въпреки това, съществува голям процент от населението</w:t>
      </w:r>
      <w:r w:rsidR="00F13CEF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изпитващ</w:t>
      </w:r>
      <w:r w:rsidR="00F13CEF">
        <w:rPr>
          <w:rFonts w:ascii="Open Sans" w:eastAsia="Times New Roman" w:hAnsi="Open Sans" w:cs="Open Sans"/>
          <w:color w:val="000000"/>
          <w:sz w:val="23"/>
          <w:szCs w:val="23"/>
        </w:rPr>
        <w:t>o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трудности да изград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ВЕИ и по-специално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-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уязвимите групи, включително тези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засегнати от „енергийна бедност“. Тези трудности произхождат от икономически и технически предизвикателства (ВЕИ решенията не са адаптирани към уязвимите групи), но също така и от редица фактори на социална и културна основа, които влияят върху решенията</w:t>
      </w:r>
      <w:r w:rsid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,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като например собственост на жилището и др. </w:t>
      </w:r>
      <w:r w:rsid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Основната цел на този проект е да увеличи и разшири употребата на ВЕИ сред уязвимите групи. По този начин, благодарение на проекта, нови ВЕИ инсталации ще бъдат насърчени с цел </w:t>
      </w:r>
      <w:r w:rsidR="005765B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да се предостави чиста енергия на уязвими домакинства. В допълнение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- </w:t>
      </w:r>
      <w:r w:rsidR="005765B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чрез проекта компании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 w:rsidR="005765B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доставящи възобновяеми енергии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 w:rsidR="005765B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ще бъдат поощрени да предлагат технологични решения, които са адаптирани към уязвимите групи, активирайки по този начин социалната им отговорност.  </w:t>
      </w:r>
    </w:p>
    <w:p w14:paraId="224B45CA" w14:textId="77777777" w:rsidR="00BB2292" w:rsidRPr="001F1777" w:rsidRDefault="00BB229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3CC1115A" w14:textId="717C2241" w:rsidR="00BB2292" w:rsidRPr="001F1777" w:rsidRDefault="005765B0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По този начин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,</w:t>
      </w:r>
      <w:r w:rsidR="00BB2292"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  <w:hyperlink r:id="rId5" w:history="1">
        <w:r w:rsidR="00BB2292" w:rsidRPr="00BB2292">
          <w:rPr>
            <w:rFonts w:ascii="Open Sans" w:eastAsia="Times New Roman" w:hAnsi="Open Sans" w:cs="Open Sans"/>
            <w:color w:val="0000FF"/>
            <w:sz w:val="23"/>
            <w:szCs w:val="23"/>
            <w:u w:val="single"/>
          </w:rPr>
          <w:t>POWERTY</w:t>
        </w:r>
      </w:hyperlink>
      <w:r w:rsidR="00BB2292"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ще спомогне за справянето с енергийната бедност, насърчавайки адекватни енергийни услуги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базирани на ВЕИ към уязвимите домакинства.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Имайки предвид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специфичните условия на тези домакинства, ще бъдат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промотирани</w:t>
      </w:r>
      <w:proofErr w:type="spellEnd"/>
      <w:r w:rsidR="00F13CEF" w:rsidRP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мерки за социална иновация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, които ще са базирани на насърченото участие, интегрирането и въвличането на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тези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групи. 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</w:p>
    <w:p w14:paraId="55C381A9" w14:textId="77777777" w:rsidR="00BB2292" w:rsidRPr="001F1777" w:rsidRDefault="00BB229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0FC9A12D" w14:textId="423AFBCB" w:rsidR="00BB2292" w:rsidRPr="001F1777" w:rsidRDefault="00FA753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Проектът ще разработи цялостен ефективен процес на трансфер на знания между регионите,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разчитайки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на партньори от 6 страни (регионални и национално базирани), притежаващи различна допълваща експертиза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.</w:t>
      </w:r>
      <w:r w:rsidR="009B594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Повече от 50 добри практики и повече от 50 събития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 w:rsidR="009B594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включващи над 60 заинтересовани страни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 w:rsidR="009B594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ще спомогнат за съставянето на Регионални планове за действия, които ще засегнат повече от 25 милиона жители. 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</w:p>
    <w:p w14:paraId="73107422" w14:textId="77777777" w:rsidR="009B5940" w:rsidRPr="001F1777" w:rsidRDefault="009B5940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</w:p>
    <w:p w14:paraId="45390035" w14:textId="16146DAE" w:rsidR="00BB2292" w:rsidRPr="001F1777" w:rsidRDefault="00BB229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bg-BG"/>
        </w:rPr>
        <w:t>Основни цели</w:t>
      </w:r>
      <w:r w:rsidRPr="001F1777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ru-RU"/>
        </w:rPr>
        <w:t>:</w:t>
      </w:r>
    </w:p>
    <w:p w14:paraId="36C9C852" w14:textId="77777777" w:rsidR="00BB2292" w:rsidRPr="001F1777" w:rsidRDefault="00BB229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7616CE2C" w14:textId="35E2B9BC" w:rsidR="00BB2292" w:rsidRPr="001F1777" w:rsidRDefault="006A65F3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Основната цел на проекта е да подобри съществуващите инструменти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чрез което да се допринесе за по-масовото използване на ВЕИ сред уязвимите групи, което също така ще спомогне за увеличаването на дела на ВЕИ и за намаляването на енергийната бедност в ЕС. В допълнение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-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проектът ще допринесе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създаването на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ниско въглеродна икономика посредством намаляването на консумацията на изкопаемите горива, които в значителна степен произхождат от страни извън ЕС.  </w:t>
      </w:r>
    </w:p>
    <w:p w14:paraId="39D9F3BA" w14:textId="77777777" w:rsidR="007F5090" w:rsidRPr="001F1777" w:rsidRDefault="007F5090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ru-RU"/>
        </w:rPr>
      </w:pPr>
    </w:p>
    <w:p w14:paraId="63F06CC3" w14:textId="0070BBE9" w:rsidR="00BB2292" w:rsidRPr="00BB2292" w:rsidRDefault="00B860B8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bg-BG"/>
        </w:rPr>
        <w:t>Подцели:</w:t>
      </w:r>
    </w:p>
    <w:p w14:paraId="19895B92" w14:textId="77777777" w:rsidR="00BB2292" w:rsidRPr="00BB2292" w:rsidRDefault="00BB229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458AA4A4" w14:textId="55FC38BD" w:rsidR="00BB2292" w:rsidRPr="001F1777" w:rsidRDefault="0060023B" w:rsidP="00C347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Идентифициране на ВЕИ технологии, инструменти и методи, които най-добре могат да бъдат адаптирани към уязвимите групи, с цел повишаването на качеството им на живот, в т.ч.</w:t>
      </w:r>
      <w:r w:rsidRPr="001F1777">
        <w:rPr>
          <w:lang w:val="ru-RU"/>
        </w:rPr>
        <w:t xml:space="preserve"> </w:t>
      </w:r>
      <w:r w:rsidRPr="0060023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градски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или общностни</w:t>
      </w:r>
      <w:r w:rsidRPr="0060023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енергийни системи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- 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(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централизирано или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lastRenderedPageBreak/>
        <w:t>термопомпено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общностно отопление/охлаждане, 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)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 система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увеличаваща собствената консумация и др. </w:t>
      </w:r>
    </w:p>
    <w:p w14:paraId="72DAEEAF" w14:textId="7FFA2BBC" w:rsidR="00BB2292" w:rsidRPr="001F1777" w:rsidRDefault="0060023B" w:rsidP="00C347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Идентифициране на подходящи финансови механизми, както общностни, така и частни инвестиции, както и </w:t>
      </w:r>
      <w:r w:rsidRPr="0060023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опростяване и подобряване на достъпността на обществото до тези нови схеми.</w:t>
      </w:r>
    </w:p>
    <w:p w14:paraId="540397E0" w14:textId="157FDC99" w:rsidR="00BB2292" w:rsidRPr="001F1777" w:rsidRDefault="0060023B" w:rsidP="00C347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Преодоляване на нормативните и регулаторните бариери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свързани с ВЕИ сред уязвимите групи. </w:t>
      </w:r>
    </w:p>
    <w:p w14:paraId="28E64039" w14:textId="1FDC901F" w:rsidR="00BB2292" w:rsidRPr="001F1777" w:rsidRDefault="0060023B" w:rsidP="00C347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Овластяване на гражданите и местните власти. Дефиниране на стратегии за социална иновация, промотиращи и стимулиращи гражданското участие на уязвимите групи и улесняването на общините за използването на инструменти, с които да смекчат този проблем на местно ниво. </w:t>
      </w:r>
    </w:p>
    <w:p w14:paraId="243A8800" w14:textId="15D795DB" w:rsidR="00BB2292" w:rsidRPr="001F1777" w:rsidRDefault="0060023B" w:rsidP="00C3478A">
      <w:pPr>
        <w:shd w:val="clear" w:color="auto" w:fill="FFFFFF"/>
        <w:spacing w:after="0" w:line="240" w:lineRule="auto"/>
        <w:ind w:left="45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В допълнение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- освен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жилищните сгради, проект </w:t>
      </w:r>
      <w:r w:rsidR="00BB2292" w:rsidRPr="00BB2292">
        <w:rPr>
          <w:rFonts w:ascii="Open Sans" w:eastAsia="Times New Roman" w:hAnsi="Open Sans" w:cs="Open Sans"/>
          <w:color w:val="000000"/>
          <w:sz w:val="23"/>
          <w:szCs w:val="23"/>
        </w:rPr>
        <w:t>POWERTY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също така ще включи решения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подходящи за сгради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предоставящи публични услуги за уязвимите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групи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(училища,</w:t>
      </w:r>
      <w:r w:rsidRPr="001F1777">
        <w:rPr>
          <w:lang w:val="ru-RU"/>
        </w:rPr>
        <w:t xml:space="preserve"> </w:t>
      </w:r>
      <w:r w:rsidRPr="0060023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кухни за социална храна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и др.)  </w:t>
      </w:r>
    </w:p>
    <w:p w14:paraId="748031CD" w14:textId="77777777" w:rsidR="00BB2292" w:rsidRPr="001F1777" w:rsidRDefault="00BB2292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75038273" w14:textId="1A97BD9B" w:rsidR="00BB2292" w:rsidRPr="0060023B" w:rsidRDefault="0060023B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Обща методика ще бъде дефинирана, за да характеризира енергийната бедност в партньорските региони, позволяваща по-доброто адаптиране на предложените мерки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към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социалната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и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културна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реалност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всеки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регион в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съответствие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с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предварително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дефинираните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подцели.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</w:t>
      </w:r>
    </w:p>
    <w:p w14:paraId="42913D05" w14:textId="77777777" w:rsidR="00B860B8" w:rsidRPr="001F1777" w:rsidRDefault="00B860B8" w:rsidP="00BB2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ru-RU"/>
        </w:rPr>
      </w:pPr>
    </w:p>
    <w:p w14:paraId="22B07515" w14:textId="4CD094EF" w:rsidR="00BB2292" w:rsidRPr="001F1777" w:rsidRDefault="00B860B8" w:rsidP="00BB2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bg-BG"/>
        </w:rPr>
        <w:t>Основна информация</w:t>
      </w:r>
      <w:r w:rsidR="00BB2292" w:rsidRPr="001F1777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ru-RU"/>
        </w:rPr>
        <w:t>:</w:t>
      </w:r>
    </w:p>
    <w:p w14:paraId="6688717B" w14:textId="77777777" w:rsidR="00BB2292" w:rsidRPr="001F1777" w:rsidRDefault="00BB2292" w:rsidP="00BB229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1B766722" w14:textId="3B4E0B67" w:rsidR="00BB2292" w:rsidRPr="001F1777" w:rsidRDefault="004F787A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Участващите региони оперират специфични фондове за възобновяема енергия, както и инструменти за енергийно планиране, при които са поставени цели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пр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покриващи предвидените в проекта дейности и мерки. От друга страна всички партньори декларират</w:t>
      </w: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,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че техните Национални/Регионални </w:t>
      </w:r>
      <w:r w:rsidR="00F13CEF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с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тратегии ще бъдат повлияни от проекта, което ще позволи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хармонизиране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резултатите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от проекта с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прилагането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тези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планове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и стратегии.</w:t>
      </w:r>
    </w:p>
    <w:p w14:paraId="285F48F6" w14:textId="77777777" w:rsidR="00BB2292" w:rsidRPr="001F1777" w:rsidRDefault="00BB2292" w:rsidP="00BB2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6A7ED563" w14:textId="3C1839B9" w:rsidR="00BB2292" w:rsidRPr="001F1777" w:rsidRDefault="004F787A" w:rsidP="00C347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Това ще бъде насърчено чрез създаването на </w:t>
      </w: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специфична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регионална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група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от</w:t>
      </w: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заинтересованите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страни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, която ще следи въздействието, </w:t>
      </w:r>
      <w:r w:rsidRPr="004F787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ще оценява дейностите и ще определя количествено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и качеството на</w:t>
      </w:r>
      <w:r w:rsidRPr="004F787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постигнатите ползи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,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която </w:t>
      </w:r>
      <w:r w:rsidR="00997884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същевременно 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ще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гарантира устойчивостта на действията в региона. </w:t>
      </w:r>
    </w:p>
    <w:p w14:paraId="1ECD36DF" w14:textId="77777777" w:rsidR="00BB2292" w:rsidRPr="001F1777" w:rsidRDefault="00BB2292" w:rsidP="00BB22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4DAAF513" w14:textId="21AB6D8E" w:rsidR="00BB2292" w:rsidRDefault="00997884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Важно е да се спомене, че извън наличните Европейски фондове за регионално развитие</w:t>
      </w:r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наборът от мерки и действия, които ще се разработят (нови финансови механизми, въвличане на уязвими групи, насърчаване на иновациите)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са предложени с цел да осигурят устойчивост на проекта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след 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неговото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приключване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.</w:t>
      </w:r>
    </w:p>
    <w:p w14:paraId="11E29104" w14:textId="77777777" w:rsidR="00997884" w:rsidRPr="001F1777" w:rsidRDefault="00997884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</w:p>
    <w:p w14:paraId="3288A6A1" w14:textId="4896A4FF" w:rsidR="00BB2292" w:rsidRPr="001F1777" w:rsidRDefault="00997884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В този контекст е необходимо да се подчертае, че </w:t>
      </w:r>
      <w:r w:rsidRPr="00997884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нормативни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те</w:t>
      </w:r>
      <w:r w:rsidRPr="00997884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мерки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 които ще бъдат анализирани и разработени в рамките на проекта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ще установят</w:t>
      </w:r>
      <w:r w:rsidRPr="001F1777">
        <w:rPr>
          <w:lang w:val="ru-RU"/>
        </w:rPr>
        <w:t xml:space="preserve"> </w:t>
      </w:r>
      <w:r w:rsidRPr="00997884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правна рамка в подкрепа на горепосочените мерки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.  </w:t>
      </w:r>
    </w:p>
    <w:p w14:paraId="3F6D4854" w14:textId="77777777" w:rsidR="00BB2292" w:rsidRPr="001F1777" w:rsidRDefault="00BB2292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lastRenderedPageBreak/>
        <w:t> </w:t>
      </w:r>
    </w:p>
    <w:p w14:paraId="5E7C9030" w14:textId="4BAA7DBD" w:rsidR="00BB2292" w:rsidRPr="001F1777" w:rsidRDefault="00997884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В допълнение, проектът ще благоприятства развитието на </w:t>
      </w:r>
      <w:r w:rsidRPr="00997884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междурегионални стратегии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,  създавайки </w:t>
      </w:r>
      <w:r w:rsidRPr="00997884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междурегионални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групи от заинтересовани групи, в т.ч. законотворци, бизнес сектора и научно-изследователски организации, НПО, насърчаващи стратегическото сътрудничество</w:t>
      </w:r>
      <w:r w:rsidR="00161B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, което ще остане след приключването на проекта. </w:t>
      </w:r>
    </w:p>
    <w:p w14:paraId="6BB45AD3" w14:textId="77777777" w:rsidR="00BB2292" w:rsidRPr="001F1777" w:rsidRDefault="00BB2292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010D453F" w14:textId="1BDE39E6" w:rsidR="00BB2292" w:rsidRPr="001F1777" w:rsidRDefault="00161B5A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Накрая, включването в проекта на други организации, като заинтересовани страни на Европейско ниво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ще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осигури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влияние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върху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бъдещото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развитие на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европейската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политика.</w:t>
      </w:r>
    </w:p>
    <w:p w14:paraId="75262746" w14:textId="77777777" w:rsidR="00BB2292" w:rsidRPr="001F1777" w:rsidRDefault="00BB2292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53BD9AC5" w14:textId="78D04DE4" w:rsidR="00BB2292" w:rsidRPr="001F1777" w:rsidRDefault="00BB2292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bg-BG"/>
        </w:rPr>
        <w:t>Основни резултати</w:t>
      </w:r>
      <w:r w:rsidRPr="001F1777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ru-RU"/>
        </w:rPr>
        <w:t>:</w:t>
      </w:r>
    </w:p>
    <w:p w14:paraId="2BE763FD" w14:textId="77777777" w:rsidR="00BB2292" w:rsidRPr="001F1777" w:rsidRDefault="00BB2292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66F3B461" w14:textId="5AB4560C" w:rsidR="00BB2292" w:rsidRPr="001F1777" w:rsidRDefault="007F5090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В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количествено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отношение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основните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резултати</w:t>
      </w: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,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които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е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неоходимо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д</w:t>
      </w: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бъдат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произведени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,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са</w:t>
      </w:r>
      <w:proofErr w:type="spellEnd"/>
      <w:r w:rsidR="00BB2292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:</w:t>
      </w:r>
    </w:p>
    <w:p w14:paraId="2E5BD46A" w14:textId="77777777" w:rsidR="00BB2292" w:rsidRPr="001F1777" w:rsidRDefault="00BB2292" w:rsidP="001F1777">
      <w:p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13F0C4EC" w14:textId="375FF4B6" w:rsidR="00BB2292" w:rsidRPr="001F1777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7 </w:t>
      </w:r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учебни посещения ще бъдат организира, където </w:t>
      </w:r>
      <w:r w:rsidR="007F5090" w:rsidRP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ще бъде предоставена конкретна и подробна информация за добрите практики, идентифицирани в региони</w:t>
      </w:r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те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,</w:t>
      </w:r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организатори на </w:t>
      </w:r>
      <w:proofErr w:type="gramStart"/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събитията ;</w:t>
      </w:r>
      <w:proofErr w:type="gramEnd"/>
    </w:p>
    <w:p w14:paraId="16BF401E" w14:textId="2F5F2037" w:rsidR="00BB2292" w:rsidRPr="00BB2292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 xml:space="preserve">4 </w:t>
      </w:r>
      <w:proofErr w:type="spellStart"/>
      <w:r w:rsidR="007F5090" w:rsidRPr="007F5090">
        <w:rPr>
          <w:rFonts w:ascii="Open Sans" w:eastAsia="Times New Roman" w:hAnsi="Open Sans" w:cs="Open Sans"/>
          <w:color w:val="000000"/>
          <w:sz w:val="23"/>
          <w:szCs w:val="23"/>
        </w:rPr>
        <w:t>междурегионални</w:t>
      </w:r>
      <w:proofErr w:type="spellEnd"/>
      <w:r w:rsidR="007F5090" w:rsidRPr="007F5090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="007F5090" w:rsidRPr="007F5090">
        <w:rPr>
          <w:rFonts w:ascii="Open Sans" w:eastAsia="Times New Roman" w:hAnsi="Open Sans" w:cs="Open Sans"/>
          <w:color w:val="000000"/>
          <w:sz w:val="23"/>
          <w:szCs w:val="23"/>
        </w:rPr>
        <w:t>тематични</w:t>
      </w:r>
      <w:proofErr w:type="spellEnd"/>
      <w:r w:rsidR="007F5090" w:rsidRPr="007F5090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="007F5090" w:rsidRPr="007F5090">
        <w:rPr>
          <w:rFonts w:ascii="Open Sans" w:eastAsia="Times New Roman" w:hAnsi="Open Sans" w:cs="Open Sans"/>
          <w:color w:val="000000"/>
          <w:sz w:val="23"/>
          <w:szCs w:val="23"/>
        </w:rPr>
        <w:t>семинара</w:t>
      </w:r>
      <w:proofErr w:type="spellEnd"/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;</w:t>
      </w:r>
    </w:p>
    <w:p w14:paraId="420B8315" w14:textId="274CAFD5" w:rsidR="00BB2292" w:rsidRPr="001F1777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10 </w:t>
      </w:r>
      <w:r w:rsidR="00B860B8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двустранни срещи между регионите, където всеки партньор ще идентифицира специфични </w:t>
      </w:r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потребности за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задълбочаване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процеса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обучение</w:t>
      </w:r>
    </w:p>
    <w:p w14:paraId="4EB0A1B5" w14:textId="64CBCD05" w:rsidR="00BB2292" w:rsidRPr="001F1777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1 </w:t>
      </w:r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среща за о</w:t>
      </w:r>
      <w:proofErr w:type="spellStart"/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бмяна</w:t>
      </w:r>
      <w:proofErr w:type="spellEnd"/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опит</w:t>
      </w:r>
      <w:r w:rsidR="007F5090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и</w:t>
      </w:r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споделяне</w:t>
      </w:r>
      <w:proofErr w:type="spellEnd"/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</w:t>
      </w:r>
      <w:proofErr w:type="spellStart"/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плановете</w:t>
      </w:r>
      <w:proofErr w:type="spellEnd"/>
      <w:r w:rsidR="007F5090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за действие</w:t>
      </w:r>
    </w:p>
    <w:p w14:paraId="693877DD" w14:textId="17596DBE" w:rsidR="00BB2292" w:rsidRPr="001F1777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25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Регионалн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и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работн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и</w:t>
      </w:r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срещ</w:t>
      </w:r>
      <w:r w:rsidR="00EF175A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и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с</w:t>
      </w:r>
      <w:proofErr w:type="spellStart"/>
      <w:r w:rsidR="00B860B8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ъс</w:t>
      </w:r>
      <w:proofErr w:type="spellEnd"/>
      <w:r w:rsidR="00B860B8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заинтересовани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страни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</w:p>
    <w:p w14:paraId="526F456B" w14:textId="43C89577" w:rsidR="00B860B8" w:rsidRPr="00B860B8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 xml:space="preserve">1 </w:t>
      </w:r>
      <w:r w:rsidR="00B860B8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европейско </w:t>
      </w:r>
      <w:proofErr w:type="spellStart"/>
      <w:r w:rsidR="00B860B8" w:rsidRPr="00B860B8">
        <w:rPr>
          <w:rFonts w:ascii="Open Sans" w:eastAsia="Times New Roman" w:hAnsi="Open Sans" w:cs="Open Sans"/>
          <w:color w:val="000000"/>
          <w:sz w:val="23"/>
          <w:szCs w:val="23"/>
        </w:rPr>
        <w:t>събитие</w:t>
      </w:r>
      <w:proofErr w:type="spellEnd"/>
      <w:r w:rsidR="00B860B8" w:rsidRPr="00B860B8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="00B860B8" w:rsidRPr="00B860B8">
        <w:rPr>
          <w:rFonts w:ascii="Open Sans" w:eastAsia="Times New Roman" w:hAnsi="Open Sans" w:cs="Open Sans"/>
          <w:color w:val="000000"/>
          <w:sz w:val="23"/>
          <w:szCs w:val="23"/>
        </w:rPr>
        <w:t>на</w:t>
      </w:r>
      <w:proofErr w:type="spellEnd"/>
      <w:r w:rsidR="00B860B8" w:rsidRPr="00B860B8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="00B860B8" w:rsidRPr="00B860B8">
        <w:rPr>
          <w:rFonts w:ascii="Open Sans" w:eastAsia="Times New Roman" w:hAnsi="Open Sans" w:cs="Open Sans"/>
          <w:color w:val="000000"/>
          <w:sz w:val="23"/>
          <w:szCs w:val="23"/>
        </w:rPr>
        <w:t>високо</w:t>
      </w:r>
      <w:proofErr w:type="spellEnd"/>
      <w:r w:rsidR="00B860B8" w:rsidRPr="00B860B8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r w:rsidR="00B860B8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ниво</w:t>
      </w:r>
    </w:p>
    <w:p w14:paraId="5FEF3EF7" w14:textId="77777777" w:rsidR="00B860B8" w:rsidRPr="001F1777" w:rsidRDefault="00BB2292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5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събития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за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разпространение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на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регионално</w:t>
      </w:r>
      <w:proofErr w:type="spellEnd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="00B860B8"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ниво</w:t>
      </w:r>
      <w:proofErr w:type="spellEnd"/>
    </w:p>
    <w:p w14:paraId="5F551B51" w14:textId="77777777" w:rsidR="00B860B8" w:rsidRPr="001F1777" w:rsidRDefault="00B860B8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5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регионални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плана за действие,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разработени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r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в рамките на Ф</w:t>
      </w: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аза 1 в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тясно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сътрудничество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и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одобрени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от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регионалните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заинтересовани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страни</w:t>
      </w:r>
      <w:proofErr w:type="spellEnd"/>
    </w:p>
    <w:p w14:paraId="08354B92" w14:textId="7DD7EABC" w:rsidR="00BB2292" w:rsidRPr="001F1777" w:rsidRDefault="00B860B8" w:rsidP="001F177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rPr>
          <w:rFonts w:ascii="Open Sans" w:eastAsia="Times New Roman" w:hAnsi="Open Sans" w:cs="Open Sans"/>
          <w:color w:val="000000"/>
          <w:sz w:val="23"/>
          <w:szCs w:val="23"/>
          <w:lang w:val="ru-RU"/>
        </w:rPr>
      </w:pPr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7 заседания на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Управителен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комитет и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междурегионална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група</w:t>
      </w:r>
      <w:proofErr w:type="spellEnd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 xml:space="preserve"> от </w:t>
      </w:r>
      <w:proofErr w:type="spellStart"/>
      <w:r w:rsidRPr="001F1777">
        <w:rPr>
          <w:rFonts w:ascii="Open Sans" w:eastAsia="Times New Roman" w:hAnsi="Open Sans" w:cs="Open Sans"/>
          <w:color w:val="000000"/>
          <w:sz w:val="23"/>
          <w:szCs w:val="23"/>
          <w:lang w:val="ru-RU"/>
        </w:rPr>
        <w:t>експерти</w:t>
      </w:r>
      <w:proofErr w:type="spellEnd"/>
      <w:r w:rsidR="00BB2292"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7E238B3B" w14:textId="77777777" w:rsidR="00B860B8" w:rsidRDefault="00B860B8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bg-BG"/>
        </w:rPr>
      </w:pPr>
    </w:p>
    <w:p w14:paraId="7FA0DC94" w14:textId="5F05D75A" w:rsidR="00BB2292" w:rsidRPr="00BB2292" w:rsidRDefault="007F5090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  <w:lang w:val="bg-BG"/>
        </w:rPr>
        <w:t>Партньори</w:t>
      </w:r>
      <w:r w:rsidR="00BB2292" w:rsidRPr="00BB2292">
        <w:rPr>
          <w:rFonts w:ascii="Open Sans" w:eastAsia="Times New Roman" w:hAnsi="Open Sans" w:cs="Open Sans"/>
          <w:b/>
          <w:bCs/>
          <w:color w:val="000000"/>
          <w:sz w:val="23"/>
          <w:szCs w:val="23"/>
          <w:u w:val="single"/>
        </w:rPr>
        <w:t>:</w:t>
      </w:r>
    </w:p>
    <w:p w14:paraId="593B10FA" w14:textId="77777777" w:rsidR="00BB2292" w:rsidRPr="00BB2292" w:rsidRDefault="00BB2292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BB2292">
        <w:rPr>
          <w:rFonts w:ascii="Open Sans" w:eastAsia="Times New Roman" w:hAnsi="Open Sans" w:cs="Open Sans"/>
          <w:color w:val="000000"/>
          <w:sz w:val="23"/>
          <w:szCs w:val="23"/>
        </w:rPr>
        <w:t> </w:t>
      </w:r>
    </w:p>
    <w:p w14:paraId="4A07205C" w14:textId="759CE615" w:rsidR="00BB2292" w:rsidRPr="00C66D8B" w:rsidRDefault="007F5090" w:rsidP="001F1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Енергийна Агенция Андалусия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(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>Andalusian Energy Agency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)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Испания</w:t>
      </w:r>
    </w:p>
    <w:p w14:paraId="0E714596" w14:textId="4BC9EFDE" w:rsidR="00BB2292" w:rsidRPr="00BB2292" w:rsidRDefault="00BB2292" w:rsidP="001F1777">
      <w:pPr>
        <w:shd w:val="clear" w:color="auto" w:fill="FFFFFF"/>
        <w:spacing w:after="0" w:line="240" w:lineRule="auto"/>
        <w:ind w:firstLine="60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2A874F01" w14:textId="542F223C" w:rsidR="00BB2292" w:rsidRPr="00C66D8B" w:rsidRDefault="007F5090" w:rsidP="001F1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Агенция за околна среда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Rhône-Alpes (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>Auvergne Rhône-Alpes Energy Environment Agency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)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Франция</w:t>
      </w:r>
    </w:p>
    <w:p w14:paraId="23EEA618" w14:textId="6FFB9116" w:rsidR="00BB2292" w:rsidRPr="00BB2292" w:rsidRDefault="00BB2292" w:rsidP="001F1777">
      <w:pPr>
        <w:shd w:val="clear" w:color="auto" w:fill="FFFFFF"/>
        <w:spacing w:after="0" w:line="240" w:lineRule="auto"/>
        <w:ind w:firstLine="60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1C3641D7" w14:textId="75A530E0" w:rsidR="00BB2292" w:rsidRPr="00C66D8B" w:rsidRDefault="007F5090" w:rsidP="001F1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Енергийна Агенция – Пловдив (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Energy Agency of Plovdiv)</w:t>
      </w:r>
    </w:p>
    <w:p w14:paraId="5D50F92F" w14:textId="77777777" w:rsidR="007F5090" w:rsidRPr="00BB2292" w:rsidRDefault="007F5090" w:rsidP="001F17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68888821" w14:textId="3E9C82CA" w:rsidR="00BB2292" w:rsidRPr="00C66D8B" w:rsidRDefault="007F5090" w:rsidP="001F1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Агломерационният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Oполски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Tръст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(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The Agglomeration Opole Trust),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Полша</w:t>
      </w:r>
    </w:p>
    <w:p w14:paraId="58DB4E93" w14:textId="685670AE" w:rsidR="00BB2292" w:rsidRPr="00BB2292" w:rsidRDefault="00BB2292" w:rsidP="00C66D8B">
      <w:pPr>
        <w:shd w:val="clear" w:color="auto" w:fill="FFFFFF"/>
        <w:spacing w:after="0" w:line="240" w:lineRule="auto"/>
        <w:ind w:firstLine="60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70624F84" w14:textId="03D8534E" w:rsidR="00BB2292" w:rsidRPr="00C66D8B" w:rsidRDefault="007F5090" w:rsidP="00C66D8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val="bg-BG"/>
        </w:rPr>
      </w:pP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Агенцията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за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публични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инвестиции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и </w:t>
      </w:r>
      <w:proofErr w:type="spellStart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развитие</w:t>
      </w:r>
      <w:proofErr w:type="spellEnd"/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 (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>The Public Investment and Development Agency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>VIPA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</w:rPr>
        <w:t>)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Литва</w:t>
      </w:r>
    </w:p>
    <w:p w14:paraId="06916D4C" w14:textId="75E0104B" w:rsidR="00BB2292" w:rsidRPr="00BB2292" w:rsidRDefault="00BB2292" w:rsidP="00C66D8B">
      <w:pPr>
        <w:shd w:val="clear" w:color="auto" w:fill="FFFFFF"/>
        <w:spacing w:after="0" w:line="240" w:lineRule="auto"/>
        <w:ind w:firstLine="60"/>
        <w:rPr>
          <w:rFonts w:ascii="Open Sans" w:eastAsia="Times New Roman" w:hAnsi="Open Sans" w:cs="Open Sans"/>
          <w:color w:val="000000"/>
          <w:sz w:val="23"/>
          <w:szCs w:val="23"/>
        </w:rPr>
      </w:pPr>
    </w:p>
    <w:p w14:paraId="7F011C6D" w14:textId="51215A8F" w:rsidR="006923A5" w:rsidRPr="00C66D8B" w:rsidRDefault="007F5090" w:rsidP="00C66D8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bg-BG"/>
        </w:rPr>
      </w:pP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>Университет Манчестър</w:t>
      </w:r>
      <w:r w:rsidR="00BB2292" w:rsidRPr="00C66D8B"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 w:rsidRPr="00C66D8B">
        <w:rPr>
          <w:rFonts w:ascii="Open Sans" w:eastAsia="Times New Roman" w:hAnsi="Open Sans" w:cs="Open Sans"/>
          <w:color w:val="000000"/>
          <w:sz w:val="23"/>
          <w:szCs w:val="23"/>
          <w:lang w:val="bg-BG"/>
        </w:rPr>
        <w:t xml:space="preserve">Обединено Кралство </w:t>
      </w:r>
    </w:p>
    <w:sectPr w:rsidR="006923A5" w:rsidRPr="00C6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06BB"/>
    <w:multiLevelType w:val="hybridMultilevel"/>
    <w:tmpl w:val="EB50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0E0F"/>
    <w:multiLevelType w:val="multilevel"/>
    <w:tmpl w:val="EE5C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1443A"/>
    <w:multiLevelType w:val="multilevel"/>
    <w:tmpl w:val="72D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92"/>
    <w:rsid w:val="00161B5A"/>
    <w:rsid w:val="001F1777"/>
    <w:rsid w:val="004F787A"/>
    <w:rsid w:val="005765B0"/>
    <w:rsid w:val="005F37C0"/>
    <w:rsid w:val="0060023B"/>
    <w:rsid w:val="00615975"/>
    <w:rsid w:val="006923A5"/>
    <w:rsid w:val="006A65F3"/>
    <w:rsid w:val="007700C4"/>
    <w:rsid w:val="007F5090"/>
    <w:rsid w:val="00997884"/>
    <w:rsid w:val="009B5940"/>
    <w:rsid w:val="00B860B8"/>
    <w:rsid w:val="00BB2292"/>
    <w:rsid w:val="00C3478A"/>
    <w:rsid w:val="00C66D8B"/>
    <w:rsid w:val="00EF175A"/>
    <w:rsid w:val="00F13CEF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A357"/>
  <w15:chartTrackingRefBased/>
  <w15:docId w15:val="{D04BF945-E6DF-426D-93E0-A366F28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2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292"/>
    <w:rPr>
      <w:b/>
      <w:bCs/>
    </w:rPr>
  </w:style>
  <w:style w:type="paragraph" w:styleId="ListParagraph">
    <w:name w:val="List Paragraph"/>
    <w:basedOn w:val="Normal"/>
    <w:uiPriority w:val="34"/>
    <w:qFormat/>
    <w:rsid w:val="00C66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regeurope.eu/power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Kisyov</dc:creator>
  <cp:keywords/>
  <dc:description/>
  <cp:lastModifiedBy>Petar Kisyov</cp:lastModifiedBy>
  <cp:revision>4</cp:revision>
  <dcterms:created xsi:type="dcterms:W3CDTF">2020-05-29T09:47:00Z</dcterms:created>
  <dcterms:modified xsi:type="dcterms:W3CDTF">2020-05-29T11:14:00Z</dcterms:modified>
</cp:coreProperties>
</file>