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8249" w14:textId="77777777" w:rsidR="00D557DC" w:rsidRDefault="00D557DC" w:rsidP="00D557DC">
      <w:pPr>
        <w:jc w:val="center"/>
        <w:rPr>
          <w:b/>
          <w:sz w:val="28"/>
        </w:rPr>
      </w:pPr>
    </w:p>
    <w:p w14:paraId="4E330650" w14:textId="2D363F08" w:rsidR="00D557DC" w:rsidRDefault="00D557DC" w:rsidP="00D557DC">
      <w:pPr>
        <w:jc w:val="center"/>
        <w:rPr>
          <w:b/>
          <w:sz w:val="28"/>
        </w:rPr>
      </w:pPr>
      <w:r>
        <w:rPr>
          <w:b/>
          <w:sz w:val="28"/>
        </w:rPr>
        <w:t xml:space="preserve">PE4Trans </w:t>
      </w:r>
      <w:r w:rsidR="00731B63">
        <w:rPr>
          <w:b/>
          <w:sz w:val="28"/>
        </w:rPr>
        <w:t>capacity building workshop</w:t>
      </w:r>
    </w:p>
    <w:p w14:paraId="1685FCBD" w14:textId="435EC7D2" w:rsidR="00D557DC" w:rsidRPr="00731B63" w:rsidRDefault="00731B63" w:rsidP="00D557DC">
      <w:pPr>
        <w:jc w:val="center"/>
        <w:rPr>
          <w:b/>
          <w:sz w:val="28"/>
          <w:lang w:val="en-GB"/>
        </w:rPr>
      </w:pPr>
      <w:r w:rsidRPr="00731B63">
        <w:rPr>
          <w:b/>
          <w:sz w:val="28"/>
          <w:lang w:val="en-GB"/>
        </w:rPr>
        <w:t>29-30 January 2019, Coventry</w:t>
      </w:r>
      <w:r w:rsidR="00D557DC" w:rsidRPr="00731B63">
        <w:rPr>
          <w:b/>
          <w:sz w:val="28"/>
          <w:lang w:val="en-GB"/>
        </w:rPr>
        <w:t xml:space="preserve">, </w:t>
      </w:r>
      <w:r w:rsidR="00574EC0">
        <w:rPr>
          <w:b/>
          <w:sz w:val="28"/>
          <w:lang w:val="en-GB"/>
        </w:rPr>
        <w:t>UK</w:t>
      </w:r>
    </w:p>
    <w:p w14:paraId="0657A3DB" w14:textId="6344305B" w:rsidR="00E33CAE" w:rsidRDefault="00E33CAE" w:rsidP="00383303">
      <w:pPr>
        <w:pStyle w:val="Tytu"/>
        <w:rPr>
          <w:lang w:val="en-GB"/>
        </w:rPr>
      </w:pPr>
      <w:r>
        <w:rPr>
          <w:lang w:val="en-GB"/>
        </w:rPr>
        <w:t>introduction</w:t>
      </w:r>
    </w:p>
    <w:p w14:paraId="075E6FBE" w14:textId="77777777" w:rsidR="00F62084" w:rsidRDefault="00E33CAE" w:rsidP="00E33CAE">
      <w:pPr>
        <w:rPr>
          <w:lang w:val="en-GB"/>
        </w:rPr>
      </w:pPr>
      <w:r>
        <w:rPr>
          <w:lang w:val="en-GB"/>
        </w:rPr>
        <w:t xml:space="preserve">PE4Trans </w:t>
      </w:r>
      <w:r w:rsidR="009973C6">
        <w:rPr>
          <w:lang w:val="en-GB"/>
        </w:rPr>
        <w:t>partners</w:t>
      </w:r>
      <w:r>
        <w:rPr>
          <w:lang w:val="en-GB"/>
        </w:rPr>
        <w:t xml:space="preserve"> are working together </w:t>
      </w:r>
      <w:r w:rsidR="009973C6">
        <w:rPr>
          <w:lang w:val="en-GB"/>
        </w:rPr>
        <w:t xml:space="preserve">to strengthen the public engagement in </w:t>
      </w:r>
      <w:r w:rsidR="00F62084">
        <w:rPr>
          <w:lang w:val="en-GB"/>
        </w:rPr>
        <w:t>design and implementation of</w:t>
      </w:r>
      <w:r w:rsidR="009973C6">
        <w:rPr>
          <w:lang w:val="en-GB"/>
        </w:rPr>
        <w:t xml:space="preserve"> transport and mobility policies in their territories. </w:t>
      </w:r>
    </w:p>
    <w:p w14:paraId="4A00033A" w14:textId="00EC6E24" w:rsidR="00E33CAE" w:rsidRPr="00E33CAE" w:rsidRDefault="009973C6" w:rsidP="00E33CAE">
      <w:pPr>
        <w:rPr>
          <w:lang w:val="en-GB"/>
        </w:rPr>
      </w:pPr>
      <w:r>
        <w:rPr>
          <w:lang w:val="en-GB"/>
        </w:rPr>
        <w:t xml:space="preserve">During the capacity building workshop </w:t>
      </w:r>
      <w:r w:rsidR="00F62084">
        <w:rPr>
          <w:lang w:val="en-GB"/>
        </w:rPr>
        <w:t>organised in Coventry (</w:t>
      </w:r>
      <w:r w:rsidR="00F62084" w:rsidRPr="00B4134C">
        <w:rPr>
          <w:rFonts w:eastAsiaTheme="majorEastAsia"/>
          <w:lang w:val="en-GB"/>
        </w:rPr>
        <w:t>29-30</w:t>
      </w:r>
      <w:r w:rsidR="00F62084">
        <w:rPr>
          <w:rFonts w:eastAsiaTheme="majorEastAsia"/>
          <w:lang w:val="en-GB"/>
        </w:rPr>
        <w:t xml:space="preserve"> January 20</w:t>
      </w:r>
      <w:bookmarkStart w:id="0" w:name="_GoBack"/>
      <w:bookmarkEnd w:id="0"/>
      <w:r w:rsidR="00F62084" w:rsidRPr="00B4134C">
        <w:rPr>
          <w:rFonts w:eastAsiaTheme="majorEastAsia"/>
          <w:lang w:val="en-GB"/>
        </w:rPr>
        <w:t>19</w:t>
      </w:r>
      <w:r w:rsidR="00F62084">
        <w:rPr>
          <w:rFonts w:eastAsiaTheme="majorEastAsia"/>
          <w:lang w:val="en-GB"/>
        </w:rPr>
        <w:t xml:space="preserve">) </w:t>
      </w:r>
      <w:r>
        <w:rPr>
          <w:lang w:val="en-GB"/>
        </w:rPr>
        <w:t xml:space="preserve">partners were focusing </w:t>
      </w:r>
      <w:r w:rsidR="00E33CAE">
        <w:rPr>
          <w:lang w:val="en-GB"/>
        </w:rPr>
        <w:t xml:space="preserve">on </w:t>
      </w:r>
      <w:r>
        <w:rPr>
          <w:lang w:val="en-GB"/>
        </w:rPr>
        <w:t>f</w:t>
      </w:r>
      <w:r>
        <w:rPr>
          <w:rFonts w:cstheme="minorHAnsi"/>
          <w:lang w:val="en-GB"/>
        </w:rPr>
        <w:t>ormulation of deep causes and challenges</w:t>
      </w:r>
      <w:r w:rsidRPr="009973C6">
        <w:rPr>
          <w:rFonts w:cstheme="minorHAnsi"/>
          <w:color w:val="0D0D0D" w:themeColor="text1" w:themeTint="F2"/>
          <w:lang w:val="en-GB"/>
        </w:rPr>
        <w:t xml:space="preserve"> </w:t>
      </w:r>
      <w:r>
        <w:rPr>
          <w:rFonts w:cstheme="minorHAnsi"/>
          <w:color w:val="0D0D0D" w:themeColor="text1" w:themeTint="F2"/>
          <w:lang w:val="en-GB"/>
        </w:rPr>
        <w:t>behind the current</w:t>
      </w:r>
      <w:r w:rsidRPr="006B02F2">
        <w:rPr>
          <w:rFonts w:cstheme="minorHAnsi"/>
          <w:color w:val="0D0D0D" w:themeColor="text1" w:themeTint="F2"/>
          <w:lang w:val="en-GB"/>
        </w:rPr>
        <w:t xml:space="preserve"> policy intervention logic</w:t>
      </w:r>
      <w:r>
        <w:rPr>
          <w:rFonts w:cstheme="minorHAnsi"/>
          <w:color w:val="0D0D0D" w:themeColor="text1" w:themeTint="F2"/>
          <w:lang w:val="en-GB"/>
        </w:rPr>
        <w:t>. During the interactive workshop they integrated peoples visions of sustainable transport in the future, which were main outcomes of stakeholder group meetings in their territories and elaborated the policy intervention logic for each territory fed with outcomes of the baseline policy reports and peer-reflection sessions. As a result of the workshop deep causes and challenges were formulated for further work with the stakeholders and good practice specifications to be looked for in each partner territory.</w:t>
      </w:r>
    </w:p>
    <w:p w14:paraId="2D3D91B0" w14:textId="0D8D71E9" w:rsidR="00D557DC" w:rsidRPr="004712E0" w:rsidRDefault="00BC12A2" w:rsidP="00383303">
      <w:pPr>
        <w:pStyle w:val="Tytu"/>
        <w:rPr>
          <w:lang w:val="en-GB"/>
        </w:rPr>
      </w:pPr>
      <w:r>
        <w:rPr>
          <w:lang w:val="en-GB"/>
        </w:rPr>
        <w:t>main findings</w:t>
      </w:r>
      <w:r w:rsidR="00AB4E58">
        <w:rPr>
          <w:lang w:val="en-GB"/>
        </w:rPr>
        <w:t xml:space="preserve"> </w:t>
      </w:r>
    </w:p>
    <w:p w14:paraId="0E57D8C7" w14:textId="544D69BF" w:rsidR="000B360A" w:rsidRDefault="000B360A" w:rsidP="000B360A">
      <w:pPr>
        <w:pStyle w:val="Nagwek2"/>
        <w:rPr>
          <w:lang w:eastAsia="pl-PL"/>
        </w:rPr>
      </w:pPr>
      <w:r>
        <w:rPr>
          <w:lang w:eastAsia="pl-PL"/>
        </w:rPr>
        <w:t>Joint map of policy intervention logic</w:t>
      </w:r>
    </w:p>
    <w:tbl>
      <w:tblPr>
        <w:tblStyle w:val="Tabela-Siatka"/>
        <w:tblW w:w="0" w:type="auto"/>
        <w:tblLook w:val="04A0" w:firstRow="1" w:lastRow="0" w:firstColumn="1" w:lastColumn="0" w:noHBand="0" w:noVBand="1"/>
      </w:tblPr>
      <w:tblGrid>
        <w:gridCol w:w="1407"/>
        <w:gridCol w:w="1602"/>
        <w:gridCol w:w="1596"/>
        <w:gridCol w:w="1596"/>
        <w:gridCol w:w="1599"/>
        <w:gridCol w:w="1596"/>
      </w:tblGrid>
      <w:tr w:rsidR="00D60398" w14:paraId="7DA9EE2F" w14:textId="77777777" w:rsidTr="00074183">
        <w:tc>
          <w:tcPr>
            <w:tcW w:w="1376" w:type="dxa"/>
          </w:tcPr>
          <w:p w14:paraId="3D9EBE57" w14:textId="680081FA" w:rsidR="00D60398" w:rsidRPr="0006290E" w:rsidRDefault="0006290E" w:rsidP="00D60398">
            <w:pPr>
              <w:rPr>
                <w:b/>
                <w:lang w:eastAsia="pl-PL"/>
              </w:rPr>
            </w:pPr>
            <w:r w:rsidRPr="0006290E">
              <w:rPr>
                <w:b/>
                <w:lang w:eastAsia="pl-PL"/>
              </w:rPr>
              <w:t>Elements of intervention logic/ territory</w:t>
            </w:r>
          </w:p>
        </w:tc>
        <w:tc>
          <w:tcPr>
            <w:tcW w:w="1604" w:type="dxa"/>
          </w:tcPr>
          <w:p w14:paraId="0DF8F0F1" w14:textId="0A2A8E36" w:rsidR="00D60398" w:rsidRPr="0006290E" w:rsidRDefault="006A31DE" w:rsidP="006A31DE">
            <w:pPr>
              <w:rPr>
                <w:b/>
                <w:lang w:eastAsia="pl-PL"/>
              </w:rPr>
            </w:pPr>
            <w:r>
              <w:rPr>
                <w:b/>
                <w:lang w:eastAsia="pl-PL"/>
              </w:rPr>
              <w:t>Kalisz-</w:t>
            </w:r>
            <w:proofErr w:type="spellStart"/>
            <w:r>
              <w:rPr>
                <w:b/>
                <w:lang w:eastAsia="pl-PL"/>
              </w:rPr>
              <w:t>Ostrów</w:t>
            </w:r>
            <w:proofErr w:type="spellEnd"/>
            <w:r>
              <w:rPr>
                <w:b/>
                <w:lang w:eastAsia="pl-PL"/>
              </w:rPr>
              <w:t xml:space="preserve"> Agglomeration (Poland)</w:t>
            </w:r>
          </w:p>
        </w:tc>
        <w:tc>
          <w:tcPr>
            <w:tcW w:w="1604" w:type="dxa"/>
          </w:tcPr>
          <w:p w14:paraId="223FFF28" w14:textId="42D22D4F" w:rsidR="00D60398" w:rsidRPr="0006290E" w:rsidRDefault="00D60398" w:rsidP="00D60398">
            <w:pPr>
              <w:rPr>
                <w:b/>
                <w:lang w:eastAsia="pl-PL"/>
              </w:rPr>
            </w:pPr>
            <w:r w:rsidRPr="0006290E">
              <w:rPr>
                <w:b/>
                <w:lang w:eastAsia="pl-PL"/>
              </w:rPr>
              <w:t>West Midlands</w:t>
            </w:r>
            <w:r w:rsidR="006A31DE">
              <w:rPr>
                <w:b/>
                <w:lang w:eastAsia="pl-PL"/>
              </w:rPr>
              <w:t xml:space="preserve"> (UK)</w:t>
            </w:r>
          </w:p>
        </w:tc>
        <w:tc>
          <w:tcPr>
            <w:tcW w:w="1604" w:type="dxa"/>
          </w:tcPr>
          <w:p w14:paraId="0C2C5E74" w14:textId="33FE7F57" w:rsidR="00D60398" w:rsidRPr="0006290E" w:rsidRDefault="00D60398" w:rsidP="00D60398">
            <w:pPr>
              <w:rPr>
                <w:b/>
                <w:lang w:eastAsia="pl-PL"/>
              </w:rPr>
            </w:pPr>
            <w:r w:rsidRPr="0006290E">
              <w:rPr>
                <w:b/>
                <w:lang w:eastAsia="pl-PL"/>
              </w:rPr>
              <w:t>Central Macedonia</w:t>
            </w:r>
            <w:r w:rsidR="006A31DE">
              <w:rPr>
                <w:b/>
                <w:lang w:eastAsia="pl-PL"/>
              </w:rPr>
              <w:t>/ Thessaloniki area (Greece)</w:t>
            </w:r>
          </w:p>
        </w:tc>
        <w:tc>
          <w:tcPr>
            <w:tcW w:w="1604" w:type="dxa"/>
          </w:tcPr>
          <w:p w14:paraId="1D302F1B" w14:textId="3754A02A" w:rsidR="00D60398" w:rsidRPr="0006290E" w:rsidRDefault="00D60398" w:rsidP="006A31DE">
            <w:pPr>
              <w:rPr>
                <w:b/>
                <w:lang w:eastAsia="pl-PL"/>
              </w:rPr>
            </w:pPr>
            <w:r w:rsidRPr="0006290E">
              <w:rPr>
                <w:b/>
                <w:lang w:eastAsia="pl-PL"/>
              </w:rPr>
              <w:t>Valladolid</w:t>
            </w:r>
            <w:r w:rsidR="006A31DE">
              <w:rPr>
                <w:b/>
                <w:lang w:eastAsia="pl-PL"/>
              </w:rPr>
              <w:t xml:space="preserve"> (Spain)</w:t>
            </w:r>
          </w:p>
        </w:tc>
        <w:tc>
          <w:tcPr>
            <w:tcW w:w="1604" w:type="dxa"/>
          </w:tcPr>
          <w:p w14:paraId="5C8BE3AB" w14:textId="060570FE" w:rsidR="00D60398" w:rsidRPr="0006290E" w:rsidRDefault="00D60398" w:rsidP="00D60398">
            <w:pPr>
              <w:rPr>
                <w:b/>
                <w:lang w:eastAsia="pl-PL"/>
              </w:rPr>
            </w:pPr>
            <w:proofErr w:type="spellStart"/>
            <w:r w:rsidRPr="0006290E">
              <w:rPr>
                <w:b/>
                <w:lang w:eastAsia="pl-PL"/>
              </w:rPr>
              <w:t>Bentheim</w:t>
            </w:r>
            <w:proofErr w:type="spellEnd"/>
            <w:r w:rsidR="006A31DE">
              <w:rPr>
                <w:b/>
                <w:lang w:eastAsia="pl-PL"/>
              </w:rPr>
              <w:t xml:space="preserve"> (Germany)</w:t>
            </w:r>
          </w:p>
        </w:tc>
      </w:tr>
      <w:tr w:rsidR="00D60398" w14:paraId="70FFF7B4" w14:textId="77777777" w:rsidTr="00074183">
        <w:tc>
          <w:tcPr>
            <w:tcW w:w="1376" w:type="dxa"/>
          </w:tcPr>
          <w:p w14:paraId="7B2383D2" w14:textId="5049E2EE" w:rsidR="00D60398" w:rsidRPr="0006290E" w:rsidRDefault="00D60398" w:rsidP="00D60398">
            <w:pPr>
              <w:rPr>
                <w:b/>
                <w:lang w:eastAsia="pl-PL"/>
              </w:rPr>
            </w:pPr>
            <w:r w:rsidRPr="0006290E">
              <w:rPr>
                <w:b/>
                <w:lang w:eastAsia="pl-PL"/>
              </w:rPr>
              <w:t xml:space="preserve">Issue </w:t>
            </w:r>
          </w:p>
        </w:tc>
        <w:tc>
          <w:tcPr>
            <w:tcW w:w="1604" w:type="dxa"/>
          </w:tcPr>
          <w:p w14:paraId="68FBDA37" w14:textId="593F5C6A" w:rsidR="00D60398" w:rsidRDefault="00AA3A03" w:rsidP="00D60398">
            <w:pPr>
              <w:rPr>
                <w:lang w:eastAsia="pl-PL"/>
              </w:rPr>
            </w:pPr>
            <w:r>
              <w:rPr>
                <w:lang w:eastAsia="pl-PL"/>
              </w:rPr>
              <w:t>Private car domination</w:t>
            </w:r>
          </w:p>
          <w:p w14:paraId="1C850E25" w14:textId="339F570A" w:rsidR="00AA3A03" w:rsidRDefault="00AA3A03" w:rsidP="00D60398">
            <w:pPr>
              <w:rPr>
                <w:lang w:eastAsia="pl-PL"/>
              </w:rPr>
            </w:pPr>
            <w:r>
              <w:rPr>
                <w:lang w:eastAsia="pl-PL"/>
              </w:rPr>
              <w:t>High CO2 emission</w:t>
            </w:r>
          </w:p>
        </w:tc>
        <w:tc>
          <w:tcPr>
            <w:tcW w:w="1604" w:type="dxa"/>
          </w:tcPr>
          <w:p w14:paraId="377C68D9" w14:textId="3A07EE82" w:rsidR="00D60398" w:rsidRDefault="00AA3A03" w:rsidP="00D60398">
            <w:pPr>
              <w:rPr>
                <w:lang w:eastAsia="pl-PL"/>
              </w:rPr>
            </w:pPr>
            <w:r>
              <w:rPr>
                <w:lang w:eastAsia="pl-PL"/>
              </w:rPr>
              <w:t>Integration of modes/routs</w:t>
            </w:r>
          </w:p>
        </w:tc>
        <w:tc>
          <w:tcPr>
            <w:tcW w:w="1604" w:type="dxa"/>
          </w:tcPr>
          <w:p w14:paraId="4E3C16BD" w14:textId="77777777" w:rsidR="00AA3A03" w:rsidRDefault="00AA3A03" w:rsidP="00AA3A03">
            <w:pPr>
              <w:rPr>
                <w:lang w:eastAsia="pl-PL"/>
              </w:rPr>
            </w:pPr>
            <w:r>
              <w:rPr>
                <w:lang w:eastAsia="pl-PL"/>
              </w:rPr>
              <w:t>Private car domination</w:t>
            </w:r>
          </w:p>
          <w:p w14:paraId="3ACF2AA5" w14:textId="77777777" w:rsidR="00D60398" w:rsidRDefault="00D60398" w:rsidP="00D60398">
            <w:pPr>
              <w:rPr>
                <w:lang w:eastAsia="pl-PL"/>
              </w:rPr>
            </w:pPr>
          </w:p>
        </w:tc>
        <w:tc>
          <w:tcPr>
            <w:tcW w:w="1604" w:type="dxa"/>
          </w:tcPr>
          <w:p w14:paraId="38A3BF4D" w14:textId="34909986" w:rsidR="00D60398" w:rsidRDefault="00AA3A03" w:rsidP="00D60398">
            <w:pPr>
              <w:rPr>
                <w:lang w:eastAsia="pl-PL"/>
              </w:rPr>
            </w:pPr>
            <w:r>
              <w:rPr>
                <w:lang w:eastAsia="pl-PL"/>
              </w:rPr>
              <w:t>Air pollution (47days of alert in 2018)</w:t>
            </w:r>
          </w:p>
        </w:tc>
        <w:tc>
          <w:tcPr>
            <w:tcW w:w="1604" w:type="dxa"/>
          </w:tcPr>
          <w:p w14:paraId="64FE18C4" w14:textId="77777777" w:rsidR="00D60398" w:rsidRDefault="00AA3A03" w:rsidP="00D60398">
            <w:pPr>
              <w:rPr>
                <w:lang w:eastAsia="pl-PL"/>
              </w:rPr>
            </w:pPr>
            <w:r>
              <w:rPr>
                <w:lang w:eastAsia="pl-PL"/>
              </w:rPr>
              <w:t>Sustainable mobility</w:t>
            </w:r>
          </w:p>
          <w:p w14:paraId="7CEED21F" w14:textId="09872C4D" w:rsidR="00AA3A03" w:rsidRDefault="00AA3A03" w:rsidP="00D60398">
            <w:pPr>
              <w:rPr>
                <w:lang w:eastAsia="pl-PL"/>
              </w:rPr>
            </w:pPr>
            <w:r>
              <w:rPr>
                <w:lang w:eastAsia="pl-PL"/>
              </w:rPr>
              <w:t>Lowering share of private transport</w:t>
            </w:r>
          </w:p>
        </w:tc>
      </w:tr>
      <w:tr w:rsidR="00D60398" w14:paraId="68919B82" w14:textId="77777777" w:rsidTr="00074183">
        <w:tc>
          <w:tcPr>
            <w:tcW w:w="1376" w:type="dxa"/>
          </w:tcPr>
          <w:p w14:paraId="26CEABC1" w14:textId="5BBB6429" w:rsidR="00D60398" w:rsidRPr="0006290E" w:rsidRDefault="00D60398" w:rsidP="00D60398">
            <w:pPr>
              <w:rPr>
                <w:b/>
                <w:lang w:eastAsia="pl-PL"/>
              </w:rPr>
            </w:pPr>
            <w:r w:rsidRPr="0006290E">
              <w:rPr>
                <w:b/>
                <w:lang w:eastAsia="pl-PL"/>
              </w:rPr>
              <w:t>Policy</w:t>
            </w:r>
          </w:p>
        </w:tc>
        <w:tc>
          <w:tcPr>
            <w:tcW w:w="1604" w:type="dxa"/>
          </w:tcPr>
          <w:p w14:paraId="619FCC39" w14:textId="66D9337E" w:rsidR="00D60398" w:rsidRDefault="00AA3A03" w:rsidP="00D60398">
            <w:pPr>
              <w:rPr>
                <w:lang w:eastAsia="pl-PL"/>
              </w:rPr>
            </w:pPr>
            <w:r>
              <w:rPr>
                <w:lang w:eastAsia="pl-PL"/>
              </w:rPr>
              <w:t>Dedicated ERDF measure</w:t>
            </w:r>
          </w:p>
        </w:tc>
        <w:tc>
          <w:tcPr>
            <w:tcW w:w="1604" w:type="dxa"/>
          </w:tcPr>
          <w:p w14:paraId="4A6AA0FD" w14:textId="0469BBB5" w:rsidR="00D60398" w:rsidRDefault="00AA3A03" w:rsidP="00D60398">
            <w:pPr>
              <w:rPr>
                <w:lang w:eastAsia="pl-PL"/>
              </w:rPr>
            </w:pPr>
            <w:r>
              <w:rPr>
                <w:lang w:eastAsia="pl-PL"/>
              </w:rPr>
              <w:t>Low carbon economy -fragmented approach</w:t>
            </w:r>
          </w:p>
        </w:tc>
        <w:tc>
          <w:tcPr>
            <w:tcW w:w="1604" w:type="dxa"/>
          </w:tcPr>
          <w:p w14:paraId="6A4F3634" w14:textId="77777777" w:rsidR="00D60398" w:rsidRDefault="00AA3A03" w:rsidP="00D60398">
            <w:pPr>
              <w:rPr>
                <w:lang w:eastAsia="pl-PL"/>
              </w:rPr>
            </w:pPr>
            <w:r>
              <w:rPr>
                <w:lang w:eastAsia="pl-PL"/>
              </w:rPr>
              <w:t>ROP (2020)</w:t>
            </w:r>
          </w:p>
          <w:p w14:paraId="77AEF488" w14:textId="5748E12F" w:rsidR="00AA3A03" w:rsidRDefault="00AA3A03" w:rsidP="00D60398">
            <w:pPr>
              <w:rPr>
                <w:lang w:eastAsia="pl-PL"/>
              </w:rPr>
            </w:pPr>
            <w:r>
              <w:rPr>
                <w:lang w:eastAsia="pl-PL"/>
              </w:rPr>
              <w:t>ITI strategy (2017-23)</w:t>
            </w:r>
          </w:p>
        </w:tc>
        <w:tc>
          <w:tcPr>
            <w:tcW w:w="1604" w:type="dxa"/>
          </w:tcPr>
          <w:p w14:paraId="1E01FCBA" w14:textId="77777777" w:rsidR="00AA3A03" w:rsidRDefault="00AA3A03" w:rsidP="00D60398">
            <w:pPr>
              <w:rPr>
                <w:lang w:eastAsia="pl-PL"/>
              </w:rPr>
            </w:pPr>
            <w:r>
              <w:rPr>
                <w:lang w:eastAsia="pl-PL"/>
              </w:rPr>
              <w:t>INNOLID 2020+</w:t>
            </w:r>
          </w:p>
          <w:p w14:paraId="0DE7F175" w14:textId="4D298141" w:rsidR="00AA3A03" w:rsidRDefault="00AA3A03" w:rsidP="00D60398">
            <w:pPr>
              <w:rPr>
                <w:lang w:eastAsia="pl-PL"/>
              </w:rPr>
            </w:pPr>
            <w:r>
              <w:rPr>
                <w:lang w:eastAsia="pl-PL"/>
              </w:rPr>
              <w:t>Action for boosting public transport</w:t>
            </w:r>
          </w:p>
        </w:tc>
        <w:tc>
          <w:tcPr>
            <w:tcW w:w="1604" w:type="dxa"/>
          </w:tcPr>
          <w:p w14:paraId="3944E613" w14:textId="77777777" w:rsidR="00AA3A03" w:rsidRDefault="00AA3A03" w:rsidP="00AA3A03">
            <w:pPr>
              <w:rPr>
                <w:lang w:eastAsia="pl-PL"/>
              </w:rPr>
            </w:pPr>
            <w:r>
              <w:rPr>
                <w:lang w:eastAsia="pl-PL"/>
              </w:rPr>
              <w:t>Recent study on mobility</w:t>
            </w:r>
          </w:p>
          <w:p w14:paraId="1626C649" w14:textId="214F964D" w:rsidR="00D60398" w:rsidRDefault="00D60398" w:rsidP="00AA3A03">
            <w:pPr>
              <w:rPr>
                <w:lang w:eastAsia="pl-PL"/>
              </w:rPr>
            </w:pPr>
          </w:p>
        </w:tc>
      </w:tr>
      <w:tr w:rsidR="00D60398" w14:paraId="6D35B8A2" w14:textId="77777777" w:rsidTr="00074183">
        <w:tc>
          <w:tcPr>
            <w:tcW w:w="1376" w:type="dxa"/>
          </w:tcPr>
          <w:p w14:paraId="57F992ED" w14:textId="179F0107" w:rsidR="00AA3A03" w:rsidRPr="0006290E" w:rsidRDefault="0000241C" w:rsidP="00AA3A03">
            <w:pPr>
              <w:rPr>
                <w:b/>
                <w:lang w:eastAsia="pl-PL"/>
              </w:rPr>
            </w:pPr>
            <w:r w:rsidRPr="0006290E">
              <w:rPr>
                <w:b/>
                <w:lang w:eastAsia="pl-PL"/>
              </w:rPr>
              <w:t>Rationale:</w:t>
            </w:r>
          </w:p>
          <w:p w14:paraId="60E08CFC" w14:textId="77777777" w:rsidR="0000241C" w:rsidRPr="0006290E" w:rsidRDefault="0000241C" w:rsidP="00AA3A03">
            <w:pPr>
              <w:rPr>
                <w:b/>
                <w:lang w:eastAsia="pl-PL"/>
              </w:rPr>
            </w:pPr>
          </w:p>
          <w:p w14:paraId="3F404363" w14:textId="5FE59469" w:rsidR="00AA3A03" w:rsidRPr="0006290E" w:rsidRDefault="00AA3A03" w:rsidP="00AA3A03">
            <w:pPr>
              <w:rPr>
                <w:b/>
                <w:lang w:eastAsia="pl-PL"/>
              </w:rPr>
            </w:pPr>
            <w:r w:rsidRPr="0006290E">
              <w:rPr>
                <w:b/>
                <w:lang w:eastAsia="pl-PL"/>
              </w:rPr>
              <w:t>W</w:t>
            </w:r>
            <w:r w:rsidR="00D60398" w:rsidRPr="0006290E">
              <w:rPr>
                <w:b/>
                <w:lang w:eastAsia="pl-PL"/>
              </w:rPr>
              <w:t xml:space="preserve">hat? </w:t>
            </w:r>
          </w:p>
          <w:p w14:paraId="057B68F9" w14:textId="77777777" w:rsidR="00AA3A03" w:rsidRPr="0006290E" w:rsidRDefault="00AA3A03" w:rsidP="00AA3A03">
            <w:pPr>
              <w:rPr>
                <w:b/>
                <w:lang w:eastAsia="pl-PL"/>
              </w:rPr>
            </w:pPr>
          </w:p>
          <w:p w14:paraId="02FAC7FB" w14:textId="48EDA267" w:rsidR="00AA3A03" w:rsidRPr="0006290E" w:rsidRDefault="00D60398" w:rsidP="00AA3A03">
            <w:pPr>
              <w:rPr>
                <w:b/>
                <w:lang w:eastAsia="pl-PL"/>
              </w:rPr>
            </w:pPr>
            <w:r w:rsidRPr="0006290E">
              <w:rPr>
                <w:b/>
                <w:lang w:eastAsia="pl-PL"/>
              </w:rPr>
              <w:t xml:space="preserve">Why? </w:t>
            </w:r>
          </w:p>
          <w:p w14:paraId="5F7C13D2" w14:textId="77777777" w:rsidR="00AA3A03" w:rsidRPr="0006290E" w:rsidRDefault="00AA3A03" w:rsidP="00AA3A03">
            <w:pPr>
              <w:rPr>
                <w:b/>
                <w:lang w:eastAsia="pl-PL"/>
              </w:rPr>
            </w:pPr>
          </w:p>
          <w:p w14:paraId="3507C4E3" w14:textId="73C8E330" w:rsidR="00D60398" w:rsidRPr="0006290E" w:rsidRDefault="00D60398" w:rsidP="00AA3A03">
            <w:pPr>
              <w:rPr>
                <w:b/>
                <w:lang w:eastAsia="pl-PL"/>
              </w:rPr>
            </w:pPr>
            <w:r w:rsidRPr="0006290E">
              <w:rPr>
                <w:b/>
                <w:lang w:eastAsia="pl-PL"/>
              </w:rPr>
              <w:t xml:space="preserve">To </w:t>
            </w:r>
            <w:r w:rsidR="00AA3A03" w:rsidRPr="0006290E">
              <w:rPr>
                <w:b/>
                <w:lang w:eastAsia="pl-PL"/>
              </w:rPr>
              <w:t>whom it brings benefit?</w:t>
            </w:r>
          </w:p>
        </w:tc>
        <w:tc>
          <w:tcPr>
            <w:tcW w:w="1604" w:type="dxa"/>
          </w:tcPr>
          <w:p w14:paraId="7B2EE81D" w14:textId="77777777" w:rsidR="00D60398" w:rsidRDefault="00AA3A03" w:rsidP="00D60398">
            <w:pPr>
              <w:rPr>
                <w:lang w:eastAsia="pl-PL"/>
              </w:rPr>
            </w:pPr>
            <w:r>
              <w:rPr>
                <w:lang w:eastAsia="pl-PL"/>
              </w:rPr>
              <w:t xml:space="preserve">Low carbon </w:t>
            </w:r>
          </w:p>
          <w:p w14:paraId="5DE24713" w14:textId="77777777" w:rsidR="00AA3A03" w:rsidRDefault="00AA3A03" w:rsidP="00D60398">
            <w:pPr>
              <w:rPr>
                <w:lang w:eastAsia="pl-PL"/>
              </w:rPr>
            </w:pPr>
            <w:r>
              <w:rPr>
                <w:lang w:eastAsia="pl-PL"/>
              </w:rPr>
              <w:t>Investment in facilities</w:t>
            </w:r>
          </w:p>
          <w:p w14:paraId="5C21F005" w14:textId="77777777" w:rsidR="00AA3A03" w:rsidRDefault="00AA3A03" w:rsidP="00D60398">
            <w:pPr>
              <w:rPr>
                <w:lang w:eastAsia="pl-PL"/>
              </w:rPr>
            </w:pPr>
            <w:r>
              <w:rPr>
                <w:lang w:eastAsia="pl-PL"/>
              </w:rPr>
              <w:t>Promotion</w:t>
            </w:r>
          </w:p>
          <w:p w14:paraId="3208322F" w14:textId="18DF2D79" w:rsidR="00AA3A03" w:rsidRDefault="00AA3A03" w:rsidP="00D60398">
            <w:pPr>
              <w:rPr>
                <w:lang w:eastAsia="pl-PL"/>
              </w:rPr>
            </w:pPr>
            <w:r>
              <w:rPr>
                <w:lang w:eastAsia="pl-PL"/>
              </w:rPr>
              <w:t>Municipalities</w:t>
            </w:r>
          </w:p>
          <w:p w14:paraId="0618F935" w14:textId="5215B022" w:rsidR="00AA3A03" w:rsidRDefault="00AA3A03" w:rsidP="00D60398">
            <w:pPr>
              <w:rPr>
                <w:lang w:eastAsia="pl-PL"/>
              </w:rPr>
            </w:pPr>
            <w:r>
              <w:rPr>
                <w:lang w:eastAsia="pl-PL"/>
              </w:rPr>
              <w:t>Inhabitants</w:t>
            </w:r>
          </w:p>
        </w:tc>
        <w:tc>
          <w:tcPr>
            <w:tcW w:w="1604" w:type="dxa"/>
          </w:tcPr>
          <w:p w14:paraId="7B9F43F7" w14:textId="77777777" w:rsidR="00D60398" w:rsidRDefault="00AA3A03" w:rsidP="00D60398">
            <w:pPr>
              <w:rPr>
                <w:lang w:eastAsia="pl-PL"/>
              </w:rPr>
            </w:pPr>
            <w:r>
              <w:rPr>
                <w:lang w:eastAsia="pl-PL"/>
              </w:rPr>
              <w:t>Electric car charging</w:t>
            </w:r>
          </w:p>
          <w:p w14:paraId="2489BFF0" w14:textId="77777777" w:rsidR="00AA3A03" w:rsidRDefault="00AA3A03" w:rsidP="00D60398">
            <w:pPr>
              <w:rPr>
                <w:lang w:eastAsia="pl-PL"/>
              </w:rPr>
            </w:pPr>
            <w:r>
              <w:rPr>
                <w:lang w:eastAsia="pl-PL"/>
              </w:rPr>
              <w:t>New policy</w:t>
            </w:r>
          </w:p>
          <w:p w14:paraId="30902D6D" w14:textId="710DF23A" w:rsidR="00AA3A03" w:rsidRDefault="00AA3A03" w:rsidP="00D60398">
            <w:pPr>
              <w:rPr>
                <w:lang w:eastAsia="pl-PL"/>
              </w:rPr>
            </w:pPr>
            <w:r>
              <w:rPr>
                <w:lang w:eastAsia="pl-PL"/>
              </w:rPr>
              <w:t>Congestion</w:t>
            </w:r>
          </w:p>
          <w:p w14:paraId="17FF1089" w14:textId="77777777" w:rsidR="00AA3A03" w:rsidRDefault="00AA3A03" w:rsidP="00D60398">
            <w:pPr>
              <w:rPr>
                <w:lang w:eastAsia="pl-PL"/>
              </w:rPr>
            </w:pPr>
            <w:r>
              <w:rPr>
                <w:lang w:eastAsia="pl-PL"/>
              </w:rPr>
              <w:t>Changes of commuting patterns</w:t>
            </w:r>
          </w:p>
          <w:p w14:paraId="18499F13" w14:textId="77777777" w:rsidR="00074183" w:rsidRDefault="00AA3A03" w:rsidP="00D60398">
            <w:pPr>
              <w:rPr>
                <w:lang w:eastAsia="pl-PL"/>
              </w:rPr>
            </w:pPr>
            <w:r>
              <w:rPr>
                <w:lang w:eastAsia="pl-PL"/>
              </w:rPr>
              <w:t>Joint transport authority</w:t>
            </w:r>
            <w:r w:rsidR="00074183">
              <w:rPr>
                <w:lang w:eastAsia="pl-PL"/>
              </w:rPr>
              <w:t xml:space="preserve"> </w:t>
            </w:r>
          </w:p>
          <w:p w14:paraId="071D1756" w14:textId="38A7CBFE" w:rsidR="00AA3A03" w:rsidRDefault="00074183" w:rsidP="00D60398">
            <w:pPr>
              <w:rPr>
                <w:lang w:eastAsia="pl-PL"/>
              </w:rPr>
            </w:pPr>
            <w:r>
              <w:rPr>
                <w:lang w:eastAsia="pl-PL"/>
              </w:rPr>
              <w:t>Take the right moment to influence future policy</w:t>
            </w:r>
          </w:p>
        </w:tc>
        <w:tc>
          <w:tcPr>
            <w:tcW w:w="1604" w:type="dxa"/>
          </w:tcPr>
          <w:p w14:paraId="641418EE" w14:textId="77777777" w:rsidR="00D60398" w:rsidRDefault="00AA3A03" w:rsidP="00D60398">
            <w:pPr>
              <w:rPr>
                <w:lang w:eastAsia="pl-PL"/>
              </w:rPr>
            </w:pPr>
            <w:r>
              <w:rPr>
                <w:lang w:eastAsia="pl-PL"/>
              </w:rPr>
              <w:t>“Hard” investments combined with “soft” measures</w:t>
            </w:r>
          </w:p>
          <w:p w14:paraId="77DFADCD" w14:textId="77777777" w:rsidR="00AA3A03" w:rsidRDefault="00AA3A03" w:rsidP="00D60398">
            <w:pPr>
              <w:rPr>
                <w:lang w:eastAsia="pl-PL"/>
              </w:rPr>
            </w:pPr>
            <w:r>
              <w:rPr>
                <w:lang w:eastAsia="pl-PL"/>
              </w:rPr>
              <w:t>Better living and working environment</w:t>
            </w:r>
          </w:p>
          <w:p w14:paraId="3A823D2A" w14:textId="77777777" w:rsidR="0000241C" w:rsidRDefault="0000241C" w:rsidP="00D60398">
            <w:pPr>
              <w:rPr>
                <w:lang w:eastAsia="pl-PL"/>
              </w:rPr>
            </w:pPr>
            <w:r>
              <w:rPr>
                <w:lang w:eastAsia="pl-PL"/>
              </w:rPr>
              <w:t>Citizens</w:t>
            </w:r>
          </w:p>
          <w:p w14:paraId="0214F0BF" w14:textId="7CF3F719" w:rsidR="0000241C" w:rsidRDefault="0000241C" w:rsidP="00D60398">
            <w:pPr>
              <w:rPr>
                <w:lang w:eastAsia="pl-PL"/>
              </w:rPr>
            </w:pPr>
            <w:r>
              <w:rPr>
                <w:lang w:eastAsia="pl-PL"/>
              </w:rPr>
              <w:t>EU projects</w:t>
            </w:r>
          </w:p>
        </w:tc>
        <w:tc>
          <w:tcPr>
            <w:tcW w:w="1604" w:type="dxa"/>
          </w:tcPr>
          <w:p w14:paraId="212493AC" w14:textId="77777777" w:rsidR="00D60398" w:rsidRDefault="0000241C" w:rsidP="00D60398">
            <w:pPr>
              <w:rPr>
                <w:lang w:eastAsia="pl-PL"/>
              </w:rPr>
            </w:pPr>
            <w:r>
              <w:rPr>
                <w:lang w:eastAsia="pl-PL"/>
              </w:rPr>
              <w:t>Reduce CO2</w:t>
            </w:r>
          </w:p>
          <w:p w14:paraId="0D3CEDD2" w14:textId="77777777" w:rsidR="0000241C" w:rsidRDefault="0000241C" w:rsidP="00D60398">
            <w:pPr>
              <w:rPr>
                <w:lang w:eastAsia="pl-PL"/>
              </w:rPr>
            </w:pPr>
            <w:r>
              <w:rPr>
                <w:lang w:eastAsia="pl-PL"/>
              </w:rPr>
              <w:t>Increase quality of life</w:t>
            </w:r>
          </w:p>
          <w:p w14:paraId="601F385F" w14:textId="77777777" w:rsidR="0000241C" w:rsidRDefault="0000241C" w:rsidP="00D60398">
            <w:pPr>
              <w:rPr>
                <w:lang w:eastAsia="pl-PL"/>
              </w:rPr>
            </w:pPr>
            <w:r>
              <w:rPr>
                <w:lang w:eastAsia="pl-PL"/>
              </w:rPr>
              <w:t>Citizens</w:t>
            </w:r>
          </w:p>
          <w:p w14:paraId="78649332" w14:textId="4200C36E" w:rsidR="0000241C" w:rsidRDefault="0000241C" w:rsidP="00D60398">
            <w:pPr>
              <w:rPr>
                <w:lang w:eastAsia="pl-PL"/>
              </w:rPr>
            </w:pPr>
            <w:r>
              <w:rPr>
                <w:lang w:eastAsia="pl-PL"/>
              </w:rPr>
              <w:t>Transversal Team in Municipality</w:t>
            </w:r>
          </w:p>
        </w:tc>
        <w:tc>
          <w:tcPr>
            <w:tcW w:w="1604" w:type="dxa"/>
          </w:tcPr>
          <w:p w14:paraId="38A4262F" w14:textId="77777777" w:rsidR="0000241C" w:rsidRDefault="0000241C" w:rsidP="0000241C">
            <w:pPr>
              <w:rPr>
                <w:lang w:eastAsia="pl-PL"/>
              </w:rPr>
            </w:pPr>
            <w:r>
              <w:rPr>
                <w:lang w:eastAsia="pl-PL"/>
              </w:rPr>
              <w:t>Up-date of local transport plan</w:t>
            </w:r>
          </w:p>
          <w:p w14:paraId="58235DF2" w14:textId="647A087A" w:rsidR="0000241C" w:rsidRDefault="0000241C" w:rsidP="0000241C">
            <w:pPr>
              <w:rPr>
                <w:lang w:eastAsia="pl-PL"/>
              </w:rPr>
            </w:pPr>
            <w:r>
              <w:rPr>
                <w:lang w:eastAsia="pl-PL"/>
              </w:rPr>
              <w:t>130+ thousand inhabitants</w:t>
            </w:r>
          </w:p>
          <w:p w14:paraId="456FCDC4" w14:textId="5FD7F404" w:rsidR="00D60398" w:rsidRDefault="0000241C" w:rsidP="0000241C">
            <w:pPr>
              <w:rPr>
                <w:lang w:eastAsia="pl-PL"/>
              </w:rPr>
            </w:pPr>
            <w:r>
              <w:rPr>
                <w:lang w:eastAsia="pl-PL"/>
              </w:rPr>
              <w:t xml:space="preserve">Annual </w:t>
            </w:r>
            <w:proofErr w:type="spellStart"/>
            <w:r>
              <w:rPr>
                <w:lang w:eastAsia="pl-PL"/>
              </w:rPr>
              <w:t>Programmes</w:t>
            </w:r>
            <w:proofErr w:type="spellEnd"/>
          </w:p>
        </w:tc>
      </w:tr>
      <w:tr w:rsidR="00D60398" w14:paraId="07F9245C" w14:textId="77777777" w:rsidTr="00074183">
        <w:tc>
          <w:tcPr>
            <w:tcW w:w="1376" w:type="dxa"/>
          </w:tcPr>
          <w:p w14:paraId="40F9164A" w14:textId="3284F83F" w:rsidR="00D60398" w:rsidRPr="0006290E" w:rsidRDefault="00D60398" w:rsidP="00D60398">
            <w:pPr>
              <w:rPr>
                <w:b/>
                <w:lang w:eastAsia="pl-PL"/>
              </w:rPr>
            </w:pPr>
            <w:r w:rsidRPr="0006290E">
              <w:rPr>
                <w:b/>
                <w:lang w:eastAsia="pl-PL"/>
              </w:rPr>
              <w:t>Root problem</w:t>
            </w:r>
          </w:p>
        </w:tc>
        <w:tc>
          <w:tcPr>
            <w:tcW w:w="1604" w:type="dxa"/>
          </w:tcPr>
          <w:p w14:paraId="6FEFDCD4" w14:textId="77777777" w:rsidR="00D60398" w:rsidRDefault="00C414AC" w:rsidP="00D60398">
            <w:pPr>
              <w:rPr>
                <w:lang w:eastAsia="pl-PL"/>
              </w:rPr>
            </w:pPr>
            <w:r>
              <w:rPr>
                <w:lang w:eastAsia="pl-PL"/>
              </w:rPr>
              <w:t>Living standards</w:t>
            </w:r>
          </w:p>
          <w:p w14:paraId="2ED8DD0A" w14:textId="1D5AED48" w:rsidR="00C414AC" w:rsidRDefault="00C414AC" w:rsidP="00D60398">
            <w:pPr>
              <w:rPr>
                <w:lang w:eastAsia="pl-PL"/>
              </w:rPr>
            </w:pPr>
            <w:r>
              <w:rPr>
                <w:lang w:eastAsia="pl-PL"/>
              </w:rPr>
              <w:lastRenderedPageBreak/>
              <w:t>Habits and opportunities of car use</w:t>
            </w:r>
          </w:p>
        </w:tc>
        <w:tc>
          <w:tcPr>
            <w:tcW w:w="1604" w:type="dxa"/>
          </w:tcPr>
          <w:p w14:paraId="3919EC43" w14:textId="77777777" w:rsidR="00D60398" w:rsidRDefault="00074183" w:rsidP="00D60398">
            <w:pPr>
              <w:rPr>
                <w:lang w:eastAsia="pl-PL"/>
              </w:rPr>
            </w:pPr>
            <w:r>
              <w:rPr>
                <w:lang w:eastAsia="pl-PL"/>
              </w:rPr>
              <w:lastRenderedPageBreak/>
              <w:t>Policymakers attitude</w:t>
            </w:r>
          </w:p>
          <w:p w14:paraId="5069B142" w14:textId="77777777" w:rsidR="00074183" w:rsidRDefault="00074183" w:rsidP="00D60398">
            <w:pPr>
              <w:rPr>
                <w:lang w:eastAsia="pl-PL"/>
              </w:rPr>
            </w:pPr>
            <w:r>
              <w:rPr>
                <w:lang w:eastAsia="pl-PL"/>
              </w:rPr>
              <w:t>Coordination</w:t>
            </w:r>
          </w:p>
          <w:p w14:paraId="50A49F66" w14:textId="0E431B3D" w:rsidR="00074183" w:rsidRDefault="00074183" w:rsidP="00D60398">
            <w:pPr>
              <w:rPr>
                <w:lang w:eastAsia="pl-PL"/>
              </w:rPr>
            </w:pPr>
            <w:r>
              <w:rPr>
                <w:lang w:eastAsia="pl-PL"/>
              </w:rPr>
              <w:lastRenderedPageBreak/>
              <w:t>Habits, attitudes</w:t>
            </w:r>
          </w:p>
        </w:tc>
        <w:tc>
          <w:tcPr>
            <w:tcW w:w="1604" w:type="dxa"/>
          </w:tcPr>
          <w:p w14:paraId="5683F2EE" w14:textId="161981E3" w:rsidR="00D60398" w:rsidRDefault="00074183" w:rsidP="00D60398">
            <w:pPr>
              <w:rPr>
                <w:lang w:eastAsia="pl-PL"/>
              </w:rPr>
            </w:pPr>
            <w:r>
              <w:rPr>
                <w:lang w:eastAsia="pl-PL"/>
              </w:rPr>
              <w:lastRenderedPageBreak/>
              <w:t>Not reliable public transport (buses)</w:t>
            </w:r>
          </w:p>
        </w:tc>
        <w:tc>
          <w:tcPr>
            <w:tcW w:w="1604" w:type="dxa"/>
          </w:tcPr>
          <w:p w14:paraId="1F0B7D5D" w14:textId="038C438C" w:rsidR="00D60398" w:rsidRDefault="00074183" w:rsidP="00D60398">
            <w:pPr>
              <w:rPr>
                <w:lang w:eastAsia="pl-PL"/>
              </w:rPr>
            </w:pPr>
            <w:r>
              <w:rPr>
                <w:lang w:eastAsia="pl-PL"/>
              </w:rPr>
              <w:t>Quality of life</w:t>
            </w:r>
          </w:p>
        </w:tc>
        <w:tc>
          <w:tcPr>
            <w:tcW w:w="1604" w:type="dxa"/>
          </w:tcPr>
          <w:p w14:paraId="16D517A7" w14:textId="40FB6DB4" w:rsidR="00D60398" w:rsidRDefault="00074183" w:rsidP="00D60398">
            <w:pPr>
              <w:rPr>
                <w:lang w:eastAsia="pl-PL"/>
              </w:rPr>
            </w:pPr>
            <w:r>
              <w:rPr>
                <w:lang w:eastAsia="pl-PL"/>
              </w:rPr>
              <w:t xml:space="preserve">Changing people mentality towards public </w:t>
            </w:r>
            <w:r>
              <w:rPr>
                <w:lang w:eastAsia="pl-PL"/>
              </w:rPr>
              <w:lastRenderedPageBreak/>
              <w:t>transport (from individual cars)</w:t>
            </w:r>
          </w:p>
        </w:tc>
      </w:tr>
      <w:tr w:rsidR="00D60398" w14:paraId="671FC408" w14:textId="77777777" w:rsidTr="00074183">
        <w:tc>
          <w:tcPr>
            <w:tcW w:w="1376" w:type="dxa"/>
          </w:tcPr>
          <w:p w14:paraId="7BF483DB" w14:textId="4A4B7369" w:rsidR="00D60398" w:rsidRPr="0006290E" w:rsidRDefault="00D60398" w:rsidP="00D60398">
            <w:pPr>
              <w:rPr>
                <w:b/>
                <w:lang w:eastAsia="pl-PL"/>
              </w:rPr>
            </w:pPr>
            <w:r w:rsidRPr="0006290E">
              <w:rPr>
                <w:b/>
                <w:lang w:eastAsia="pl-PL"/>
              </w:rPr>
              <w:lastRenderedPageBreak/>
              <w:t>Stakeholders</w:t>
            </w:r>
          </w:p>
        </w:tc>
        <w:tc>
          <w:tcPr>
            <w:tcW w:w="1604" w:type="dxa"/>
          </w:tcPr>
          <w:p w14:paraId="6E736FBA" w14:textId="77777777" w:rsidR="00D60398" w:rsidRDefault="00D60398" w:rsidP="00D60398">
            <w:pPr>
              <w:rPr>
                <w:lang w:eastAsia="pl-PL"/>
              </w:rPr>
            </w:pPr>
          </w:p>
        </w:tc>
        <w:tc>
          <w:tcPr>
            <w:tcW w:w="1604" w:type="dxa"/>
          </w:tcPr>
          <w:p w14:paraId="5D92267C" w14:textId="77777777" w:rsidR="00D60398" w:rsidRDefault="00D60398" w:rsidP="00D60398">
            <w:pPr>
              <w:rPr>
                <w:lang w:eastAsia="pl-PL"/>
              </w:rPr>
            </w:pPr>
          </w:p>
        </w:tc>
        <w:tc>
          <w:tcPr>
            <w:tcW w:w="1604" w:type="dxa"/>
          </w:tcPr>
          <w:p w14:paraId="4ADB3CE3" w14:textId="77777777" w:rsidR="00D60398" w:rsidRDefault="00D60398" w:rsidP="00D60398">
            <w:pPr>
              <w:rPr>
                <w:lang w:eastAsia="pl-PL"/>
              </w:rPr>
            </w:pPr>
          </w:p>
        </w:tc>
        <w:tc>
          <w:tcPr>
            <w:tcW w:w="1604" w:type="dxa"/>
          </w:tcPr>
          <w:p w14:paraId="4846A235" w14:textId="77777777" w:rsidR="00074183" w:rsidRDefault="00074183" w:rsidP="00074183">
            <w:pPr>
              <w:rPr>
                <w:lang w:eastAsia="pl-PL"/>
              </w:rPr>
            </w:pPr>
            <w:r>
              <w:rPr>
                <w:lang w:eastAsia="pl-PL"/>
              </w:rPr>
              <w:t>Citizen associations</w:t>
            </w:r>
          </w:p>
          <w:p w14:paraId="58C99488" w14:textId="77777777" w:rsidR="00074183" w:rsidRDefault="00074183" w:rsidP="00074183">
            <w:pPr>
              <w:rPr>
                <w:lang w:eastAsia="pl-PL"/>
              </w:rPr>
            </w:pPr>
            <w:r>
              <w:rPr>
                <w:lang w:eastAsia="pl-PL"/>
              </w:rPr>
              <w:t>Mobility Advisory Board</w:t>
            </w:r>
          </w:p>
          <w:p w14:paraId="57BBA223" w14:textId="485417F9" w:rsidR="00D60398" w:rsidRDefault="00074183" w:rsidP="00074183">
            <w:pPr>
              <w:rPr>
                <w:lang w:eastAsia="pl-PL"/>
              </w:rPr>
            </w:pPr>
            <w:r>
              <w:rPr>
                <w:lang w:eastAsia="pl-PL"/>
              </w:rPr>
              <w:t>23 municipalities + Valladolid (legal personality)</w:t>
            </w:r>
          </w:p>
        </w:tc>
        <w:tc>
          <w:tcPr>
            <w:tcW w:w="1604" w:type="dxa"/>
          </w:tcPr>
          <w:p w14:paraId="243C1E37" w14:textId="77777777" w:rsidR="00074183" w:rsidRDefault="00074183" w:rsidP="00D60398">
            <w:pPr>
              <w:rPr>
                <w:lang w:eastAsia="pl-PL"/>
              </w:rPr>
            </w:pPr>
            <w:r>
              <w:rPr>
                <w:lang w:eastAsia="pl-PL"/>
              </w:rPr>
              <w:t>Local communities</w:t>
            </w:r>
          </w:p>
          <w:p w14:paraId="767011C7" w14:textId="77777777" w:rsidR="00074183" w:rsidRDefault="00074183" w:rsidP="00D60398">
            <w:pPr>
              <w:rPr>
                <w:lang w:eastAsia="pl-PL"/>
              </w:rPr>
            </w:pPr>
            <w:r>
              <w:rPr>
                <w:lang w:eastAsia="pl-PL"/>
              </w:rPr>
              <w:t>Companies providing transport services</w:t>
            </w:r>
          </w:p>
          <w:p w14:paraId="5447F21A" w14:textId="58E219BC" w:rsidR="00074183" w:rsidRDefault="00074183" w:rsidP="00D60398">
            <w:pPr>
              <w:rPr>
                <w:lang w:eastAsia="pl-PL"/>
              </w:rPr>
            </w:pPr>
            <w:r>
              <w:rPr>
                <w:lang w:eastAsia="pl-PL"/>
              </w:rPr>
              <w:t>Citizens</w:t>
            </w:r>
          </w:p>
        </w:tc>
      </w:tr>
    </w:tbl>
    <w:p w14:paraId="458EAB6C" w14:textId="6985CB0C" w:rsidR="000B360A" w:rsidRDefault="000B360A" w:rsidP="000B360A">
      <w:pPr>
        <w:pStyle w:val="Nagwek2"/>
        <w:rPr>
          <w:lang w:eastAsia="pl-PL"/>
        </w:rPr>
      </w:pPr>
      <w:r>
        <w:rPr>
          <w:lang w:eastAsia="pl-PL"/>
        </w:rPr>
        <w:t>Formulation of deep causes and challenges</w:t>
      </w:r>
    </w:p>
    <w:p w14:paraId="07AE8CD3" w14:textId="57D99B6B" w:rsidR="00394D19" w:rsidRDefault="00B35C1F" w:rsidP="006E65D4">
      <w:pPr>
        <w:pStyle w:val="Akapitzlist"/>
        <w:numPr>
          <w:ilvl w:val="0"/>
          <w:numId w:val="16"/>
        </w:numPr>
        <w:spacing w:before="120" w:after="120" w:line="240" w:lineRule="auto"/>
        <w:ind w:left="714" w:hanging="357"/>
        <w:contextualSpacing w:val="0"/>
        <w:rPr>
          <w:lang w:eastAsia="pl-PL"/>
        </w:rPr>
      </w:pPr>
      <w:r>
        <w:rPr>
          <w:lang w:eastAsia="pl-PL"/>
        </w:rPr>
        <w:t>How to improve living standards with better transport and mobility solutions for everyone (reduced commuting time, access to education, work, public services)?</w:t>
      </w:r>
    </w:p>
    <w:p w14:paraId="522C3891" w14:textId="6626141D" w:rsidR="00B35C1F" w:rsidRDefault="00B35C1F" w:rsidP="006E65D4">
      <w:pPr>
        <w:pStyle w:val="Akapitzlist"/>
        <w:numPr>
          <w:ilvl w:val="0"/>
          <w:numId w:val="16"/>
        </w:numPr>
        <w:spacing w:before="120" w:after="120" w:line="240" w:lineRule="auto"/>
        <w:ind w:left="714" w:hanging="357"/>
        <w:contextualSpacing w:val="0"/>
        <w:rPr>
          <w:lang w:eastAsia="pl-PL"/>
        </w:rPr>
      </w:pPr>
      <w:r>
        <w:rPr>
          <w:lang w:eastAsia="pl-PL"/>
        </w:rPr>
        <w:t>How to transform economical risks of low carbon economy into opportunities (employment…)?</w:t>
      </w:r>
    </w:p>
    <w:p w14:paraId="5DDE788C" w14:textId="4B2ECCC1" w:rsidR="00B35C1F" w:rsidRDefault="00B35C1F" w:rsidP="006E65D4">
      <w:pPr>
        <w:pStyle w:val="Akapitzlist"/>
        <w:numPr>
          <w:ilvl w:val="0"/>
          <w:numId w:val="16"/>
        </w:numPr>
        <w:spacing w:before="120" w:after="120" w:line="240" w:lineRule="auto"/>
        <w:ind w:left="714" w:hanging="357"/>
        <w:contextualSpacing w:val="0"/>
        <w:rPr>
          <w:lang w:eastAsia="pl-PL"/>
        </w:rPr>
      </w:pPr>
      <w:r>
        <w:rPr>
          <w:lang w:eastAsia="pl-PL"/>
        </w:rPr>
        <w:t>How to encourage public engagement by public authorities?</w:t>
      </w:r>
    </w:p>
    <w:p w14:paraId="5D71EB51" w14:textId="7A35C0BA" w:rsidR="00B35C1F" w:rsidRDefault="00B35C1F" w:rsidP="006E65D4">
      <w:pPr>
        <w:pStyle w:val="Akapitzlist"/>
        <w:numPr>
          <w:ilvl w:val="0"/>
          <w:numId w:val="16"/>
        </w:numPr>
        <w:spacing w:before="120" w:after="120" w:line="240" w:lineRule="auto"/>
        <w:ind w:left="714" w:hanging="357"/>
        <w:contextualSpacing w:val="0"/>
        <w:rPr>
          <w:lang w:eastAsia="pl-PL"/>
        </w:rPr>
      </w:pPr>
      <w:r>
        <w:rPr>
          <w:lang w:eastAsia="pl-PL"/>
        </w:rPr>
        <w:t>How to integrate fragmented policies, instruments, actions, initiatives into common public transport systems?</w:t>
      </w:r>
    </w:p>
    <w:p w14:paraId="7B2F97AD" w14:textId="587F3E05" w:rsidR="00B35C1F" w:rsidRPr="00394D19" w:rsidRDefault="00B35C1F" w:rsidP="006E65D4">
      <w:pPr>
        <w:pStyle w:val="Akapitzlist"/>
        <w:numPr>
          <w:ilvl w:val="0"/>
          <w:numId w:val="16"/>
        </w:numPr>
        <w:spacing w:before="120" w:after="120" w:line="240" w:lineRule="auto"/>
        <w:ind w:left="714" w:hanging="357"/>
        <w:contextualSpacing w:val="0"/>
        <w:rPr>
          <w:lang w:eastAsia="pl-PL"/>
        </w:rPr>
      </w:pPr>
      <w:r>
        <w:rPr>
          <w:lang w:eastAsia="pl-PL"/>
        </w:rPr>
        <w:t xml:space="preserve">How to influence the citizen behavior </w:t>
      </w:r>
      <w:r w:rsidR="006E65D4">
        <w:rPr>
          <w:lang w:eastAsia="pl-PL"/>
        </w:rPr>
        <w:t xml:space="preserve">in </w:t>
      </w:r>
      <w:proofErr w:type="spellStart"/>
      <w:r w:rsidR="006E65D4">
        <w:rPr>
          <w:lang w:eastAsia="pl-PL"/>
        </w:rPr>
        <w:t>favour</w:t>
      </w:r>
      <w:proofErr w:type="spellEnd"/>
      <w:r w:rsidR="006E65D4">
        <w:rPr>
          <w:lang w:eastAsia="pl-PL"/>
        </w:rPr>
        <w:t xml:space="preserve"> for environment friendly means of transport?</w:t>
      </w:r>
    </w:p>
    <w:p w14:paraId="03FDFA7A" w14:textId="763CFD57" w:rsidR="00D557DC" w:rsidRDefault="000B360A" w:rsidP="000B360A">
      <w:pPr>
        <w:pStyle w:val="Nagwek2"/>
        <w:rPr>
          <w:lang w:eastAsia="pl-PL"/>
        </w:rPr>
      </w:pPr>
      <w:r>
        <w:rPr>
          <w:lang w:eastAsia="pl-PL"/>
        </w:rPr>
        <w:t>list of GPs needed and their specification</w:t>
      </w:r>
      <w:r w:rsidR="00D557DC">
        <w:rPr>
          <w:lang w:eastAsia="pl-PL"/>
        </w:rPr>
        <w:t xml:space="preserve"> </w:t>
      </w:r>
    </w:p>
    <w:p w14:paraId="591AAE73" w14:textId="76D0E7B6" w:rsidR="000B360A" w:rsidRPr="006E65D4" w:rsidRDefault="000B360A" w:rsidP="006E65D4">
      <w:pPr>
        <w:pStyle w:val="Akapitzlist"/>
        <w:numPr>
          <w:ilvl w:val="0"/>
          <w:numId w:val="17"/>
        </w:numPr>
        <w:rPr>
          <w:lang w:val="en-GB"/>
        </w:rPr>
      </w:pPr>
      <w:r w:rsidRPr="006E65D4">
        <w:rPr>
          <w:lang w:val="en-GB"/>
        </w:rPr>
        <w:t xml:space="preserve">We are looking for a good practice which </w:t>
      </w:r>
      <w:r w:rsidR="00394D19" w:rsidRPr="006E65D4">
        <w:rPr>
          <w:lang w:val="en-GB"/>
        </w:rPr>
        <w:t xml:space="preserve">addresses </w:t>
      </w:r>
      <w:r w:rsidR="006E65D4">
        <w:rPr>
          <w:lang w:val="en-GB"/>
        </w:rPr>
        <w:t xml:space="preserve">the issue of </w:t>
      </w:r>
      <w:r w:rsidR="006E65D4">
        <w:rPr>
          <w:lang w:eastAsia="pl-PL"/>
        </w:rPr>
        <w:t>improving living standards with better transport and mobility solutions for everyone (reduced commuting time, access to education, work, public services), including following elements:</w:t>
      </w:r>
    </w:p>
    <w:p w14:paraId="7A0181DC" w14:textId="77777777" w:rsidR="00394D19" w:rsidRDefault="00394D19" w:rsidP="006E65D4">
      <w:pPr>
        <w:pStyle w:val="Akapitzlist"/>
        <w:numPr>
          <w:ilvl w:val="0"/>
          <w:numId w:val="18"/>
        </w:numPr>
        <w:rPr>
          <w:lang w:eastAsia="pl-PL"/>
        </w:rPr>
      </w:pPr>
      <w:r>
        <w:rPr>
          <w:lang w:eastAsia="pl-PL"/>
        </w:rPr>
        <w:t>Rural areas</w:t>
      </w:r>
    </w:p>
    <w:p w14:paraId="26DFE04A" w14:textId="77777777" w:rsidR="00394D19" w:rsidRDefault="00394D19" w:rsidP="006E65D4">
      <w:pPr>
        <w:pStyle w:val="Akapitzlist"/>
        <w:numPr>
          <w:ilvl w:val="0"/>
          <w:numId w:val="18"/>
        </w:numPr>
        <w:rPr>
          <w:lang w:eastAsia="pl-PL"/>
        </w:rPr>
      </w:pPr>
      <w:r>
        <w:rPr>
          <w:lang w:eastAsia="pl-PL"/>
        </w:rPr>
        <w:t>People with mobility problems</w:t>
      </w:r>
    </w:p>
    <w:p w14:paraId="75AC4B06" w14:textId="77777777" w:rsidR="00394D19" w:rsidRDefault="00394D19" w:rsidP="006E65D4">
      <w:pPr>
        <w:pStyle w:val="Akapitzlist"/>
        <w:numPr>
          <w:ilvl w:val="0"/>
          <w:numId w:val="18"/>
        </w:numPr>
        <w:rPr>
          <w:lang w:eastAsia="pl-PL"/>
        </w:rPr>
      </w:pPr>
      <w:r>
        <w:rPr>
          <w:lang w:eastAsia="pl-PL"/>
        </w:rPr>
        <w:t>Holistic approach to mobility (whole route covered from A to B), information</w:t>
      </w:r>
    </w:p>
    <w:p w14:paraId="6DC724B5" w14:textId="77777777" w:rsidR="00394D19" w:rsidRDefault="00394D19" w:rsidP="006E65D4">
      <w:pPr>
        <w:pStyle w:val="Akapitzlist"/>
        <w:numPr>
          <w:ilvl w:val="0"/>
          <w:numId w:val="18"/>
        </w:numPr>
        <w:rPr>
          <w:lang w:eastAsia="pl-PL"/>
        </w:rPr>
      </w:pPr>
      <w:r>
        <w:rPr>
          <w:lang w:eastAsia="pl-PL"/>
        </w:rPr>
        <w:t>Policy mix including transport/mobility and economic development dimensions etc.</w:t>
      </w:r>
    </w:p>
    <w:p w14:paraId="79A00629" w14:textId="3FA99227" w:rsidR="000B360A" w:rsidRPr="0000479C" w:rsidRDefault="00394D19" w:rsidP="00C064BC">
      <w:pPr>
        <w:pStyle w:val="Akapitzlist"/>
        <w:numPr>
          <w:ilvl w:val="0"/>
          <w:numId w:val="18"/>
        </w:numPr>
        <w:rPr>
          <w:lang w:eastAsia="pl-PL"/>
        </w:rPr>
      </w:pPr>
      <w:r>
        <w:rPr>
          <w:lang w:eastAsia="pl-PL"/>
        </w:rPr>
        <w:t>Establishing fares for public transport with the principle of accessibility for all</w:t>
      </w:r>
    </w:p>
    <w:p w14:paraId="7098D166" w14:textId="5AC4FADB" w:rsidR="0000479C" w:rsidRPr="0000479C" w:rsidRDefault="006E65D4" w:rsidP="0000479C">
      <w:pPr>
        <w:pStyle w:val="Akapitzlist"/>
        <w:numPr>
          <w:ilvl w:val="0"/>
          <w:numId w:val="18"/>
        </w:numPr>
        <w:rPr>
          <w:lang w:eastAsia="pl-PL"/>
        </w:rPr>
      </w:pPr>
      <w:r w:rsidRPr="0000479C">
        <w:rPr>
          <w:lang w:eastAsia="pl-PL"/>
        </w:rPr>
        <w:t>Funding sources</w:t>
      </w:r>
    </w:p>
    <w:p w14:paraId="644846D4" w14:textId="1BCD9209" w:rsidR="000B360A" w:rsidRPr="0000479C" w:rsidRDefault="006E65D4" w:rsidP="000B360A">
      <w:pPr>
        <w:pStyle w:val="Akapitzlist"/>
        <w:numPr>
          <w:ilvl w:val="0"/>
          <w:numId w:val="17"/>
        </w:numPr>
        <w:rPr>
          <w:lang w:val="en-GB"/>
        </w:rPr>
      </w:pPr>
      <w:r w:rsidRPr="0000479C">
        <w:rPr>
          <w:lang w:val="en-GB"/>
        </w:rPr>
        <w:t xml:space="preserve">We are looking for a good practice which demonstrates how to transform economical risks of low carbon economy into opportunities (employment…), </w:t>
      </w:r>
      <w:r w:rsidR="0000479C" w:rsidRPr="0000479C">
        <w:rPr>
          <w:lang w:val="en-GB"/>
        </w:rPr>
        <w:t>possibly recognising</w:t>
      </w:r>
      <w:r w:rsidRPr="0000479C">
        <w:rPr>
          <w:lang w:val="en-GB"/>
        </w:rPr>
        <w:t xml:space="preserve"> the challenge in the spatial planning (e.g. new housing areas having space for trams/electric buses) and investments</w:t>
      </w:r>
      <w:r w:rsidR="0000479C" w:rsidRPr="0000479C">
        <w:rPr>
          <w:lang w:val="en-GB"/>
        </w:rPr>
        <w:t xml:space="preserve"> as well as </w:t>
      </w:r>
      <w:r w:rsidRPr="0000479C">
        <w:rPr>
          <w:lang w:val="en-GB"/>
        </w:rPr>
        <w:t>funding sources</w:t>
      </w:r>
      <w:r w:rsidR="0000479C">
        <w:rPr>
          <w:lang w:val="en-GB"/>
        </w:rPr>
        <w:t>.</w:t>
      </w:r>
    </w:p>
    <w:p w14:paraId="43D2250E" w14:textId="191856F5" w:rsidR="000B360A" w:rsidRPr="0000479C" w:rsidRDefault="0000479C" w:rsidP="00DC368F">
      <w:pPr>
        <w:pStyle w:val="Akapitzlist"/>
        <w:numPr>
          <w:ilvl w:val="0"/>
          <w:numId w:val="17"/>
        </w:numPr>
        <w:rPr>
          <w:lang w:val="en-GB"/>
        </w:rPr>
      </w:pPr>
      <w:r w:rsidRPr="0000479C">
        <w:rPr>
          <w:lang w:val="en-GB"/>
        </w:rPr>
        <w:t xml:space="preserve">We are looking for a good practice which </w:t>
      </w:r>
      <w:r w:rsidR="007F14E8">
        <w:rPr>
          <w:lang w:val="en-GB"/>
        </w:rPr>
        <w:t>shows</w:t>
      </w:r>
      <w:r w:rsidRPr="0000479C">
        <w:rPr>
          <w:lang w:val="en-GB"/>
        </w:rPr>
        <w:t xml:space="preserve"> how to</w:t>
      </w:r>
      <w:r w:rsidR="000B360A" w:rsidRPr="0000479C">
        <w:rPr>
          <w:lang w:val="en-GB"/>
        </w:rPr>
        <w:t xml:space="preserve"> encourage the public engagement by public authorities</w:t>
      </w:r>
      <w:r>
        <w:rPr>
          <w:lang w:eastAsia="pl-PL"/>
        </w:rPr>
        <w:t>, including following elements:</w:t>
      </w:r>
    </w:p>
    <w:p w14:paraId="491CC55F" w14:textId="34855C58" w:rsidR="000B360A" w:rsidRPr="0000479C" w:rsidRDefault="000B360A" w:rsidP="00F3235D">
      <w:pPr>
        <w:pStyle w:val="Akapitzlist"/>
        <w:numPr>
          <w:ilvl w:val="0"/>
          <w:numId w:val="18"/>
        </w:numPr>
        <w:rPr>
          <w:lang w:eastAsia="pl-PL"/>
        </w:rPr>
      </w:pPr>
      <w:r w:rsidRPr="0000479C">
        <w:rPr>
          <w:lang w:eastAsia="pl-PL"/>
        </w:rPr>
        <w:t>Ideas of tools and methods of public engagement</w:t>
      </w:r>
      <w:r w:rsidR="007F14E8">
        <w:rPr>
          <w:lang w:eastAsia="pl-PL"/>
        </w:rPr>
        <w:t xml:space="preserve"> (e.g. citizen panel, p</w:t>
      </w:r>
      <w:r w:rsidRPr="0000479C">
        <w:rPr>
          <w:lang w:eastAsia="pl-PL"/>
        </w:rPr>
        <w:t>articipatory budget</w:t>
      </w:r>
      <w:r w:rsidR="007F14E8">
        <w:rPr>
          <w:lang w:eastAsia="pl-PL"/>
        </w:rPr>
        <w:t>, c</w:t>
      </w:r>
      <w:r w:rsidR="007F14E8" w:rsidRPr="0000479C">
        <w:rPr>
          <w:lang w:eastAsia="pl-PL"/>
        </w:rPr>
        <w:t>rowdsourcing</w:t>
      </w:r>
      <w:r w:rsidRPr="0000479C">
        <w:rPr>
          <w:lang w:eastAsia="pl-PL"/>
        </w:rPr>
        <w:t xml:space="preserve"> and co-creation methods</w:t>
      </w:r>
      <w:r w:rsidR="007F14E8">
        <w:rPr>
          <w:lang w:eastAsia="pl-PL"/>
        </w:rPr>
        <w:t>)</w:t>
      </w:r>
    </w:p>
    <w:p w14:paraId="6FCCA6AC" w14:textId="5C735555" w:rsidR="000B360A" w:rsidRDefault="000B360A" w:rsidP="0000479C">
      <w:pPr>
        <w:pStyle w:val="Akapitzlist"/>
        <w:numPr>
          <w:ilvl w:val="0"/>
          <w:numId w:val="18"/>
        </w:numPr>
        <w:rPr>
          <w:lang w:eastAsia="pl-PL"/>
        </w:rPr>
      </w:pPr>
      <w:r w:rsidRPr="0000479C">
        <w:rPr>
          <w:lang w:eastAsia="pl-PL"/>
        </w:rPr>
        <w:t>Ways of</w:t>
      </w:r>
      <w:r w:rsidR="007F14E8">
        <w:rPr>
          <w:lang w:eastAsia="pl-PL"/>
        </w:rPr>
        <w:t xml:space="preserve"> stimulating the</w:t>
      </w:r>
      <w:r w:rsidRPr="0000479C">
        <w:rPr>
          <w:lang w:eastAsia="pl-PL"/>
        </w:rPr>
        <w:t xml:space="preserve"> process of learning new </w:t>
      </w:r>
      <w:r w:rsidR="007F14E8">
        <w:rPr>
          <w:lang w:eastAsia="pl-PL"/>
        </w:rPr>
        <w:t xml:space="preserve">approach by policy makers (e.g. </w:t>
      </w:r>
      <w:r w:rsidR="007F14E8" w:rsidRPr="0000479C">
        <w:rPr>
          <w:lang w:eastAsia="pl-PL"/>
        </w:rPr>
        <w:t>EUROCITIES</w:t>
      </w:r>
      <w:r w:rsidR="007F14E8" w:rsidRPr="007F14E8">
        <w:rPr>
          <w:lang w:eastAsia="pl-PL"/>
        </w:rPr>
        <w:t xml:space="preserve"> </w:t>
      </w:r>
      <w:r w:rsidR="007F14E8">
        <w:rPr>
          <w:lang w:eastAsia="pl-PL"/>
        </w:rPr>
        <w:t>n</w:t>
      </w:r>
      <w:r w:rsidR="007F14E8" w:rsidRPr="0000479C">
        <w:rPr>
          <w:lang w:eastAsia="pl-PL"/>
        </w:rPr>
        <w:t>etwork</w:t>
      </w:r>
      <w:r w:rsidRPr="0000479C">
        <w:rPr>
          <w:lang w:eastAsia="pl-PL"/>
        </w:rPr>
        <w:t>)</w:t>
      </w:r>
    </w:p>
    <w:p w14:paraId="53FD9128" w14:textId="77777777" w:rsidR="00E607A0" w:rsidRPr="00E607A0" w:rsidRDefault="00E607A0" w:rsidP="00E607A0">
      <w:pPr>
        <w:pStyle w:val="Akapitzlist"/>
        <w:numPr>
          <w:ilvl w:val="0"/>
          <w:numId w:val="18"/>
        </w:numPr>
        <w:rPr>
          <w:lang w:eastAsia="pl-PL"/>
        </w:rPr>
      </w:pPr>
      <w:r>
        <w:rPr>
          <w:lang w:eastAsia="pl-PL"/>
        </w:rPr>
        <w:t>Funding sources</w:t>
      </w:r>
    </w:p>
    <w:p w14:paraId="19231A89" w14:textId="37FA5289" w:rsidR="000B360A" w:rsidRPr="004E4BA9" w:rsidRDefault="004E4BA9" w:rsidP="004E4BA9">
      <w:pPr>
        <w:pStyle w:val="Akapitzlist"/>
        <w:numPr>
          <w:ilvl w:val="0"/>
          <w:numId w:val="17"/>
        </w:numPr>
        <w:rPr>
          <w:lang w:val="en-GB"/>
        </w:rPr>
      </w:pPr>
      <w:r w:rsidRPr="004E4BA9">
        <w:rPr>
          <w:lang w:val="en-GB"/>
        </w:rPr>
        <w:t>We are looking for a good practice which demonstrates how to</w:t>
      </w:r>
      <w:r>
        <w:rPr>
          <w:lang w:val="en-GB"/>
        </w:rPr>
        <w:t xml:space="preserve"> </w:t>
      </w:r>
      <w:r>
        <w:rPr>
          <w:lang w:eastAsia="pl-PL"/>
        </w:rPr>
        <w:t>integrate fragmented policies, instruments, actions, initiatives into common public transport systems, comprising following elements:</w:t>
      </w:r>
    </w:p>
    <w:p w14:paraId="789CFCBE" w14:textId="2B62C04C" w:rsidR="000B360A" w:rsidRPr="004E4BA9" w:rsidRDefault="000B360A" w:rsidP="004E4BA9">
      <w:pPr>
        <w:pStyle w:val="Akapitzlist"/>
        <w:numPr>
          <w:ilvl w:val="0"/>
          <w:numId w:val="18"/>
        </w:numPr>
        <w:rPr>
          <w:lang w:eastAsia="pl-PL"/>
        </w:rPr>
      </w:pPr>
      <w:r w:rsidRPr="004E4BA9">
        <w:rPr>
          <w:lang w:eastAsia="pl-PL"/>
        </w:rPr>
        <w:t>Ways of involving independent actors/decision makers into joint activities</w:t>
      </w:r>
      <w:r w:rsidR="004E4BA9">
        <w:rPr>
          <w:lang w:eastAsia="pl-PL"/>
        </w:rPr>
        <w:t xml:space="preserve"> (e.g. joint metropolitan card</w:t>
      </w:r>
      <w:r w:rsidR="00C822AB">
        <w:rPr>
          <w:lang w:eastAsia="pl-PL"/>
        </w:rPr>
        <w:t>, PEKA from Poznań</w:t>
      </w:r>
      <w:r w:rsidR="004E4BA9">
        <w:rPr>
          <w:lang w:eastAsia="pl-PL"/>
        </w:rPr>
        <w:t>)</w:t>
      </w:r>
    </w:p>
    <w:p w14:paraId="3998F172" w14:textId="77777777" w:rsidR="000B360A" w:rsidRPr="004E4BA9" w:rsidRDefault="000B360A" w:rsidP="004E4BA9">
      <w:pPr>
        <w:pStyle w:val="Akapitzlist"/>
        <w:numPr>
          <w:ilvl w:val="0"/>
          <w:numId w:val="18"/>
        </w:numPr>
        <w:rPr>
          <w:lang w:eastAsia="pl-PL"/>
        </w:rPr>
      </w:pPr>
      <w:r w:rsidRPr="004E4BA9">
        <w:rPr>
          <w:lang w:eastAsia="pl-PL"/>
        </w:rPr>
        <w:t>Ways of communication among neighbouring communities, other stakeholders working in the transport/mobility related initiatives</w:t>
      </w:r>
    </w:p>
    <w:p w14:paraId="3B7375F6" w14:textId="52C19274" w:rsidR="000B360A" w:rsidRDefault="00E607A0" w:rsidP="004E4BA9">
      <w:pPr>
        <w:pStyle w:val="Akapitzlist"/>
        <w:numPr>
          <w:ilvl w:val="0"/>
          <w:numId w:val="18"/>
        </w:numPr>
        <w:rPr>
          <w:lang w:eastAsia="pl-PL"/>
        </w:rPr>
      </w:pPr>
      <w:r>
        <w:rPr>
          <w:lang w:eastAsia="pl-PL"/>
        </w:rPr>
        <w:t>More e</w:t>
      </w:r>
      <w:r w:rsidR="000B360A" w:rsidRPr="004E4BA9">
        <w:rPr>
          <w:lang w:eastAsia="pl-PL"/>
        </w:rPr>
        <w:t>fficient and integrated communication channels for different initiat</w:t>
      </w:r>
      <w:r>
        <w:rPr>
          <w:lang w:eastAsia="pl-PL"/>
        </w:rPr>
        <w:t>ives of mobility related nature</w:t>
      </w:r>
    </w:p>
    <w:p w14:paraId="0AF29FB1" w14:textId="77777777" w:rsidR="00E607A0" w:rsidRPr="00E607A0" w:rsidRDefault="00E607A0" w:rsidP="00E607A0">
      <w:pPr>
        <w:pStyle w:val="Akapitzlist"/>
        <w:numPr>
          <w:ilvl w:val="0"/>
          <w:numId w:val="18"/>
        </w:numPr>
        <w:rPr>
          <w:lang w:eastAsia="pl-PL"/>
        </w:rPr>
      </w:pPr>
      <w:r>
        <w:rPr>
          <w:lang w:eastAsia="pl-PL"/>
        </w:rPr>
        <w:t>Funding sources</w:t>
      </w:r>
    </w:p>
    <w:p w14:paraId="24D4A1AD" w14:textId="797CF8F4" w:rsidR="00E607A0" w:rsidRPr="006E65D4" w:rsidRDefault="00E607A0" w:rsidP="00E607A0">
      <w:pPr>
        <w:pStyle w:val="Akapitzlist"/>
        <w:numPr>
          <w:ilvl w:val="0"/>
          <w:numId w:val="17"/>
        </w:numPr>
        <w:rPr>
          <w:lang w:val="en-GB"/>
        </w:rPr>
      </w:pPr>
      <w:r w:rsidRPr="006E65D4">
        <w:rPr>
          <w:lang w:val="en-GB"/>
        </w:rPr>
        <w:t xml:space="preserve">We are looking for a good practice which </w:t>
      </w:r>
      <w:r>
        <w:rPr>
          <w:lang w:val="en-GB"/>
        </w:rPr>
        <w:t>is focused on how</w:t>
      </w:r>
      <w:r w:rsidRPr="00E607A0">
        <w:rPr>
          <w:lang w:val="en-GB"/>
        </w:rPr>
        <w:t xml:space="preserve"> </w:t>
      </w:r>
      <w:r w:rsidRPr="005F10C4">
        <w:rPr>
          <w:lang w:val="en-GB"/>
        </w:rPr>
        <w:t>to influence the citizens behaviours in favour for environment friendly means of transport</w:t>
      </w:r>
      <w:r>
        <w:rPr>
          <w:lang w:eastAsia="pl-PL"/>
        </w:rPr>
        <w:t>, including following elements:</w:t>
      </w:r>
    </w:p>
    <w:p w14:paraId="34743BC5" w14:textId="77777777" w:rsidR="000B360A" w:rsidRPr="00E607A0" w:rsidRDefault="000B360A" w:rsidP="00E607A0">
      <w:pPr>
        <w:pStyle w:val="Akapitzlist"/>
        <w:numPr>
          <w:ilvl w:val="0"/>
          <w:numId w:val="18"/>
        </w:numPr>
        <w:rPr>
          <w:lang w:eastAsia="pl-PL"/>
        </w:rPr>
      </w:pPr>
      <w:r w:rsidRPr="00E607A0">
        <w:rPr>
          <w:lang w:eastAsia="pl-PL"/>
        </w:rPr>
        <w:t>Incentivises for people who choose car as a first mobility choice,</w:t>
      </w:r>
    </w:p>
    <w:p w14:paraId="6A25C50A" w14:textId="648BE42A" w:rsidR="000B360A" w:rsidRPr="00E607A0" w:rsidRDefault="000B360A" w:rsidP="00E607A0">
      <w:pPr>
        <w:pStyle w:val="Akapitzlist"/>
        <w:numPr>
          <w:ilvl w:val="0"/>
          <w:numId w:val="18"/>
        </w:numPr>
        <w:rPr>
          <w:lang w:eastAsia="pl-PL"/>
        </w:rPr>
      </w:pPr>
      <w:r w:rsidRPr="00E607A0">
        <w:rPr>
          <w:lang w:eastAsia="pl-PL"/>
        </w:rPr>
        <w:t>Way</w:t>
      </w:r>
      <w:r w:rsidR="00E607A0">
        <w:rPr>
          <w:lang w:eastAsia="pl-PL"/>
        </w:rPr>
        <w:t>s</w:t>
      </w:r>
      <w:r w:rsidRPr="00E607A0">
        <w:rPr>
          <w:lang w:eastAsia="pl-PL"/>
        </w:rPr>
        <w:t xml:space="preserve"> of targeting the activities oriented to </w:t>
      </w:r>
      <w:proofErr w:type="spellStart"/>
      <w:r w:rsidRPr="00E607A0">
        <w:rPr>
          <w:lang w:eastAsia="pl-PL"/>
        </w:rPr>
        <w:t>behavi</w:t>
      </w:r>
      <w:r w:rsidR="00E607A0">
        <w:rPr>
          <w:lang w:eastAsia="pl-PL"/>
        </w:rPr>
        <w:t>oural</w:t>
      </w:r>
      <w:proofErr w:type="spellEnd"/>
      <w:r w:rsidR="00E607A0">
        <w:rPr>
          <w:lang w:eastAsia="pl-PL"/>
        </w:rPr>
        <w:t xml:space="preserve"> transformation (</w:t>
      </w:r>
      <w:proofErr w:type="spellStart"/>
      <w:r w:rsidR="00E607A0">
        <w:rPr>
          <w:lang w:eastAsia="pl-PL"/>
        </w:rPr>
        <w:t>eg</w:t>
      </w:r>
      <w:proofErr w:type="spellEnd"/>
      <w:r w:rsidR="00E607A0">
        <w:rPr>
          <w:lang w:eastAsia="pl-PL"/>
        </w:rPr>
        <w:t xml:space="preserve">. </w:t>
      </w:r>
      <w:proofErr w:type="spellStart"/>
      <w:r w:rsidR="00E607A0">
        <w:rPr>
          <w:lang w:eastAsia="pl-PL"/>
        </w:rPr>
        <w:t>Benthe</w:t>
      </w:r>
      <w:r w:rsidRPr="00E607A0">
        <w:rPr>
          <w:lang w:eastAsia="pl-PL"/>
        </w:rPr>
        <w:t>im</w:t>
      </w:r>
      <w:proofErr w:type="spellEnd"/>
      <w:r w:rsidRPr="00E607A0">
        <w:rPr>
          <w:lang w:eastAsia="pl-PL"/>
        </w:rPr>
        <w:t xml:space="preserve"> schools oriented actions)</w:t>
      </w:r>
    </w:p>
    <w:p w14:paraId="4604ED9E" w14:textId="4D8B42A7" w:rsidR="000B360A" w:rsidRPr="00E607A0" w:rsidRDefault="00E607A0" w:rsidP="00E607A0">
      <w:pPr>
        <w:pStyle w:val="Akapitzlist"/>
        <w:numPr>
          <w:ilvl w:val="0"/>
          <w:numId w:val="18"/>
        </w:numPr>
        <w:rPr>
          <w:lang w:eastAsia="pl-PL"/>
        </w:rPr>
      </w:pPr>
      <w:r>
        <w:rPr>
          <w:lang w:eastAsia="pl-PL"/>
        </w:rPr>
        <w:t>N</w:t>
      </w:r>
      <w:r w:rsidR="000B360A" w:rsidRPr="00E607A0">
        <w:rPr>
          <w:lang w:eastAsia="pl-PL"/>
        </w:rPr>
        <w:t>udging and social labelling (e</w:t>
      </w:r>
      <w:r w:rsidR="00C822AB">
        <w:rPr>
          <w:lang w:eastAsia="pl-PL"/>
        </w:rPr>
        <w:t>.</w:t>
      </w:r>
      <w:r w:rsidR="00436FAF">
        <w:rPr>
          <w:lang w:eastAsia="pl-PL"/>
        </w:rPr>
        <w:t xml:space="preserve">g. </w:t>
      </w:r>
      <w:proofErr w:type="spellStart"/>
      <w:r w:rsidR="00436FAF">
        <w:rPr>
          <w:lang w:eastAsia="pl-PL"/>
        </w:rPr>
        <w:t>AU</w:t>
      </w:r>
      <w:r w:rsidR="000B360A" w:rsidRPr="00E607A0">
        <w:rPr>
          <w:lang w:eastAsia="pl-PL"/>
        </w:rPr>
        <w:t>Th</w:t>
      </w:r>
      <w:proofErr w:type="spellEnd"/>
      <w:r w:rsidR="00C822AB">
        <w:rPr>
          <w:lang w:eastAsia="pl-PL"/>
        </w:rPr>
        <w:t xml:space="preserve"> experience</w:t>
      </w:r>
      <w:r w:rsidR="000B360A" w:rsidRPr="00E607A0">
        <w:rPr>
          <w:lang w:eastAsia="pl-PL"/>
        </w:rPr>
        <w:t>)</w:t>
      </w:r>
    </w:p>
    <w:p w14:paraId="461CB032" w14:textId="25D3ACD7" w:rsidR="000B360A" w:rsidRDefault="000B360A" w:rsidP="00E607A0">
      <w:pPr>
        <w:pStyle w:val="Akapitzlist"/>
        <w:numPr>
          <w:ilvl w:val="0"/>
          <w:numId w:val="18"/>
        </w:numPr>
        <w:rPr>
          <w:lang w:eastAsia="pl-PL"/>
        </w:rPr>
      </w:pPr>
      <w:r w:rsidRPr="00E607A0">
        <w:rPr>
          <w:lang w:eastAsia="pl-PL"/>
        </w:rPr>
        <w:t>Direct consultations with citizens providing tail</w:t>
      </w:r>
      <w:r w:rsidR="00E607A0">
        <w:rPr>
          <w:lang w:eastAsia="pl-PL"/>
        </w:rPr>
        <w:t>or</w:t>
      </w:r>
      <w:r w:rsidRPr="00E607A0">
        <w:rPr>
          <w:lang w:eastAsia="pl-PL"/>
        </w:rPr>
        <w:t xml:space="preserve">-made solutions for </w:t>
      </w:r>
      <w:r w:rsidR="00E607A0" w:rsidRPr="00E607A0">
        <w:rPr>
          <w:lang w:eastAsia="pl-PL"/>
        </w:rPr>
        <w:t>sustainable</w:t>
      </w:r>
      <w:r w:rsidRPr="00E607A0">
        <w:rPr>
          <w:lang w:eastAsia="pl-PL"/>
        </w:rPr>
        <w:t xml:space="preserve"> mobility (</w:t>
      </w:r>
      <w:r w:rsidR="00E607A0">
        <w:rPr>
          <w:lang w:eastAsia="pl-PL"/>
        </w:rPr>
        <w:t xml:space="preserve">e.g. </w:t>
      </w:r>
      <w:proofErr w:type="spellStart"/>
      <w:r w:rsidR="00E607A0">
        <w:rPr>
          <w:lang w:eastAsia="pl-PL"/>
        </w:rPr>
        <w:t>AUTh</w:t>
      </w:r>
      <w:proofErr w:type="spellEnd"/>
      <w:r w:rsidR="00E607A0">
        <w:rPr>
          <w:lang w:eastAsia="pl-PL"/>
        </w:rPr>
        <w:t xml:space="preserve"> experience</w:t>
      </w:r>
      <w:r w:rsidR="00436FAF">
        <w:rPr>
          <w:lang w:eastAsia="pl-PL"/>
        </w:rPr>
        <w:t xml:space="preserve">, </w:t>
      </w:r>
      <w:proofErr w:type="spellStart"/>
      <w:r w:rsidR="00436FAF">
        <w:rPr>
          <w:lang w:eastAsia="pl-PL"/>
        </w:rPr>
        <w:t>Benthe</w:t>
      </w:r>
      <w:r w:rsidRPr="00E607A0">
        <w:rPr>
          <w:lang w:eastAsia="pl-PL"/>
        </w:rPr>
        <w:t>im</w:t>
      </w:r>
      <w:proofErr w:type="spellEnd"/>
      <w:r w:rsidRPr="00E607A0">
        <w:rPr>
          <w:lang w:eastAsia="pl-PL"/>
        </w:rPr>
        <w:t xml:space="preserve"> call </w:t>
      </w:r>
      <w:proofErr w:type="spellStart"/>
      <w:r w:rsidRPr="00E607A0">
        <w:rPr>
          <w:lang w:eastAsia="pl-PL"/>
        </w:rPr>
        <w:t>centre</w:t>
      </w:r>
      <w:proofErr w:type="spellEnd"/>
      <w:r w:rsidR="00E607A0">
        <w:rPr>
          <w:lang w:eastAsia="pl-PL"/>
        </w:rPr>
        <w:t>)</w:t>
      </w:r>
    </w:p>
    <w:p w14:paraId="7EAEA9C7" w14:textId="0693BAB2" w:rsidR="00E607A0" w:rsidRPr="00E607A0" w:rsidRDefault="00E607A0" w:rsidP="00E607A0">
      <w:pPr>
        <w:pStyle w:val="Akapitzlist"/>
        <w:numPr>
          <w:ilvl w:val="0"/>
          <w:numId w:val="18"/>
        </w:numPr>
        <w:rPr>
          <w:lang w:eastAsia="pl-PL"/>
        </w:rPr>
      </w:pPr>
      <w:r>
        <w:rPr>
          <w:lang w:eastAsia="pl-PL"/>
        </w:rPr>
        <w:t>Funding sources</w:t>
      </w:r>
    </w:p>
    <w:p w14:paraId="55E6631E" w14:textId="081EAE2E" w:rsidR="008B04E3" w:rsidRPr="00EE0B94" w:rsidRDefault="008B04E3" w:rsidP="008B04E3">
      <w:r>
        <w:t xml:space="preserve"> </w:t>
      </w:r>
    </w:p>
    <w:sectPr w:rsidR="008B04E3" w:rsidRPr="00EE0B9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6C2D" w14:textId="77777777" w:rsidR="00465724" w:rsidRDefault="00465724" w:rsidP="00201BD1">
      <w:pPr>
        <w:spacing w:after="0" w:line="240" w:lineRule="auto"/>
      </w:pPr>
      <w:r>
        <w:separator/>
      </w:r>
    </w:p>
  </w:endnote>
  <w:endnote w:type="continuationSeparator" w:id="0">
    <w:p w14:paraId="530B2422" w14:textId="77777777" w:rsidR="00465724" w:rsidRDefault="00465724" w:rsidP="002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8828" w14:textId="77777777" w:rsidR="00465724" w:rsidRDefault="00465724" w:rsidP="00201BD1">
    <w:pPr>
      <w:pStyle w:val="Nagwek"/>
      <w:pBdr>
        <w:top w:val="single" w:sz="6" w:space="10" w:color="5B9BD5" w:themeColor="accent1"/>
      </w:pBdr>
      <w:spacing w:before="240"/>
      <w:jc w:val="center"/>
      <w:rPr>
        <w:color w:val="5B9BD5" w:themeColor="accent1"/>
      </w:rPr>
    </w:pPr>
    <w:r>
      <w:rPr>
        <w:noProof/>
        <w:lang w:val="pl-PL" w:eastAsia="pl-PL"/>
      </w:rPr>
      <mc:AlternateContent>
        <mc:Choice Requires="wps">
          <w:drawing>
            <wp:anchor distT="0" distB="0" distL="114300" distR="114300" simplePos="0" relativeHeight="251659264" behindDoc="0" locked="0" layoutInCell="1" allowOverlap="1" wp14:anchorId="6786357A" wp14:editId="22BE840E">
              <wp:simplePos x="0" y="0"/>
              <wp:positionH relativeFrom="column">
                <wp:posOffset>-259715</wp:posOffset>
              </wp:positionH>
              <wp:positionV relativeFrom="paragraph">
                <wp:posOffset>285115</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465724" w14:paraId="460DAE43" w14:textId="77777777" w:rsidTr="00465724">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465724" w14:paraId="521D122F" w14:textId="77777777" w:rsidTr="00465724">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14:paraId="01DCD4CC" w14:textId="77777777" w:rsidR="00465724" w:rsidRDefault="00465724" w:rsidP="00465724">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14:paraId="0FDC4312" w14:textId="77777777" w:rsidR="00465724" w:rsidRDefault="00465724" w:rsidP="00465724">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14:paraId="1005BC6C" w14:textId="77777777" w:rsidR="00465724" w:rsidRDefault="00465724" w:rsidP="00465724">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14:paraId="471A2C2A" w14:textId="77777777" w:rsidR="00465724" w:rsidRDefault="00465724" w:rsidP="00465724">
                                      <w:pPr>
                                        <w:pStyle w:val="L-I-EU-footnote"/>
                                        <w:rPr>
                                          <w:noProof/>
                                          <w:lang w:eastAsia="fr-FR"/>
                                        </w:rPr>
                                      </w:pPr>
                                    </w:p>
                                  </w:tc>
                                </w:tr>
                              </w:tbl>
                              <w:p w14:paraId="404F877D" w14:textId="77777777" w:rsidR="00465724" w:rsidRDefault="00465724" w:rsidP="00465724">
                                <w:pPr>
                                  <w:pStyle w:val="L-I-EU-footnote"/>
                                </w:pPr>
                              </w:p>
                            </w:tc>
                          </w:tr>
                          <w:tr w:rsidR="00465724" w:rsidRPr="00066B53" w14:paraId="3EC40B61" w14:textId="77777777" w:rsidTr="00465724">
                            <w:trPr>
                              <w:cantSplit/>
                              <w:trHeight w:val="416"/>
                            </w:trPr>
                            <w:tc>
                              <w:tcPr>
                                <w:tcW w:w="9866" w:type="dxa"/>
                                <w:tcMar>
                                  <w:left w:w="0" w:type="dxa"/>
                                  <w:right w:w="0" w:type="dxa"/>
                                </w:tcMar>
                              </w:tcPr>
                              <w:p w14:paraId="15E310BE" w14:textId="064BC560" w:rsidR="00465724" w:rsidRPr="00E30929" w:rsidRDefault="0012626B" w:rsidP="00465724">
                                <w:pPr>
                                  <w:pStyle w:val="L-I-EU-pagenumber"/>
                                  <w:rPr>
                                    <w:lang w:val="en-GB"/>
                                  </w:rPr>
                                </w:pPr>
                                <w:r>
                                  <w:t>PE4TRANS</w:t>
                                </w:r>
                                <w:r w:rsidR="00465724">
                                  <w:t xml:space="preserve"> </w:t>
                                </w:r>
                                <w:r w:rsidR="00465724" w:rsidRPr="00432443">
                                  <w:fldChar w:fldCharType="begin"/>
                                </w:r>
                                <w:r w:rsidR="00465724" w:rsidRPr="00E30929">
                                  <w:rPr>
                                    <w:lang w:val="en-GB"/>
                                  </w:rPr>
                                  <w:instrText>PAGE   \* MERGEFORMAT</w:instrText>
                                </w:r>
                                <w:r w:rsidR="00465724" w:rsidRPr="00432443">
                                  <w:fldChar w:fldCharType="separate"/>
                                </w:r>
                                <w:r w:rsidR="00F62084" w:rsidRPr="00F62084">
                                  <w:rPr>
                                    <w:noProof/>
                                  </w:rPr>
                                  <w:t>1</w:t>
                                </w:r>
                                <w:r w:rsidR="00465724" w:rsidRPr="00432443">
                                  <w:fldChar w:fldCharType="end"/>
                                </w:r>
                                <w:r w:rsidR="00465724">
                                  <w:rPr>
                                    <w:lang w:val="en-GB"/>
                                  </w:rPr>
                                  <w:t xml:space="preserve"> /</w:t>
                                </w:r>
                                <w:r w:rsidR="00465724" w:rsidRPr="00E30929">
                                  <w:rPr>
                                    <w:lang w:val="en-GB"/>
                                  </w:rPr>
                                  <w:t xml:space="preserve"> </w:t>
                                </w:r>
                                <w:r w:rsidR="00465724">
                                  <w:fldChar w:fldCharType="begin"/>
                                </w:r>
                                <w:r w:rsidR="00465724" w:rsidRPr="00E30929">
                                  <w:rPr>
                                    <w:lang w:val="en-GB"/>
                                  </w:rPr>
                                  <w:instrText xml:space="preserve"> NUMPAGES  \* Arabic  \* MERGEFORMAT </w:instrText>
                                </w:r>
                                <w:r w:rsidR="00465724">
                                  <w:fldChar w:fldCharType="separate"/>
                                </w:r>
                                <w:r w:rsidR="00F62084">
                                  <w:rPr>
                                    <w:noProof/>
                                    <w:lang w:val="en-GB"/>
                                  </w:rPr>
                                  <w:t>3</w:t>
                                </w:r>
                                <w:r w:rsidR="00465724">
                                  <w:rPr>
                                    <w:noProof/>
                                  </w:rPr>
                                  <w:fldChar w:fldCharType="end"/>
                                </w:r>
                              </w:p>
                              <w:p w14:paraId="4305F8AE" w14:textId="77777777" w:rsidR="00465724" w:rsidRPr="00E30929" w:rsidRDefault="00465724" w:rsidP="00465724">
                                <w:pPr>
                                  <w:pStyle w:val="L-I-EU-footnote"/>
                                  <w:jc w:val="right"/>
                                  <w:rPr>
                                    <w:lang w:val="en-GB"/>
                                  </w:rPr>
                                </w:pPr>
                                <w:r w:rsidRPr="00E30929">
                                  <w:rPr>
                                    <w:noProof/>
                                    <w:lang w:val="en-GB" w:eastAsia="fr-FR"/>
                                  </w:rPr>
                                  <w:t xml:space="preserve">                                   </w:t>
                                </w:r>
                                <w:r w:rsidRPr="00E30929">
                                  <w:rPr>
                                    <w:lang w:val="en-GB"/>
                                  </w:rPr>
                                  <w:t xml:space="preserve">    </w:t>
                                </w:r>
                              </w:p>
                              <w:p w14:paraId="5721F2C4" w14:textId="77777777" w:rsidR="00465724" w:rsidRPr="00E30929" w:rsidRDefault="00465724" w:rsidP="00465724">
                                <w:pPr>
                                  <w:pStyle w:val="L-I-EU-footnote"/>
                                  <w:rPr>
                                    <w:lang w:val="en-GB"/>
                                  </w:rPr>
                                </w:pPr>
                                <w:r w:rsidRPr="00E30929">
                                  <w:rPr>
                                    <w:lang w:val="en-GB"/>
                                  </w:rPr>
                                  <w:t xml:space="preserve"> </w:t>
                                </w:r>
                              </w:p>
                              <w:p w14:paraId="4C6B34F3" w14:textId="77777777" w:rsidR="00465724" w:rsidRPr="00E30929" w:rsidRDefault="00465724" w:rsidP="00465724">
                                <w:pPr>
                                  <w:pStyle w:val="L-I-EU-footnote"/>
                                  <w:rPr>
                                    <w:lang w:val="en-GB"/>
                                  </w:rPr>
                                </w:pPr>
                              </w:p>
                              <w:p w14:paraId="47DB2FC2" w14:textId="77777777" w:rsidR="00465724" w:rsidRPr="00E30929" w:rsidRDefault="00465724" w:rsidP="00465724">
                                <w:pPr>
                                  <w:pStyle w:val="L-I-EU-pagenumber"/>
                                  <w:rPr>
                                    <w:lang w:val="en-GB"/>
                                  </w:rPr>
                                </w:pPr>
                              </w:p>
                            </w:tc>
                          </w:tr>
                          <w:tr w:rsidR="00465724" w:rsidRPr="00066B53" w14:paraId="3DEE68DE" w14:textId="77777777" w:rsidTr="00465724">
                            <w:trPr>
                              <w:cantSplit/>
                              <w:trHeight w:val="416"/>
                            </w:trPr>
                            <w:tc>
                              <w:tcPr>
                                <w:tcW w:w="9866" w:type="dxa"/>
                                <w:tcMar>
                                  <w:left w:w="0" w:type="dxa"/>
                                  <w:right w:w="0" w:type="dxa"/>
                                </w:tcMar>
                              </w:tcPr>
                              <w:p w14:paraId="01F56348" w14:textId="77777777" w:rsidR="00465724" w:rsidRDefault="00465724" w:rsidP="00465724">
                                <w:pPr>
                                  <w:pStyle w:val="L-I-EU-pagenumber"/>
                                  <w:jc w:val="left"/>
                                </w:pPr>
                              </w:p>
                            </w:tc>
                          </w:tr>
                          <w:tr w:rsidR="00465724" w:rsidRPr="00066B53" w14:paraId="0FD8E03E" w14:textId="77777777" w:rsidTr="00465724">
                            <w:trPr>
                              <w:cantSplit/>
                              <w:trHeight w:val="416"/>
                            </w:trPr>
                            <w:tc>
                              <w:tcPr>
                                <w:tcW w:w="9866" w:type="dxa"/>
                                <w:tcMar>
                                  <w:left w:w="0" w:type="dxa"/>
                                  <w:right w:w="0" w:type="dxa"/>
                                </w:tcMar>
                              </w:tcPr>
                              <w:p w14:paraId="7E39F0D4" w14:textId="77777777" w:rsidR="00465724" w:rsidRDefault="00465724" w:rsidP="00465724">
                                <w:pPr>
                                  <w:pStyle w:val="L-I-EU-pagenumber"/>
                                  <w:jc w:val="left"/>
                                </w:pPr>
                              </w:p>
                            </w:tc>
                          </w:tr>
                        </w:tbl>
                        <w:p w14:paraId="0E1F5B4E" w14:textId="77777777" w:rsidR="00465724" w:rsidRPr="0098440B" w:rsidRDefault="00465724" w:rsidP="00201BD1">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786357A" id="_x0000_t202" coordsize="21600,21600" o:spt="202" path="m,l,21600r21600,l21600,xe">
              <v:stroke joinstyle="miter"/>
              <v:path gradientshapeok="t" o:connecttype="rect"/>
            </v:shapetype>
            <v:shape id="Zone de texte 41" o:spid="_x0000_s1026" type="#_x0000_t202" style="position:absolute;left:0;text-align:left;margin-left:-20.45pt;margin-top:22.45pt;width:493.6pt;height:3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465724" w14:paraId="460DAE43" w14:textId="77777777" w:rsidTr="00465724">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465724" w14:paraId="521D122F" w14:textId="77777777" w:rsidTr="00465724">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14:paraId="01DCD4CC" w14:textId="77777777" w:rsidR="00465724" w:rsidRDefault="00465724" w:rsidP="00465724">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14:paraId="0FDC4312" w14:textId="77777777" w:rsidR="00465724" w:rsidRDefault="00465724" w:rsidP="00465724">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14:paraId="1005BC6C" w14:textId="77777777" w:rsidR="00465724" w:rsidRDefault="00465724" w:rsidP="00465724">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14:paraId="471A2C2A" w14:textId="77777777" w:rsidR="00465724" w:rsidRDefault="00465724" w:rsidP="00465724">
                                <w:pPr>
                                  <w:pStyle w:val="L-I-EU-footnote"/>
                                  <w:rPr>
                                    <w:noProof/>
                                    <w:lang w:eastAsia="fr-FR"/>
                                  </w:rPr>
                                </w:pPr>
                              </w:p>
                            </w:tc>
                          </w:tr>
                        </w:tbl>
                        <w:p w14:paraId="404F877D" w14:textId="77777777" w:rsidR="00465724" w:rsidRDefault="00465724" w:rsidP="00465724">
                          <w:pPr>
                            <w:pStyle w:val="L-I-EU-footnote"/>
                          </w:pPr>
                        </w:p>
                      </w:tc>
                    </w:tr>
                    <w:tr w:rsidR="00465724" w:rsidRPr="00066B53" w14:paraId="3EC40B61" w14:textId="77777777" w:rsidTr="00465724">
                      <w:trPr>
                        <w:cantSplit/>
                        <w:trHeight w:val="416"/>
                      </w:trPr>
                      <w:tc>
                        <w:tcPr>
                          <w:tcW w:w="9866" w:type="dxa"/>
                          <w:tcMar>
                            <w:left w:w="0" w:type="dxa"/>
                            <w:right w:w="0" w:type="dxa"/>
                          </w:tcMar>
                        </w:tcPr>
                        <w:p w14:paraId="15E310BE" w14:textId="064BC560" w:rsidR="00465724" w:rsidRPr="00E30929" w:rsidRDefault="0012626B" w:rsidP="00465724">
                          <w:pPr>
                            <w:pStyle w:val="L-I-EU-pagenumber"/>
                            <w:rPr>
                              <w:lang w:val="en-GB"/>
                            </w:rPr>
                          </w:pPr>
                          <w:r>
                            <w:t>PE4TRANS</w:t>
                          </w:r>
                          <w:r w:rsidR="00465724">
                            <w:t xml:space="preserve"> </w:t>
                          </w:r>
                          <w:r w:rsidR="00465724" w:rsidRPr="00432443">
                            <w:fldChar w:fldCharType="begin"/>
                          </w:r>
                          <w:r w:rsidR="00465724" w:rsidRPr="00E30929">
                            <w:rPr>
                              <w:lang w:val="en-GB"/>
                            </w:rPr>
                            <w:instrText>PAGE   \* MERGEFORMAT</w:instrText>
                          </w:r>
                          <w:r w:rsidR="00465724" w:rsidRPr="00432443">
                            <w:fldChar w:fldCharType="separate"/>
                          </w:r>
                          <w:r w:rsidR="00F62084" w:rsidRPr="00F62084">
                            <w:rPr>
                              <w:noProof/>
                            </w:rPr>
                            <w:t>1</w:t>
                          </w:r>
                          <w:r w:rsidR="00465724" w:rsidRPr="00432443">
                            <w:fldChar w:fldCharType="end"/>
                          </w:r>
                          <w:r w:rsidR="00465724">
                            <w:rPr>
                              <w:lang w:val="en-GB"/>
                            </w:rPr>
                            <w:t xml:space="preserve"> /</w:t>
                          </w:r>
                          <w:r w:rsidR="00465724" w:rsidRPr="00E30929">
                            <w:rPr>
                              <w:lang w:val="en-GB"/>
                            </w:rPr>
                            <w:t xml:space="preserve"> </w:t>
                          </w:r>
                          <w:r w:rsidR="00465724">
                            <w:fldChar w:fldCharType="begin"/>
                          </w:r>
                          <w:r w:rsidR="00465724" w:rsidRPr="00E30929">
                            <w:rPr>
                              <w:lang w:val="en-GB"/>
                            </w:rPr>
                            <w:instrText xml:space="preserve"> NUMPAGES  \* Arabic  \* MERGEFORMAT </w:instrText>
                          </w:r>
                          <w:r w:rsidR="00465724">
                            <w:fldChar w:fldCharType="separate"/>
                          </w:r>
                          <w:r w:rsidR="00F62084">
                            <w:rPr>
                              <w:noProof/>
                              <w:lang w:val="en-GB"/>
                            </w:rPr>
                            <w:t>3</w:t>
                          </w:r>
                          <w:r w:rsidR="00465724">
                            <w:rPr>
                              <w:noProof/>
                            </w:rPr>
                            <w:fldChar w:fldCharType="end"/>
                          </w:r>
                        </w:p>
                        <w:p w14:paraId="4305F8AE" w14:textId="77777777" w:rsidR="00465724" w:rsidRPr="00E30929" w:rsidRDefault="00465724" w:rsidP="00465724">
                          <w:pPr>
                            <w:pStyle w:val="L-I-EU-footnote"/>
                            <w:jc w:val="right"/>
                            <w:rPr>
                              <w:lang w:val="en-GB"/>
                            </w:rPr>
                          </w:pPr>
                          <w:r w:rsidRPr="00E30929">
                            <w:rPr>
                              <w:noProof/>
                              <w:lang w:val="en-GB" w:eastAsia="fr-FR"/>
                            </w:rPr>
                            <w:t xml:space="preserve">                                   </w:t>
                          </w:r>
                          <w:r w:rsidRPr="00E30929">
                            <w:rPr>
                              <w:lang w:val="en-GB"/>
                            </w:rPr>
                            <w:t xml:space="preserve">    </w:t>
                          </w:r>
                        </w:p>
                        <w:p w14:paraId="5721F2C4" w14:textId="77777777" w:rsidR="00465724" w:rsidRPr="00E30929" w:rsidRDefault="00465724" w:rsidP="00465724">
                          <w:pPr>
                            <w:pStyle w:val="L-I-EU-footnote"/>
                            <w:rPr>
                              <w:lang w:val="en-GB"/>
                            </w:rPr>
                          </w:pPr>
                          <w:r w:rsidRPr="00E30929">
                            <w:rPr>
                              <w:lang w:val="en-GB"/>
                            </w:rPr>
                            <w:t xml:space="preserve"> </w:t>
                          </w:r>
                        </w:p>
                        <w:p w14:paraId="4C6B34F3" w14:textId="77777777" w:rsidR="00465724" w:rsidRPr="00E30929" w:rsidRDefault="00465724" w:rsidP="00465724">
                          <w:pPr>
                            <w:pStyle w:val="L-I-EU-footnote"/>
                            <w:rPr>
                              <w:lang w:val="en-GB"/>
                            </w:rPr>
                          </w:pPr>
                        </w:p>
                        <w:p w14:paraId="47DB2FC2" w14:textId="77777777" w:rsidR="00465724" w:rsidRPr="00E30929" w:rsidRDefault="00465724" w:rsidP="00465724">
                          <w:pPr>
                            <w:pStyle w:val="L-I-EU-pagenumber"/>
                            <w:rPr>
                              <w:lang w:val="en-GB"/>
                            </w:rPr>
                          </w:pPr>
                        </w:p>
                      </w:tc>
                    </w:tr>
                    <w:tr w:rsidR="00465724" w:rsidRPr="00066B53" w14:paraId="3DEE68DE" w14:textId="77777777" w:rsidTr="00465724">
                      <w:trPr>
                        <w:cantSplit/>
                        <w:trHeight w:val="416"/>
                      </w:trPr>
                      <w:tc>
                        <w:tcPr>
                          <w:tcW w:w="9866" w:type="dxa"/>
                          <w:tcMar>
                            <w:left w:w="0" w:type="dxa"/>
                            <w:right w:w="0" w:type="dxa"/>
                          </w:tcMar>
                        </w:tcPr>
                        <w:p w14:paraId="01F56348" w14:textId="77777777" w:rsidR="00465724" w:rsidRDefault="00465724" w:rsidP="00465724">
                          <w:pPr>
                            <w:pStyle w:val="L-I-EU-pagenumber"/>
                            <w:jc w:val="left"/>
                          </w:pPr>
                        </w:p>
                      </w:tc>
                    </w:tr>
                    <w:tr w:rsidR="00465724" w:rsidRPr="00066B53" w14:paraId="0FD8E03E" w14:textId="77777777" w:rsidTr="00465724">
                      <w:trPr>
                        <w:cantSplit/>
                        <w:trHeight w:val="416"/>
                      </w:trPr>
                      <w:tc>
                        <w:tcPr>
                          <w:tcW w:w="9866" w:type="dxa"/>
                          <w:tcMar>
                            <w:left w:w="0" w:type="dxa"/>
                            <w:right w:w="0" w:type="dxa"/>
                          </w:tcMar>
                        </w:tcPr>
                        <w:p w14:paraId="7E39F0D4" w14:textId="77777777" w:rsidR="00465724" w:rsidRDefault="00465724" w:rsidP="00465724">
                          <w:pPr>
                            <w:pStyle w:val="L-I-EU-pagenumber"/>
                            <w:jc w:val="left"/>
                          </w:pPr>
                        </w:p>
                      </w:tc>
                    </w:tr>
                  </w:tbl>
                  <w:p w14:paraId="0E1F5B4E" w14:textId="77777777" w:rsidR="00465724" w:rsidRPr="0098440B" w:rsidRDefault="00465724" w:rsidP="00201BD1">
                    <w:pPr>
                      <w:rPr>
                        <w:lang w:val="en-GB"/>
                      </w:rPr>
                    </w:pPr>
                  </w:p>
                </w:txbxContent>
              </v:textbox>
            </v:shape>
          </w:pict>
        </mc:Fallback>
      </mc:AlternateContent>
    </w:r>
  </w:p>
  <w:p w14:paraId="3B926E60" w14:textId="77777777" w:rsidR="00465724" w:rsidRDefault="00465724" w:rsidP="00201BD1">
    <w:pPr>
      <w:pStyle w:val="Stopka"/>
    </w:pPr>
  </w:p>
  <w:p w14:paraId="7BA13ED9" w14:textId="77777777" w:rsidR="00465724" w:rsidRDefault="004657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9756" w14:textId="77777777" w:rsidR="00465724" w:rsidRDefault="00465724" w:rsidP="00201BD1">
      <w:pPr>
        <w:spacing w:after="0" w:line="240" w:lineRule="auto"/>
      </w:pPr>
      <w:r>
        <w:separator/>
      </w:r>
    </w:p>
  </w:footnote>
  <w:footnote w:type="continuationSeparator" w:id="0">
    <w:p w14:paraId="37B7E39B" w14:textId="77777777" w:rsidR="00465724" w:rsidRDefault="00465724" w:rsidP="0020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1533" w14:textId="7035529F" w:rsidR="00465724" w:rsidRDefault="004E4BA9" w:rsidP="00D40C4B">
    <w:pPr>
      <w:pStyle w:val="Nagwek"/>
      <w:jc w:val="center"/>
    </w:pPr>
    <w:r>
      <w:rPr>
        <w:noProof/>
        <w:lang w:val="pl-PL" w:eastAsia="pl-PL"/>
      </w:rPr>
      <w:drawing>
        <wp:anchor distT="0" distB="0" distL="114300" distR="114300" simplePos="0" relativeHeight="251662336" behindDoc="0" locked="0" layoutInCell="1" allowOverlap="1" wp14:anchorId="6DDEF433" wp14:editId="0C743D97">
          <wp:simplePos x="0" y="0"/>
          <wp:positionH relativeFrom="margin">
            <wp:posOffset>-531495</wp:posOffset>
          </wp:positionH>
          <wp:positionV relativeFrom="topMargin">
            <wp:align>bottom</wp:align>
          </wp:positionV>
          <wp:extent cx="2287905" cy="539750"/>
          <wp:effectExtent l="0" t="0" r="0" b="0"/>
          <wp:wrapThrough wrapText="bothSides">
            <wp:wrapPolygon edited="0">
              <wp:start x="0" y="0"/>
              <wp:lineTo x="0" y="20584"/>
              <wp:lineTo x="21402" y="20584"/>
              <wp:lineTo x="21402" y="0"/>
              <wp:lineTo x="0" y="0"/>
            </wp:wrapPolygon>
          </wp:wrapThrough>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terreg_Europ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05" cy="539750"/>
                  </a:xfrm>
                  <a:prstGeom prst="rect">
                    <a:avLst/>
                  </a:prstGeom>
                </pic:spPr>
              </pic:pic>
            </a:graphicData>
          </a:graphic>
          <wp14:sizeRelH relativeFrom="margin">
            <wp14:pctWidth>0</wp14:pctWidth>
          </wp14:sizeRelH>
          <wp14:sizeRelV relativeFrom="margin">
            <wp14:pctHeight>0</wp14:pctHeight>
          </wp14:sizeRelV>
        </wp:anchor>
      </w:drawing>
    </w:r>
    <w:r w:rsidR="00003FCF">
      <w:rPr>
        <w:noProof/>
        <w:lang w:val="pl-PL" w:eastAsia="pl-PL"/>
      </w:rPr>
      <w:drawing>
        <wp:anchor distT="0" distB="0" distL="114300" distR="114300" simplePos="0" relativeHeight="251663360" behindDoc="0" locked="0" layoutInCell="1" allowOverlap="1" wp14:anchorId="1365764F" wp14:editId="548A93AD">
          <wp:simplePos x="0" y="0"/>
          <wp:positionH relativeFrom="column">
            <wp:posOffset>4700905</wp:posOffset>
          </wp:positionH>
          <wp:positionV relativeFrom="paragraph">
            <wp:posOffset>-316230</wp:posOffset>
          </wp:positionV>
          <wp:extent cx="1906270" cy="952500"/>
          <wp:effectExtent l="0" t="0" r="0" b="0"/>
          <wp:wrapThrough wrapText="bothSides">
            <wp:wrapPolygon edited="0">
              <wp:start x="0" y="0"/>
              <wp:lineTo x="0" y="21168"/>
              <wp:lineTo x="21370" y="21168"/>
              <wp:lineTo x="2137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4Tra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627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BA1"/>
    <w:multiLevelType w:val="hybridMultilevel"/>
    <w:tmpl w:val="C6DA120E"/>
    <w:lvl w:ilvl="0" w:tplc="3DA200F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066245"/>
    <w:multiLevelType w:val="hybridMultilevel"/>
    <w:tmpl w:val="1D909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3428E4"/>
    <w:multiLevelType w:val="hybridMultilevel"/>
    <w:tmpl w:val="B4BAD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C7235"/>
    <w:multiLevelType w:val="hybridMultilevel"/>
    <w:tmpl w:val="710E9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50297E"/>
    <w:multiLevelType w:val="hybridMultilevel"/>
    <w:tmpl w:val="E1421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391BD2"/>
    <w:multiLevelType w:val="hybridMultilevel"/>
    <w:tmpl w:val="EF701EC4"/>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6" w15:restartNumberingAfterBreak="0">
    <w:nsid w:val="2F080A0F"/>
    <w:multiLevelType w:val="hybridMultilevel"/>
    <w:tmpl w:val="FA4CF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B4DC0"/>
    <w:multiLevelType w:val="hybridMultilevel"/>
    <w:tmpl w:val="2A28C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6C5F4A"/>
    <w:multiLevelType w:val="hybridMultilevel"/>
    <w:tmpl w:val="DFEA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1B20B5"/>
    <w:multiLevelType w:val="hybridMultilevel"/>
    <w:tmpl w:val="DECCC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B1729D"/>
    <w:multiLevelType w:val="hybridMultilevel"/>
    <w:tmpl w:val="B1E65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D30436"/>
    <w:multiLevelType w:val="hybridMultilevel"/>
    <w:tmpl w:val="7FC8A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CF19C6"/>
    <w:multiLevelType w:val="hybridMultilevel"/>
    <w:tmpl w:val="E194A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1B521F"/>
    <w:multiLevelType w:val="hybridMultilevel"/>
    <w:tmpl w:val="8C784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1932A0"/>
    <w:multiLevelType w:val="hybridMultilevel"/>
    <w:tmpl w:val="DEB0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D453E5"/>
    <w:multiLevelType w:val="hybridMultilevel"/>
    <w:tmpl w:val="8B420D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CD6B5D"/>
    <w:multiLevelType w:val="hybridMultilevel"/>
    <w:tmpl w:val="1FBA7D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2D52476"/>
    <w:multiLevelType w:val="hybridMultilevel"/>
    <w:tmpl w:val="E3980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1659F1"/>
    <w:multiLevelType w:val="hybridMultilevel"/>
    <w:tmpl w:val="618EE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5"/>
  </w:num>
  <w:num w:numId="5">
    <w:abstractNumId w:val="4"/>
  </w:num>
  <w:num w:numId="6">
    <w:abstractNumId w:val="8"/>
  </w:num>
  <w:num w:numId="7">
    <w:abstractNumId w:val="10"/>
  </w:num>
  <w:num w:numId="8">
    <w:abstractNumId w:val="3"/>
  </w:num>
  <w:num w:numId="9">
    <w:abstractNumId w:val="1"/>
  </w:num>
  <w:num w:numId="10">
    <w:abstractNumId w:val="7"/>
  </w:num>
  <w:num w:numId="11">
    <w:abstractNumId w:val="11"/>
  </w:num>
  <w:num w:numId="12">
    <w:abstractNumId w:val="13"/>
  </w:num>
  <w:num w:numId="13">
    <w:abstractNumId w:val="17"/>
  </w:num>
  <w:num w:numId="14">
    <w:abstractNumId w:val="14"/>
  </w:num>
  <w:num w:numId="15">
    <w:abstractNumId w:val="2"/>
  </w:num>
  <w:num w:numId="16">
    <w:abstractNumId w:val="12"/>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5"/>
    <w:rsid w:val="0000241C"/>
    <w:rsid w:val="00002778"/>
    <w:rsid w:val="00003FCF"/>
    <w:rsid w:val="0000479C"/>
    <w:rsid w:val="00004DD8"/>
    <w:rsid w:val="00011777"/>
    <w:rsid w:val="000141E6"/>
    <w:rsid w:val="000555C1"/>
    <w:rsid w:val="00056B72"/>
    <w:rsid w:val="0006290E"/>
    <w:rsid w:val="00070FC6"/>
    <w:rsid w:val="00073E00"/>
    <w:rsid w:val="00074183"/>
    <w:rsid w:val="00094246"/>
    <w:rsid w:val="000A13B9"/>
    <w:rsid w:val="000B360A"/>
    <w:rsid w:val="000B41CA"/>
    <w:rsid w:val="000B56B4"/>
    <w:rsid w:val="000B72F6"/>
    <w:rsid w:val="000D4B5E"/>
    <w:rsid w:val="0012626B"/>
    <w:rsid w:val="00167C10"/>
    <w:rsid w:val="00181382"/>
    <w:rsid w:val="00192D4F"/>
    <w:rsid w:val="00195EB5"/>
    <w:rsid w:val="00196144"/>
    <w:rsid w:val="001A4F26"/>
    <w:rsid w:val="001E1C5E"/>
    <w:rsid w:val="001E42C2"/>
    <w:rsid w:val="001F272D"/>
    <w:rsid w:val="001F2744"/>
    <w:rsid w:val="001F3949"/>
    <w:rsid w:val="001F3D58"/>
    <w:rsid w:val="00201BD1"/>
    <w:rsid w:val="0028333E"/>
    <w:rsid w:val="002B5BE2"/>
    <w:rsid w:val="002B7E90"/>
    <w:rsid w:val="002C4861"/>
    <w:rsid w:val="002C53A0"/>
    <w:rsid w:val="002D2C73"/>
    <w:rsid w:val="002F7E64"/>
    <w:rsid w:val="003039A1"/>
    <w:rsid w:val="00351181"/>
    <w:rsid w:val="00377D8F"/>
    <w:rsid w:val="00380124"/>
    <w:rsid w:val="00383303"/>
    <w:rsid w:val="00394D19"/>
    <w:rsid w:val="003A4575"/>
    <w:rsid w:val="003C0674"/>
    <w:rsid w:val="003D1CCA"/>
    <w:rsid w:val="003F0149"/>
    <w:rsid w:val="003F2877"/>
    <w:rsid w:val="003F3A24"/>
    <w:rsid w:val="004011E8"/>
    <w:rsid w:val="00405537"/>
    <w:rsid w:val="00406841"/>
    <w:rsid w:val="00414FFB"/>
    <w:rsid w:val="004178A5"/>
    <w:rsid w:val="00436FAF"/>
    <w:rsid w:val="00452F47"/>
    <w:rsid w:val="00460B47"/>
    <w:rsid w:val="00465724"/>
    <w:rsid w:val="004712E0"/>
    <w:rsid w:val="004A1CED"/>
    <w:rsid w:val="004B3495"/>
    <w:rsid w:val="004E214D"/>
    <w:rsid w:val="004E4BA9"/>
    <w:rsid w:val="004F2FE1"/>
    <w:rsid w:val="00501407"/>
    <w:rsid w:val="0052034C"/>
    <w:rsid w:val="005250BC"/>
    <w:rsid w:val="00526F63"/>
    <w:rsid w:val="00533CC9"/>
    <w:rsid w:val="00534D96"/>
    <w:rsid w:val="00550E29"/>
    <w:rsid w:val="00551204"/>
    <w:rsid w:val="00561126"/>
    <w:rsid w:val="005657EC"/>
    <w:rsid w:val="00571FA7"/>
    <w:rsid w:val="00573BE9"/>
    <w:rsid w:val="00574EC0"/>
    <w:rsid w:val="00605EB6"/>
    <w:rsid w:val="00627225"/>
    <w:rsid w:val="00627A18"/>
    <w:rsid w:val="00631EA9"/>
    <w:rsid w:val="00637D31"/>
    <w:rsid w:val="006568E7"/>
    <w:rsid w:val="00662948"/>
    <w:rsid w:val="0067493E"/>
    <w:rsid w:val="00685929"/>
    <w:rsid w:val="00692CB7"/>
    <w:rsid w:val="006A31DE"/>
    <w:rsid w:val="006B02F2"/>
    <w:rsid w:val="006B4ABC"/>
    <w:rsid w:val="006E65D4"/>
    <w:rsid w:val="006F5B5B"/>
    <w:rsid w:val="007027D7"/>
    <w:rsid w:val="0070710F"/>
    <w:rsid w:val="007118D5"/>
    <w:rsid w:val="0072155E"/>
    <w:rsid w:val="0072300C"/>
    <w:rsid w:val="00731B63"/>
    <w:rsid w:val="00764218"/>
    <w:rsid w:val="00776434"/>
    <w:rsid w:val="00776576"/>
    <w:rsid w:val="00783723"/>
    <w:rsid w:val="007933CC"/>
    <w:rsid w:val="007A416D"/>
    <w:rsid w:val="007C0C12"/>
    <w:rsid w:val="007D0A0B"/>
    <w:rsid w:val="007E5902"/>
    <w:rsid w:val="007F14E8"/>
    <w:rsid w:val="00800CF7"/>
    <w:rsid w:val="008256A9"/>
    <w:rsid w:val="008321F7"/>
    <w:rsid w:val="00835F0D"/>
    <w:rsid w:val="00842903"/>
    <w:rsid w:val="0087700D"/>
    <w:rsid w:val="008B04E3"/>
    <w:rsid w:val="008C59D0"/>
    <w:rsid w:val="008D5B35"/>
    <w:rsid w:val="00900BF2"/>
    <w:rsid w:val="00901669"/>
    <w:rsid w:val="00903282"/>
    <w:rsid w:val="00905ABB"/>
    <w:rsid w:val="00906813"/>
    <w:rsid w:val="009237F0"/>
    <w:rsid w:val="00947F7C"/>
    <w:rsid w:val="00951BF7"/>
    <w:rsid w:val="00995539"/>
    <w:rsid w:val="00995E00"/>
    <w:rsid w:val="009973C6"/>
    <w:rsid w:val="009B00FF"/>
    <w:rsid w:val="00A22094"/>
    <w:rsid w:val="00A61963"/>
    <w:rsid w:val="00A82821"/>
    <w:rsid w:val="00A85477"/>
    <w:rsid w:val="00A9019E"/>
    <w:rsid w:val="00AA3A03"/>
    <w:rsid w:val="00AA7777"/>
    <w:rsid w:val="00AB4E58"/>
    <w:rsid w:val="00AD1372"/>
    <w:rsid w:val="00AE495C"/>
    <w:rsid w:val="00AE51EC"/>
    <w:rsid w:val="00AE557A"/>
    <w:rsid w:val="00AF4CA1"/>
    <w:rsid w:val="00B04115"/>
    <w:rsid w:val="00B317FC"/>
    <w:rsid w:val="00B34EEF"/>
    <w:rsid w:val="00B35C1F"/>
    <w:rsid w:val="00B452C7"/>
    <w:rsid w:val="00B47C1C"/>
    <w:rsid w:val="00B5736B"/>
    <w:rsid w:val="00B737FF"/>
    <w:rsid w:val="00B94FFD"/>
    <w:rsid w:val="00BB3793"/>
    <w:rsid w:val="00BB7C71"/>
    <w:rsid w:val="00BC043D"/>
    <w:rsid w:val="00BC12A2"/>
    <w:rsid w:val="00BD609D"/>
    <w:rsid w:val="00C04470"/>
    <w:rsid w:val="00C277E1"/>
    <w:rsid w:val="00C32B40"/>
    <w:rsid w:val="00C414AC"/>
    <w:rsid w:val="00C44AC5"/>
    <w:rsid w:val="00C47C9E"/>
    <w:rsid w:val="00C526AF"/>
    <w:rsid w:val="00C56EB5"/>
    <w:rsid w:val="00C710C2"/>
    <w:rsid w:val="00C822AB"/>
    <w:rsid w:val="00CA30DC"/>
    <w:rsid w:val="00CF5F2B"/>
    <w:rsid w:val="00D02CD1"/>
    <w:rsid w:val="00D17865"/>
    <w:rsid w:val="00D2505F"/>
    <w:rsid w:val="00D3128A"/>
    <w:rsid w:val="00D31545"/>
    <w:rsid w:val="00D33085"/>
    <w:rsid w:val="00D40C4B"/>
    <w:rsid w:val="00D53266"/>
    <w:rsid w:val="00D557DC"/>
    <w:rsid w:val="00D60398"/>
    <w:rsid w:val="00D621E2"/>
    <w:rsid w:val="00D62496"/>
    <w:rsid w:val="00D632B0"/>
    <w:rsid w:val="00D663B0"/>
    <w:rsid w:val="00D908E2"/>
    <w:rsid w:val="00D91356"/>
    <w:rsid w:val="00DA11EC"/>
    <w:rsid w:val="00DD01B9"/>
    <w:rsid w:val="00DD0B26"/>
    <w:rsid w:val="00E024EA"/>
    <w:rsid w:val="00E33CAE"/>
    <w:rsid w:val="00E5355B"/>
    <w:rsid w:val="00E607A0"/>
    <w:rsid w:val="00E72474"/>
    <w:rsid w:val="00E82078"/>
    <w:rsid w:val="00E825D6"/>
    <w:rsid w:val="00E84CB9"/>
    <w:rsid w:val="00EA2EC3"/>
    <w:rsid w:val="00EB0244"/>
    <w:rsid w:val="00EB52F6"/>
    <w:rsid w:val="00EB5F1C"/>
    <w:rsid w:val="00EB7F8B"/>
    <w:rsid w:val="00EE07C5"/>
    <w:rsid w:val="00EE0A7A"/>
    <w:rsid w:val="00F0407A"/>
    <w:rsid w:val="00F261DF"/>
    <w:rsid w:val="00F60F71"/>
    <w:rsid w:val="00F62084"/>
    <w:rsid w:val="00F7150D"/>
    <w:rsid w:val="00F90850"/>
    <w:rsid w:val="00FA46F8"/>
    <w:rsid w:val="00FA6D95"/>
    <w:rsid w:val="00FD52C0"/>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823C36B"/>
  <w15:chartTrackingRefBased/>
  <w15:docId w15:val="{97B255FB-D346-49FB-A452-8F6FE4C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BD1"/>
  </w:style>
  <w:style w:type="paragraph" w:styleId="Nagwek1">
    <w:name w:val="heading 1"/>
    <w:basedOn w:val="Normalny"/>
    <w:next w:val="Normalny"/>
    <w:link w:val="Nagwek1Znak"/>
    <w:uiPriority w:val="9"/>
    <w:qFormat/>
    <w:rsid w:val="00201BD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201BD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201BD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01BD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01BD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01BD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01BD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01BD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01BD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1BD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01BD1"/>
  </w:style>
  <w:style w:type="paragraph" w:styleId="Stopka">
    <w:name w:val="footer"/>
    <w:basedOn w:val="Normalny"/>
    <w:link w:val="StopkaZnak"/>
    <w:uiPriority w:val="99"/>
    <w:unhideWhenUsed/>
    <w:rsid w:val="00201BD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01BD1"/>
  </w:style>
  <w:style w:type="paragraph" w:customStyle="1" w:styleId="L-I-EU-pagenumber">
    <w:name w:val="L-I-EU-page number"/>
    <w:basedOn w:val="Normalny"/>
    <w:link w:val="L-I-EU-pagenumberCar"/>
    <w:rsid w:val="00201BD1"/>
    <w:pPr>
      <w:spacing w:after="200" w:line="360" w:lineRule="auto"/>
      <w:jc w:val="right"/>
    </w:pPr>
    <w:rPr>
      <w:rFonts w:ascii="Arial" w:eastAsia="Arial" w:hAnsi="Arial" w:cs="Times New Roman"/>
      <w:sz w:val="18"/>
      <w:szCs w:val="18"/>
      <w:lang w:val="fr-FR"/>
    </w:rPr>
  </w:style>
  <w:style w:type="character" w:customStyle="1" w:styleId="L-I-EU-pagenumberCar">
    <w:name w:val="L-I-EU-page number Car"/>
    <w:basedOn w:val="Domylnaczcionkaakapitu"/>
    <w:link w:val="L-I-EU-pagenumber"/>
    <w:rsid w:val="00201BD1"/>
    <w:rPr>
      <w:rFonts w:ascii="Arial" w:eastAsia="Arial" w:hAnsi="Arial" w:cs="Times New Roman"/>
      <w:sz w:val="18"/>
      <w:szCs w:val="18"/>
      <w:lang w:val="fr-FR"/>
    </w:rPr>
  </w:style>
  <w:style w:type="paragraph" w:customStyle="1" w:styleId="L-I-EU-footnote">
    <w:name w:val="L-I-EU-footnote"/>
    <w:basedOn w:val="Normalny"/>
    <w:link w:val="L-I-EU-footnoteCar"/>
    <w:rsid w:val="00201BD1"/>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Domylnaczcionkaakapitu"/>
    <w:link w:val="L-I-EU-footnote"/>
    <w:rsid w:val="00201BD1"/>
    <w:rPr>
      <w:rFonts w:ascii="Arial" w:eastAsia="Arial" w:hAnsi="Arial" w:cs="Times New Roman"/>
      <w:sz w:val="14"/>
      <w:szCs w:val="14"/>
      <w:lang w:val="fr-FR"/>
    </w:rPr>
  </w:style>
  <w:style w:type="paragraph" w:styleId="Tekstdymka">
    <w:name w:val="Balloon Text"/>
    <w:basedOn w:val="Normalny"/>
    <w:link w:val="TekstdymkaZnak"/>
    <w:uiPriority w:val="99"/>
    <w:semiHidden/>
    <w:unhideWhenUsed/>
    <w:rsid w:val="00201B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BD1"/>
    <w:rPr>
      <w:rFonts w:ascii="Segoe UI" w:hAnsi="Segoe UI" w:cs="Segoe UI"/>
      <w:sz w:val="18"/>
      <w:szCs w:val="18"/>
    </w:rPr>
  </w:style>
  <w:style w:type="character" w:customStyle="1" w:styleId="Nagwek1Znak">
    <w:name w:val="Nagłówek 1 Znak"/>
    <w:basedOn w:val="Domylnaczcionkaakapitu"/>
    <w:link w:val="Nagwek1"/>
    <w:uiPriority w:val="9"/>
    <w:rsid w:val="00201BD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201BD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201BD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01BD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01BD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01BD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01BD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01BD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01BD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01BD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01BD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01BD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01BD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01BD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201BD1"/>
    <w:rPr>
      <w:b/>
      <w:bCs/>
    </w:rPr>
  </w:style>
  <w:style w:type="character" w:styleId="Uwydatnienie">
    <w:name w:val="Emphasis"/>
    <w:basedOn w:val="Domylnaczcionkaakapitu"/>
    <w:uiPriority w:val="20"/>
    <w:qFormat/>
    <w:rsid w:val="00201BD1"/>
    <w:rPr>
      <w:i/>
      <w:iCs/>
    </w:rPr>
  </w:style>
  <w:style w:type="paragraph" w:styleId="Bezodstpw">
    <w:name w:val="No Spacing"/>
    <w:link w:val="BezodstpwZnak"/>
    <w:uiPriority w:val="1"/>
    <w:qFormat/>
    <w:rsid w:val="00201BD1"/>
    <w:pPr>
      <w:spacing w:after="0" w:line="240" w:lineRule="auto"/>
    </w:pPr>
  </w:style>
  <w:style w:type="character" w:customStyle="1" w:styleId="BezodstpwZnak">
    <w:name w:val="Bez odstępów Znak"/>
    <w:basedOn w:val="Domylnaczcionkaakapitu"/>
    <w:link w:val="Bezodstpw"/>
    <w:uiPriority w:val="1"/>
    <w:rsid w:val="00201BD1"/>
  </w:style>
  <w:style w:type="paragraph" w:styleId="Akapitzlist">
    <w:name w:val="List Paragraph"/>
    <w:basedOn w:val="Normalny"/>
    <w:uiPriority w:val="34"/>
    <w:qFormat/>
    <w:rsid w:val="00201BD1"/>
    <w:pPr>
      <w:ind w:left="720"/>
      <w:contextualSpacing/>
    </w:pPr>
  </w:style>
  <w:style w:type="paragraph" w:styleId="Cytat">
    <w:name w:val="Quote"/>
    <w:basedOn w:val="Normalny"/>
    <w:next w:val="Normalny"/>
    <w:link w:val="CytatZnak"/>
    <w:uiPriority w:val="29"/>
    <w:qFormat/>
    <w:rsid w:val="00201BD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01BD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01BD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01BD1"/>
    <w:rPr>
      <w:color w:val="404040" w:themeColor="text1" w:themeTint="BF"/>
      <w:sz w:val="32"/>
      <w:szCs w:val="32"/>
    </w:rPr>
  </w:style>
  <w:style w:type="character" w:styleId="Wyrnieniedelikatne">
    <w:name w:val="Subtle Emphasis"/>
    <w:basedOn w:val="Domylnaczcionkaakapitu"/>
    <w:uiPriority w:val="19"/>
    <w:qFormat/>
    <w:rsid w:val="00201BD1"/>
    <w:rPr>
      <w:i/>
      <w:iCs/>
      <w:color w:val="595959" w:themeColor="text1" w:themeTint="A6"/>
    </w:rPr>
  </w:style>
  <w:style w:type="character" w:styleId="Wyrnienieintensywne">
    <w:name w:val="Intense Emphasis"/>
    <w:basedOn w:val="Domylnaczcionkaakapitu"/>
    <w:uiPriority w:val="21"/>
    <w:qFormat/>
    <w:rsid w:val="00201BD1"/>
    <w:rPr>
      <w:b/>
      <w:bCs/>
      <w:i/>
      <w:iCs/>
    </w:rPr>
  </w:style>
  <w:style w:type="character" w:styleId="Odwoaniedelikatne">
    <w:name w:val="Subtle Reference"/>
    <w:basedOn w:val="Domylnaczcionkaakapitu"/>
    <w:uiPriority w:val="31"/>
    <w:qFormat/>
    <w:rsid w:val="00201BD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01BD1"/>
    <w:rPr>
      <w:b/>
      <w:bCs/>
      <w:caps w:val="0"/>
      <w:smallCaps/>
      <w:color w:val="auto"/>
      <w:spacing w:val="3"/>
      <w:u w:val="single"/>
    </w:rPr>
  </w:style>
  <w:style w:type="character" w:styleId="Tytuksiki">
    <w:name w:val="Book Title"/>
    <w:basedOn w:val="Domylnaczcionkaakapitu"/>
    <w:uiPriority w:val="33"/>
    <w:qFormat/>
    <w:rsid w:val="00201BD1"/>
    <w:rPr>
      <w:b/>
      <w:bCs/>
      <w:smallCaps/>
      <w:spacing w:val="7"/>
    </w:rPr>
  </w:style>
  <w:style w:type="paragraph" w:styleId="Nagwekspisutreci">
    <w:name w:val="TOC Heading"/>
    <w:basedOn w:val="Nagwek1"/>
    <w:next w:val="Normalny"/>
    <w:uiPriority w:val="39"/>
    <w:semiHidden/>
    <w:unhideWhenUsed/>
    <w:qFormat/>
    <w:rsid w:val="00201BD1"/>
    <w:pPr>
      <w:outlineLvl w:val="9"/>
    </w:pPr>
  </w:style>
  <w:style w:type="table" w:styleId="Tabela-Siatka">
    <w:name w:val="Table Grid"/>
    <w:basedOn w:val="Standardowy"/>
    <w:uiPriority w:val="39"/>
    <w:rsid w:val="00BB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5902"/>
    <w:rPr>
      <w:sz w:val="16"/>
      <w:szCs w:val="16"/>
    </w:rPr>
  </w:style>
  <w:style w:type="paragraph" w:styleId="Tekstkomentarza">
    <w:name w:val="annotation text"/>
    <w:basedOn w:val="Normalny"/>
    <w:link w:val="TekstkomentarzaZnak"/>
    <w:uiPriority w:val="99"/>
    <w:semiHidden/>
    <w:unhideWhenUsed/>
    <w:rsid w:val="007E59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902"/>
    <w:rPr>
      <w:sz w:val="20"/>
      <w:szCs w:val="20"/>
    </w:rPr>
  </w:style>
  <w:style w:type="paragraph" w:styleId="Tematkomentarza">
    <w:name w:val="annotation subject"/>
    <w:basedOn w:val="Tekstkomentarza"/>
    <w:next w:val="Tekstkomentarza"/>
    <w:link w:val="TematkomentarzaZnak"/>
    <w:uiPriority w:val="99"/>
    <w:semiHidden/>
    <w:unhideWhenUsed/>
    <w:rsid w:val="007E5902"/>
    <w:rPr>
      <w:b/>
      <w:bCs/>
    </w:rPr>
  </w:style>
  <w:style w:type="character" w:customStyle="1" w:styleId="TematkomentarzaZnak">
    <w:name w:val="Temat komentarza Znak"/>
    <w:basedOn w:val="TekstkomentarzaZnak"/>
    <w:link w:val="Tematkomentarza"/>
    <w:uiPriority w:val="99"/>
    <w:semiHidden/>
    <w:rsid w:val="007E5902"/>
    <w:rPr>
      <w:b/>
      <w:bCs/>
      <w:sz w:val="20"/>
      <w:szCs w:val="20"/>
    </w:rPr>
  </w:style>
  <w:style w:type="character" w:styleId="Hipercze">
    <w:name w:val="Hyperlink"/>
    <w:basedOn w:val="Domylnaczcionkaakapitu"/>
    <w:uiPriority w:val="99"/>
    <w:unhideWhenUsed/>
    <w:rsid w:val="003F0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06467">
      <w:bodyDiv w:val="1"/>
      <w:marLeft w:val="0"/>
      <w:marRight w:val="0"/>
      <w:marTop w:val="0"/>
      <w:marBottom w:val="0"/>
      <w:divBdr>
        <w:top w:val="none" w:sz="0" w:space="0" w:color="auto"/>
        <w:left w:val="none" w:sz="0" w:space="0" w:color="auto"/>
        <w:bottom w:val="none" w:sz="0" w:space="0" w:color="auto"/>
        <w:right w:val="none" w:sz="0" w:space="0" w:color="auto"/>
      </w:divBdr>
    </w:div>
    <w:div w:id="18145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6567-38A8-498D-9EC7-2DCA3D05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4723</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Bętkowski</dc:creator>
  <cp:keywords/>
  <dc:description/>
  <cp:lastModifiedBy>Małgorzata Piotrowicz</cp:lastModifiedBy>
  <cp:revision>6</cp:revision>
  <cp:lastPrinted>2018-01-31T11:29:00Z</cp:lastPrinted>
  <dcterms:created xsi:type="dcterms:W3CDTF">2019-10-02T11:30:00Z</dcterms:created>
  <dcterms:modified xsi:type="dcterms:W3CDTF">2019-10-03T09:35:00Z</dcterms:modified>
</cp:coreProperties>
</file>