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A3A" w:rsidRDefault="00600653">
      <w:pPr>
        <w:widowControl w:val="0"/>
        <w:spacing w:after="0"/>
        <w:jc w:val="center"/>
        <w:rPr>
          <w:rFonts w:ascii="Times New Roman" w:eastAsia="Times New Roman" w:hAnsi="Times New Roman" w:cs="Times New Roman"/>
          <w:sz w:val="24"/>
          <w:szCs w:val="24"/>
        </w:rPr>
      </w:pPr>
      <w:bookmarkStart w:id="0" w:name="_GoBack"/>
      <w:bookmarkEnd w:id="0"/>
      <w:r>
        <w:rPr>
          <w:b/>
          <w:color w:val="4F81BD"/>
          <w:sz w:val="32"/>
          <w:szCs w:val="32"/>
        </w:rPr>
        <w:t xml:space="preserve">Stakeholder Meeting </w:t>
      </w:r>
      <w:r>
        <w:rPr>
          <w:b/>
          <w:color w:val="4F81BD"/>
          <w:sz w:val="32"/>
          <w:szCs w:val="32"/>
        </w:rPr>
        <w:t>2</w:t>
      </w:r>
    </w:p>
    <w:p w:rsidR="00597A3A" w:rsidRDefault="00597A3A">
      <w:pPr>
        <w:widowControl w:val="0"/>
        <w:spacing w:after="0"/>
        <w:jc w:val="center"/>
        <w:rPr>
          <w:b/>
          <w:color w:val="E36C0A"/>
          <w:sz w:val="28"/>
          <w:szCs w:val="28"/>
        </w:rPr>
      </w:pPr>
    </w:p>
    <w:p w:rsidR="00597A3A" w:rsidRDefault="00600653">
      <w:pPr>
        <w:widowControl w:val="0"/>
        <w:spacing w:after="0"/>
        <w:jc w:val="center"/>
        <w:rPr>
          <w:b/>
          <w:color w:val="E36C0A"/>
          <w:sz w:val="28"/>
          <w:szCs w:val="28"/>
        </w:rPr>
      </w:pPr>
      <w:r>
        <w:rPr>
          <w:b/>
          <w:color w:val="E36C0A"/>
          <w:sz w:val="28"/>
          <w:szCs w:val="28"/>
        </w:rPr>
        <w:t xml:space="preserve">GOOD PRACTICE ASSESSMENT </w:t>
      </w:r>
    </w:p>
    <w:p w:rsidR="00597A3A" w:rsidRDefault="00600653">
      <w:pPr>
        <w:pStyle w:val="Ttulo1"/>
        <w:keepLines w:val="0"/>
        <w:spacing w:before="240"/>
        <w:rPr>
          <w:color w:val="2E75B5"/>
          <w:sz w:val="24"/>
          <w:szCs w:val="24"/>
        </w:rPr>
      </w:pPr>
      <w:r>
        <w:rPr>
          <w:color w:val="2E75B5"/>
          <w:sz w:val="24"/>
          <w:szCs w:val="24"/>
        </w:rPr>
        <w:t>To guide stakeholders scoring:</w:t>
      </w:r>
    </w:p>
    <w:tbl>
      <w:tblPr>
        <w:tblStyle w:val="a"/>
        <w:tblW w:w="9628" w:type="dxa"/>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680" w:firstRow="0" w:lastRow="0" w:firstColumn="1" w:lastColumn="0" w:noHBand="1" w:noVBand="1"/>
      </w:tblPr>
      <w:tblGrid>
        <w:gridCol w:w="1675"/>
        <w:gridCol w:w="7953"/>
      </w:tblGrid>
      <w:tr w:rsidR="00597A3A">
        <w:tc>
          <w:tcPr>
            <w:cnfStyle w:val="001000000000" w:firstRow="0" w:lastRow="0" w:firstColumn="1" w:lastColumn="0" w:oddVBand="0" w:evenVBand="0" w:oddHBand="0" w:evenHBand="0" w:firstRowFirstColumn="0" w:firstRowLastColumn="0" w:lastRowFirstColumn="0" w:lastRowLastColumn="0"/>
            <w:tcW w:w="1675" w:type="dxa"/>
          </w:tcPr>
          <w:p w:rsidR="00597A3A" w:rsidRDefault="00600653">
            <w:pPr>
              <w:widowControl w:val="0"/>
            </w:pPr>
            <w:r>
              <w:rPr>
                <w:b w:val="0"/>
              </w:rPr>
              <w:t>Relevance</w:t>
            </w:r>
          </w:p>
        </w:tc>
        <w:tc>
          <w:tcPr>
            <w:tcW w:w="7953" w:type="dxa"/>
          </w:tcPr>
          <w:p w:rsidR="00597A3A" w:rsidRDefault="00600653">
            <w:pPr>
              <w:widowControl w:val="0"/>
              <w:cnfStyle w:val="000000000000" w:firstRow="0" w:lastRow="0" w:firstColumn="0" w:lastColumn="0" w:oddVBand="0" w:evenVBand="0" w:oddHBand="0" w:evenHBand="0" w:firstRowFirstColumn="0" w:firstRowLastColumn="0" w:lastRowFirstColumn="0" w:lastRowLastColumn="0"/>
            </w:pPr>
            <w:r>
              <w:t>Do you consider that the GP addresses a relevant issue according to your own local/regional needs? Does it address emerging needs or gaps related to the promotion of entrepreneurial mindset or education? Does the GP take an appropriate approach to the topi</w:t>
            </w:r>
            <w:r>
              <w:t>c? Do you think the GP is relevant for your region?</w:t>
            </w:r>
          </w:p>
        </w:tc>
      </w:tr>
      <w:tr w:rsidR="00597A3A">
        <w:tc>
          <w:tcPr>
            <w:cnfStyle w:val="001000000000" w:firstRow="0" w:lastRow="0" w:firstColumn="1" w:lastColumn="0" w:oddVBand="0" w:evenVBand="0" w:oddHBand="0" w:evenHBand="0" w:firstRowFirstColumn="0" w:firstRowLastColumn="0" w:lastRowFirstColumn="0" w:lastRowLastColumn="0"/>
            <w:tcW w:w="1675" w:type="dxa"/>
          </w:tcPr>
          <w:p w:rsidR="00597A3A" w:rsidRDefault="00600653">
            <w:pPr>
              <w:widowControl w:val="0"/>
            </w:pPr>
            <w:r>
              <w:rPr>
                <w:b w:val="0"/>
              </w:rPr>
              <w:t>Transferability</w:t>
            </w:r>
          </w:p>
        </w:tc>
        <w:tc>
          <w:tcPr>
            <w:tcW w:w="7953" w:type="dxa"/>
          </w:tcPr>
          <w:p w:rsidR="00597A3A" w:rsidRDefault="00600653">
            <w:pPr>
              <w:widowControl w:val="0"/>
              <w:cnfStyle w:val="000000000000" w:firstRow="0" w:lastRow="0" w:firstColumn="0" w:lastColumn="0" w:oddVBand="0" w:evenVBand="0" w:oddHBand="0" w:evenHBand="0" w:firstRowFirstColumn="0" w:firstRowLastColumn="0" w:lastRowFirstColumn="0" w:lastRowLastColumn="0"/>
            </w:pPr>
            <w:r>
              <w:t>To what extent could the GP be implemented in your areas? Would it need major adaptation? Would it be costly? Does the description of the GP provide enough information to assess the possi</w:t>
            </w:r>
            <w:r>
              <w:t>ble transfer? And to undertake it?</w:t>
            </w:r>
          </w:p>
        </w:tc>
      </w:tr>
      <w:tr w:rsidR="00597A3A">
        <w:tc>
          <w:tcPr>
            <w:cnfStyle w:val="001000000000" w:firstRow="0" w:lastRow="0" w:firstColumn="1" w:lastColumn="0" w:oddVBand="0" w:evenVBand="0" w:oddHBand="0" w:evenHBand="0" w:firstRowFirstColumn="0" w:firstRowLastColumn="0" w:lastRowFirstColumn="0" w:lastRowLastColumn="0"/>
            <w:tcW w:w="1675" w:type="dxa"/>
          </w:tcPr>
          <w:p w:rsidR="00597A3A" w:rsidRDefault="00600653">
            <w:pPr>
              <w:widowControl w:val="0"/>
            </w:pPr>
            <w:r>
              <w:rPr>
                <w:b w:val="0"/>
              </w:rPr>
              <w:t>Innovativeness</w:t>
            </w:r>
          </w:p>
        </w:tc>
        <w:tc>
          <w:tcPr>
            <w:tcW w:w="7953" w:type="dxa"/>
          </w:tcPr>
          <w:p w:rsidR="00597A3A" w:rsidRDefault="00600653">
            <w:pPr>
              <w:widowControl w:val="0"/>
              <w:cnfStyle w:val="000000000000" w:firstRow="0" w:lastRow="0" w:firstColumn="0" w:lastColumn="0" w:oddVBand="0" w:evenVBand="0" w:oddHBand="0" w:evenHBand="0" w:firstRowFirstColumn="0" w:firstRowLastColumn="0" w:lastRowFirstColumn="0" w:lastRowLastColumn="0"/>
            </w:pPr>
            <w:r>
              <w:t>Does the GP take a new approach, methodology or idea to tackle the issues or difficulties identified? Does it use novel features or instruments? Would you consider the GP approach as original?</w:t>
            </w:r>
          </w:p>
        </w:tc>
      </w:tr>
    </w:tbl>
    <w:p w:rsidR="00597A3A" w:rsidRDefault="00597A3A">
      <w:pPr>
        <w:widowControl w:val="0"/>
      </w:pPr>
    </w:p>
    <w:p w:rsidR="00597A3A" w:rsidRDefault="00600653">
      <w:pPr>
        <w:pStyle w:val="Ttulo1"/>
        <w:keepLines w:val="0"/>
        <w:spacing w:before="240"/>
        <w:jc w:val="center"/>
        <w:rPr>
          <w:color w:val="2E75B5"/>
          <w:sz w:val="24"/>
          <w:szCs w:val="24"/>
        </w:rPr>
      </w:pPr>
      <w:r>
        <w:rPr>
          <w:color w:val="2E75B5"/>
          <w:sz w:val="24"/>
          <w:szCs w:val="24"/>
        </w:rPr>
        <w:t>Value scor</w:t>
      </w:r>
      <w:r>
        <w:rPr>
          <w:color w:val="2E75B5"/>
          <w:sz w:val="24"/>
          <w:szCs w:val="24"/>
        </w:rPr>
        <w:t>ing from 0 to 5 where:</w:t>
      </w:r>
    </w:p>
    <w:tbl>
      <w:tblPr>
        <w:tblStyle w:val="a0"/>
        <w:tblW w:w="5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810"/>
        <w:gridCol w:w="1267"/>
        <w:gridCol w:w="877"/>
        <w:gridCol w:w="1351"/>
      </w:tblGrid>
      <w:tr w:rsidR="00597A3A">
        <w:trPr>
          <w:jc w:val="center"/>
        </w:trPr>
        <w:tc>
          <w:tcPr>
            <w:tcW w:w="819" w:type="dxa"/>
          </w:tcPr>
          <w:p w:rsidR="00597A3A" w:rsidRDefault="00600653">
            <w:pPr>
              <w:widowControl w:val="0"/>
              <w:jc w:val="center"/>
              <w:rPr>
                <w:color w:val="2E75B5"/>
                <w:sz w:val="24"/>
                <w:szCs w:val="24"/>
              </w:rPr>
            </w:pPr>
            <w:r>
              <w:rPr>
                <w:color w:val="2E75B5"/>
                <w:sz w:val="24"/>
                <w:szCs w:val="24"/>
              </w:rPr>
              <w:t>1: null</w:t>
            </w:r>
          </w:p>
        </w:tc>
        <w:tc>
          <w:tcPr>
            <w:tcW w:w="810" w:type="dxa"/>
          </w:tcPr>
          <w:p w:rsidR="00597A3A" w:rsidRDefault="00600653">
            <w:pPr>
              <w:widowControl w:val="0"/>
              <w:jc w:val="center"/>
              <w:rPr>
                <w:color w:val="2E75B5"/>
                <w:sz w:val="24"/>
                <w:szCs w:val="24"/>
              </w:rPr>
            </w:pPr>
            <w:r>
              <w:rPr>
                <w:color w:val="2E75B5"/>
                <w:sz w:val="24"/>
                <w:szCs w:val="24"/>
              </w:rPr>
              <w:t>2: low</w:t>
            </w:r>
          </w:p>
        </w:tc>
        <w:tc>
          <w:tcPr>
            <w:tcW w:w="1267" w:type="dxa"/>
          </w:tcPr>
          <w:p w:rsidR="00597A3A" w:rsidRDefault="00600653">
            <w:pPr>
              <w:widowControl w:val="0"/>
              <w:jc w:val="center"/>
              <w:rPr>
                <w:color w:val="2E75B5"/>
                <w:sz w:val="24"/>
                <w:szCs w:val="24"/>
              </w:rPr>
            </w:pPr>
            <w:r>
              <w:rPr>
                <w:color w:val="2E75B5"/>
                <w:sz w:val="24"/>
                <w:szCs w:val="24"/>
              </w:rPr>
              <w:t>3: medium</w:t>
            </w:r>
          </w:p>
        </w:tc>
        <w:tc>
          <w:tcPr>
            <w:tcW w:w="877" w:type="dxa"/>
          </w:tcPr>
          <w:p w:rsidR="00597A3A" w:rsidRDefault="00600653">
            <w:pPr>
              <w:widowControl w:val="0"/>
              <w:jc w:val="center"/>
              <w:rPr>
                <w:color w:val="2E75B5"/>
                <w:sz w:val="24"/>
                <w:szCs w:val="24"/>
              </w:rPr>
            </w:pPr>
            <w:r>
              <w:rPr>
                <w:color w:val="2E75B5"/>
                <w:sz w:val="24"/>
                <w:szCs w:val="24"/>
              </w:rPr>
              <w:t>4: high</w:t>
            </w:r>
          </w:p>
        </w:tc>
        <w:tc>
          <w:tcPr>
            <w:tcW w:w="1351" w:type="dxa"/>
          </w:tcPr>
          <w:p w:rsidR="00597A3A" w:rsidRDefault="00600653">
            <w:pPr>
              <w:widowControl w:val="0"/>
              <w:jc w:val="center"/>
              <w:rPr>
                <w:color w:val="2E75B5"/>
                <w:sz w:val="24"/>
                <w:szCs w:val="24"/>
              </w:rPr>
            </w:pPr>
            <w:r>
              <w:rPr>
                <w:color w:val="2E75B5"/>
                <w:sz w:val="24"/>
                <w:szCs w:val="24"/>
              </w:rPr>
              <w:t>5: very high</w:t>
            </w:r>
          </w:p>
        </w:tc>
      </w:tr>
    </w:tbl>
    <w:p w:rsidR="00597A3A" w:rsidRDefault="00597A3A">
      <w:pPr>
        <w:widowControl w:val="0"/>
        <w:rPr>
          <w:b/>
          <w:color w:val="E36C0A"/>
          <w:sz w:val="28"/>
          <w:szCs w:val="28"/>
        </w:rPr>
      </w:pPr>
    </w:p>
    <w:p w:rsidR="00597A3A" w:rsidRDefault="00597A3A">
      <w:pPr>
        <w:widowControl w:val="0"/>
        <w:spacing w:after="0"/>
        <w:jc w:val="center"/>
        <w:rPr>
          <w:b/>
          <w:color w:val="E36C0A"/>
          <w:sz w:val="28"/>
          <w:szCs w:val="28"/>
        </w:rPr>
      </w:pPr>
    </w:p>
    <w:p w:rsidR="00597A3A" w:rsidRDefault="00600653">
      <w:pPr>
        <w:rPr>
          <w:b/>
          <w:u w:val="single"/>
        </w:rPr>
      </w:pPr>
      <w:r>
        <w:rPr>
          <w:b/>
          <w:u w:val="single"/>
        </w:rPr>
        <w:t>Group 1: Entrepreneurship Education &amp; Stimulation</w:t>
      </w: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4327"/>
        <w:gridCol w:w="1986"/>
        <w:gridCol w:w="559"/>
      </w:tblGrid>
      <w:tr w:rsidR="00597A3A">
        <w:trPr>
          <w:trHeight w:val="300"/>
        </w:trPr>
        <w:tc>
          <w:tcPr>
            <w:tcW w:w="3039" w:type="dxa"/>
            <w:shd w:val="clear" w:color="auto" w:fill="002060"/>
          </w:tcPr>
          <w:p w:rsidR="00597A3A" w:rsidRDefault="00600653">
            <w:pPr>
              <w:rPr>
                <w:color w:val="FFFFFF"/>
                <w:sz w:val="28"/>
                <w:szCs w:val="28"/>
              </w:rPr>
            </w:pPr>
            <w:r>
              <w:rPr>
                <w:color w:val="FFFFFF"/>
                <w:sz w:val="28"/>
                <w:szCs w:val="28"/>
              </w:rPr>
              <w:t>Regional Dev. Fund - Region of Attica (EL)</w:t>
            </w:r>
          </w:p>
        </w:tc>
        <w:tc>
          <w:tcPr>
            <w:tcW w:w="4327" w:type="dxa"/>
            <w:shd w:val="clear" w:color="auto" w:fill="002060"/>
            <w:vAlign w:val="bottom"/>
          </w:tcPr>
          <w:p w:rsidR="00597A3A" w:rsidRDefault="00600653">
            <w:pPr>
              <w:rPr>
                <w:color w:val="FFFFFF"/>
                <w:sz w:val="28"/>
                <w:szCs w:val="28"/>
              </w:rPr>
            </w:pPr>
            <w:r>
              <w:rPr>
                <w:color w:val="FFFFFF"/>
                <w:sz w:val="28"/>
                <w:szCs w:val="28"/>
              </w:rPr>
              <w:t>Youth Entrepreneurship Summer Program</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pPr>
              <w:spacing w:before="60" w:after="60"/>
            </w:pPr>
            <w:r>
              <w:t>The Yes Program is designed to offer students hands-on activities on the operation of a business and a general view of the business world.</w:t>
            </w:r>
          </w:p>
          <w:p w:rsidR="00597A3A" w:rsidRDefault="00600653">
            <w:pPr>
              <w:spacing w:before="60" w:after="60"/>
            </w:pPr>
            <w:r>
              <w:t>During summer school, seminars and workshops are organized by teachers of the University as well as prominent busines</w:t>
            </w:r>
            <w:r>
              <w:t>smen, who share their experience and knowledge with the students.</w:t>
            </w:r>
          </w:p>
          <w:p w:rsidR="00597A3A" w:rsidRDefault="00600653">
            <w:pPr>
              <w:spacing w:before="60" w:after="60"/>
            </w:pPr>
            <w:r>
              <w:t>The YES program is organized and implemented by Athens University of Economics and Business – Department of Management Science and Technology.</w:t>
            </w:r>
          </w:p>
          <w:p w:rsidR="00597A3A" w:rsidRDefault="00600653">
            <w:pPr>
              <w:spacing w:before="60" w:after="60"/>
            </w:pPr>
            <w:r>
              <w:t>The program is targeted at students of the seco</w:t>
            </w:r>
            <w:r>
              <w:t>ndary school (mostly 2nd and 3rd class of high school), who want to gain knowledge and skills needed to run businesses.</w:t>
            </w:r>
          </w:p>
          <w:p w:rsidR="00597A3A" w:rsidRDefault="00600653">
            <w:pPr>
              <w:spacing w:before="60" w:after="60"/>
            </w:pPr>
            <w:r>
              <w:t>The Good Practice is classified as Public Private Cooperation on Entrepreneurial Education as the project is implemented by a public uni</w:t>
            </w:r>
            <w:r>
              <w:t>versity and at the same time it is funded by private individuals (businesses).</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rPr>
          <w:b/>
          <w:u w:val="single"/>
        </w:rPr>
      </w:pPr>
    </w:p>
    <w:tbl>
      <w:tblPr>
        <w:tblStyle w:val="a2"/>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4327"/>
        <w:gridCol w:w="1986"/>
        <w:gridCol w:w="559"/>
      </w:tblGrid>
      <w:tr w:rsidR="00597A3A">
        <w:trPr>
          <w:trHeight w:val="300"/>
        </w:trPr>
        <w:tc>
          <w:tcPr>
            <w:tcW w:w="3039" w:type="dxa"/>
            <w:shd w:val="clear" w:color="auto" w:fill="002060"/>
          </w:tcPr>
          <w:p w:rsidR="00597A3A" w:rsidRDefault="00600653">
            <w:pPr>
              <w:rPr>
                <w:color w:val="FFFFFF"/>
              </w:rPr>
            </w:pPr>
            <w:r>
              <w:rPr>
                <w:color w:val="FFFFFF"/>
              </w:rPr>
              <w:lastRenderedPageBreak/>
              <w:t>Seville Chamber of Commerce (ES)</w:t>
            </w:r>
          </w:p>
        </w:tc>
        <w:tc>
          <w:tcPr>
            <w:tcW w:w="4327" w:type="dxa"/>
            <w:shd w:val="clear" w:color="auto" w:fill="002060"/>
          </w:tcPr>
          <w:p w:rsidR="00597A3A" w:rsidRDefault="00600653">
            <w:pPr>
              <w:rPr>
                <w:color w:val="FFFFFF"/>
              </w:rPr>
            </w:pPr>
            <w:r>
              <w:rPr>
                <w:color w:val="FFFFFF"/>
              </w:rPr>
              <w:t>Andalucia Emprende Prosperity for Future</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r>
              <w:t>Andalucia Emprende fosters the entrepreneurial culture at the PUBLIC EDUCATIONAL SYSTEM, boosting entrepreneurial skills and knowledge from kindergartens to Universities.  It includes: 2.9</w:t>
            </w:r>
            <w:r>
              <w:t>81 training events at schools</w:t>
            </w:r>
          </w:p>
          <w:p w:rsidR="00597A3A" w:rsidRDefault="00600653">
            <w:r>
              <w:t>Participation of 125.180 students, entrepreneurship fairs, innovative ideas competition.  A complete programme including continuous participation of private sector.</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204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rPr>
          <w:b/>
          <w:u w:val="single"/>
        </w:rPr>
      </w:pPr>
    </w:p>
    <w:p w:rsidR="00597A3A" w:rsidRDefault="00600653">
      <w:pPr>
        <w:rPr>
          <w:b/>
          <w:u w:val="single"/>
        </w:rPr>
      </w:pPr>
      <w:r>
        <w:br w:type="page"/>
      </w:r>
    </w:p>
    <w:tbl>
      <w:tblPr>
        <w:tblStyle w:val="a3"/>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1986"/>
        <w:gridCol w:w="559"/>
      </w:tblGrid>
      <w:tr w:rsidR="00597A3A">
        <w:trPr>
          <w:trHeight w:val="300"/>
        </w:trPr>
        <w:tc>
          <w:tcPr>
            <w:tcW w:w="2405" w:type="dxa"/>
            <w:shd w:val="clear" w:color="auto" w:fill="002060"/>
          </w:tcPr>
          <w:p w:rsidR="00597A3A" w:rsidRDefault="00600653">
            <w:pPr>
              <w:rPr>
                <w:color w:val="FFFFFF"/>
                <w:sz w:val="28"/>
                <w:szCs w:val="28"/>
              </w:rPr>
            </w:pPr>
            <w:r>
              <w:rPr>
                <w:color w:val="FFFFFF"/>
                <w:sz w:val="28"/>
                <w:szCs w:val="28"/>
              </w:rPr>
              <w:lastRenderedPageBreak/>
              <w:t>Hanze University Groningen (NL)</w:t>
            </w:r>
          </w:p>
        </w:tc>
        <w:tc>
          <w:tcPr>
            <w:tcW w:w="4961" w:type="dxa"/>
            <w:shd w:val="clear" w:color="auto" w:fill="002060"/>
          </w:tcPr>
          <w:p w:rsidR="00597A3A" w:rsidRDefault="00600653">
            <w:pPr>
              <w:spacing w:after="0"/>
              <w:rPr>
                <w:color w:val="FFFFFF"/>
                <w:sz w:val="28"/>
                <w:szCs w:val="28"/>
              </w:rPr>
            </w:pPr>
            <w:r>
              <w:rPr>
                <w:color w:val="FFFFFF"/>
                <w:sz w:val="28"/>
                <w:szCs w:val="28"/>
              </w:rPr>
              <w:t xml:space="preserve">Towards Explorative Space in the North of the Netherlands. Entrepreneurial mindset from youngsters from 6 till adulthood                                                  </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r>
              <w:t>Towards Explorative Space is method for schools that conti</w:t>
            </w:r>
            <w:r>
              <w:t>nuously influences/stimulates the entrepreneurial mindset of young people from 6 years old to adulthood.</w:t>
            </w:r>
          </w:p>
          <w:p w:rsidR="00597A3A" w:rsidRDefault="00600653">
            <w:r>
              <w:t>Towards explorative space, the creation/facilitation of spaces in which an entrepreneurial mindset from youngsters from 6 till adulthood can flourish</w:t>
            </w:r>
          </w:p>
        </w:tc>
        <w:tc>
          <w:tcPr>
            <w:tcW w:w="1986" w:type="dxa"/>
            <w:shd w:val="clear" w:color="auto" w:fill="F2F2F2"/>
          </w:tcPr>
          <w:p w:rsidR="00597A3A" w:rsidRDefault="00600653">
            <w:pPr>
              <w:spacing w:before="60" w:after="60"/>
            </w:pPr>
            <w:r>
              <w:t>R</w:t>
            </w:r>
            <w:r>
              <w:t>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158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spacing w:after="0"/>
        <w:rPr>
          <w:b/>
          <w:u w:val="single"/>
        </w:rPr>
      </w:pPr>
    </w:p>
    <w:tbl>
      <w:tblPr>
        <w:tblStyle w:val="a4"/>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4535"/>
        <w:gridCol w:w="1986"/>
        <w:gridCol w:w="559"/>
      </w:tblGrid>
      <w:tr w:rsidR="00597A3A">
        <w:trPr>
          <w:trHeight w:val="300"/>
        </w:trPr>
        <w:tc>
          <w:tcPr>
            <w:tcW w:w="2831" w:type="dxa"/>
            <w:shd w:val="clear" w:color="auto" w:fill="002060"/>
          </w:tcPr>
          <w:p w:rsidR="00597A3A" w:rsidRDefault="00600653">
            <w:pPr>
              <w:rPr>
                <w:color w:val="FFFFFF"/>
                <w:sz w:val="28"/>
                <w:szCs w:val="28"/>
              </w:rPr>
            </w:pPr>
            <w:r>
              <w:rPr>
                <w:color w:val="FFFFFF"/>
                <w:sz w:val="28"/>
                <w:szCs w:val="28"/>
              </w:rPr>
              <w:t>Devon County Council (UK)</w:t>
            </w:r>
          </w:p>
        </w:tc>
        <w:tc>
          <w:tcPr>
            <w:tcW w:w="4535" w:type="dxa"/>
            <w:shd w:val="clear" w:color="auto" w:fill="002060"/>
          </w:tcPr>
          <w:p w:rsidR="00597A3A" w:rsidRDefault="00600653">
            <w:pPr>
              <w:rPr>
                <w:color w:val="FFFFFF"/>
                <w:sz w:val="28"/>
                <w:szCs w:val="28"/>
              </w:rPr>
            </w:pPr>
            <w:r>
              <w:rPr>
                <w:color w:val="FFFFFF"/>
                <w:sz w:val="28"/>
                <w:szCs w:val="28"/>
              </w:rPr>
              <w:t>The Gatsby benchmarks and the Careers Hub modal</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r>
              <w:t>The presentation will cover the research of The Gatsby foundation which gives schools 8 benchmarks characterising excellent careers and enterprise education. This leads on to the Careers Hub modal which supports schools to progress towards achievement of t</w:t>
            </w:r>
            <w:r>
              <w:t>heir Gatsby benchmarks.</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152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spacing w:after="0"/>
        <w:rPr>
          <w:b/>
          <w:u w:val="single"/>
        </w:rPr>
      </w:pPr>
    </w:p>
    <w:tbl>
      <w:tblPr>
        <w:tblStyle w:val="a5"/>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4535"/>
        <w:gridCol w:w="1986"/>
        <w:gridCol w:w="559"/>
      </w:tblGrid>
      <w:tr w:rsidR="00597A3A">
        <w:trPr>
          <w:trHeight w:val="300"/>
        </w:trPr>
        <w:tc>
          <w:tcPr>
            <w:tcW w:w="2831" w:type="dxa"/>
            <w:shd w:val="clear" w:color="auto" w:fill="002060"/>
          </w:tcPr>
          <w:p w:rsidR="00597A3A" w:rsidRDefault="00600653">
            <w:pPr>
              <w:rPr>
                <w:color w:val="FFFFFF"/>
                <w:sz w:val="28"/>
                <w:szCs w:val="28"/>
              </w:rPr>
            </w:pPr>
            <w:r>
              <w:rPr>
                <w:color w:val="FFFFFF"/>
                <w:sz w:val="28"/>
                <w:szCs w:val="28"/>
              </w:rPr>
              <w:t>Zemgale Planning Region (LV)</w:t>
            </w:r>
          </w:p>
        </w:tc>
        <w:tc>
          <w:tcPr>
            <w:tcW w:w="4535" w:type="dxa"/>
            <w:shd w:val="clear" w:color="auto" w:fill="002060"/>
          </w:tcPr>
          <w:p w:rsidR="00597A3A" w:rsidRDefault="00600653">
            <w:pPr>
              <w:rPr>
                <w:color w:val="FFFFFF"/>
                <w:sz w:val="28"/>
                <w:szCs w:val="28"/>
              </w:rPr>
            </w:pPr>
            <w:r>
              <w:rPr>
                <w:color w:val="FFFFFF"/>
                <w:sz w:val="28"/>
                <w:szCs w:val="28"/>
              </w:rPr>
              <w:t>Start package on youth business mind</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bookmarkStart w:id="1" w:name="_gjdgxs" w:colFirst="0" w:colLast="0"/>
            <w:bookmarkEnd w:id="1"/>
            <w:r>
              <w:t>Out-of-school activity for young people in vocational and secondary education aimed at encouraging entrepreneurship, making them aware of the entrepreneurial processes and what involves becoming an entrepreneur, showing the backstage of the business (neces</w:t>
            </w:r>
            <w:r>
              <w:t>sary education, difficulties, benefits, obstacles etc.) through direct interaction with entrepreneurs. It also includes familiarisation with the “makers culture”.</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152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spacing w:after="0"/>
        <w:rPr>
          <w:b/>
          <w:u w:val="single"/>
        </w:rPr>
      </w:pPr>
    </w:p>
    <w:p w:rsidR="00597A3A" w:rsidRDefault="00600653">
      <w:pPr>
        <w:keepNext/>
        <w:spacing w:after="0"/>
        <w:rPr>
          <w:b/>
          <w:u w:val="single"/>
        </w:rPr>
      </w:pPr>
      <w:r>
        <w:br w:type="page"/>
      </w:r>
      <w:r>
        <w:rPr>
          <w:b/>
          <w:u w:val="single"/>
        </w:rPr>
        <w:t>Group 2: Youth Entrepreneurship Support Services</w:t>
      </w:r>
    </w:p>
    <w:p w:rsidR="00597A3A" w:rsidRDefault="00597A3A">
      <w:pPr>
        <w:keepNext/>
        <w:spacing w:after="0"/>
        <w:rPr>
          <w:b/>
          <w:u w:val="single"/>
        </w:rPr>
      </w:pPr>
    </w:p>
    <w:tbl>
      <w:tblPr>
        <w:tblStyle w:val="a6"/>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4327"/>
        <w:gridCol w:w="1986"/>
        <w:gridCol w:w="559"/>
      </w:tblGrid>
      <w:tr w:rsidR="00597A3A">
        <w:tc>
          <w:tcPr>
            <w:tcW w:w="3039" w:type="dxa"/>
            <w:shd w:val="clear" w:color="auto" w:fill="002060"/>
          </w:tcPr>
          <w:p w:rsidR="00597A3A" w:rsidRDefault="00600653">
            <w:pPr>
              <w:rPr>
                <w:color w:val="FFFFFF"/>
                <w:sz w:val="28"/>
                <w:szCs w:val="28"/>
              </w:rPr>
            </w:pPr>
            <w:r>
              <w:rPr>
                <w:color w:val="FFFFFF"/>
                <w:sz w:val="28"/>
                <w:szCs w:val="28"/>
              </w:rPr>
              <w:t>Puglia Region (IT)</w:t>
            </w:r>
          </w:p>
        </w:tc>
        <w:tc>
          <w:tcPr>
            <w:tcW w:w="4327" w:type="dxa"/>
            <w:shd w:val="clear" w:color="auto" w:fill="002060"/>
          </w:tcPr>
          <w:p w:rsidR="00597A3A" w:rsidRDefault="00600653">
            <w:pPr>
              <w:rPr>
                <w:color w:val="FFFFFF"/>
                <w:sz w:val="28"/>
                <w:szCs w:val="28"/>
              </w:rPr>
            </w:pPr>
            <w:r>
              <w:rPr>
                <w:color w:val="FFFFFF"/>
                <w:sz w:val="28"/>
                <w:szCs w:val="28"/>
              </w:rPr>
              <w:t>Giovani Innovatori in Azienda</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c>
          <w:tcPr>
            <w:tcW w:w="7366" w:type="dxa"/>
            <w:gridSpan w:val="2"/>
            <w:vMerge w:val="restart"/>
          </w:tcPr>
          <w:p w:rsidR="00597A3A" w:rsidRDefault="00600653">
            <w:r>
              <w:t>Giovani Innovatori in Azienda matches specific needs/demands for innovation from Apulian SMEs with innovative solutions proposed d</w:t>
            </w:r>
            <w:r>
              <w:t>irectly by young innovators. Thus, it supports young people’s potential to innovate and creates opportunities for applying and testing innovative ideas in a company/business framework. At the same time, it potentiates territorial SMEs by supporting their a</w:t>
            </w:r>
            <w:r>
              <w:t>ccess to innovative ideas and thus increases sustainability and longevity of the Apulian SME system.</w:t>
            </w:r>
          </w:p>
          <w:p w:rsidR="00597A3A" w:rsidRDefault="00600653">
            <w:r>
              <w:t>Giovani Innovatori in Azienda is a pilot action realised to test the impact of creating collaborations and innovation in SMEs through collecting innovative</w:t>
            </w:r>
            <w:r>
              <w:t xml:space="preserve"> ideas directly from young people and facilitating autonomous matches with the territorial SME system.</w:t>
            </w:r>
          </w:p>
          <w:p w:rsidR="00597A3A" w:rsidRDefault="00600653">
            <w:r>
              <w:t>Functionality:</w:t>
            </w:r>
          </w:p>
          <w:p w:rsidR="00597A3A" w:rsidRDefault="00600653">
            <w:r>
              <w:t>1. Collection and publication of innovative ideas for business development from young people and need assessments collected from SMEs. Ide</w:t>
            </w:r>
            <w:r>
              <w:t>as and needs published on a dedicated website.</w:t>
            </w:r>
          </w:p>
          <w:p w:rsidR="00597A3A" w:rsidRDefault="00600653">
            <w:r>
              <w:t>2. SMEs and young innovators invited to autonomously identify and contact interesting counterparts, to meet and to join forces for the creation and submission of a common executive project. Projects must be cl</w:t>
            </w:r>
            <w:r>
              <w:t>early structured and aimed at tangible, evaluable outputs (deliverables).</w:t>
            </w:r>
          </w:p>
          <w:p w:rsidR="00597A3A" w:rsidRDefault="00600653">
            <w:r>
              <w:t>3. Support to implementation of all selected executive projects by ensuring a three-month paid position of the young innovator to realise his/her idea within the reference company.</w:t>
            </w:r>
          </w:p>
          <w:p w:rsidR="00597A3A" w:rsidRDefault="00600653">
            <w:r>
              <w:t>4</w:t>
            </w:r>
            <w:r>
              <w:t>. Monitoring of in itinere and ex-post developments.</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600653">
      <w:pPr>
        <w:keepNext/>
        <w:spacing w:after="0"/>
        <w:rPr>
          <w:b/>
          <w:u w:val="single"/>
        </w:rPr>
      </w:pPr>
      <w:r>
        <w:br w:type="page"/>
      </w:r>
    </w:p>
    <w:tbl>
      <w:tblPr>
        <w:tblStyle w:val="a7"/>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4676"/>
        <w:gridCol w:w="1986"/>
        <w:gridCol w:w="559"/>
      </w:tblGrid>
      <w:tr w:rsidR="00597A3A">
        <w:trPr>
          <w:trHeight w:val="300"/>
        </w:trPr>
        <w:tc>
          <w:tcPr>
            <w:tcW w:w="2690" w:type="dxa"/>
            <w:shd w:val="clear" w:color="auto" w:fill="002060"/>
          </w:tcPr>
          <w:p w:rsidR="00597A3A" w:rsidRDefault="00600653">
            <w:pPr>
              <w:rPr>
                <w:color w:val="FFFFFF"/>
                <w:sz w:val="28"/>
                <w:szCs w:val="28"/>
              </w:rPr>
            </w:pPr>
            <w:r>
              <w:rPr>
                <w:color w:val="FFFFFF"/>
                <w:sz w:val="28"/>
                <w:szCs w:val="28"/>
              </w:rPr>
              <w:t>South Moravian Region (CZ)</w:t>
            </w:r>
          </w:p>
        </w:tc>
        <w:tc>
          <w:tcPr>
            <w:tcW w:w="4676" w:type="dxa"/>
            <w:shd w:val="clear" w:color="auto" w:fill="002060"/>
          </w:tcPr>
          <w:p w:rsidR="00597A3A" w:rsidRDefault="00600653">
            <w:pPr>
              <w:rPr>
                <w:color w:val="FFFFFF"/>
                <w:sz w:val="28"/>
                <w:szCs w:val="28"/>
              </w:rPr>
            </w:pPr>
            <w:r>
              <w:rPr>
                <w:color w:val="FFFFFF"/>
                <w:sz w:val="28"/>
                <w:szCs w:val="28"/>
              </w:rPr>
              <w:t>JIC as a place, where new businesses that change the world are born</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r>
              <w:t xml:space="preserve">JIC is an example of a public institution, which connects private and public sector in long-term and actively creates and develops broader innovation ecosystem. </w:t>
            </w:r>
            <w:r>
              <w:t>In last 15 years of existence, it becomes a centre connecting all important players - public institutions, private companies, universities etc. JIC was at a start of many ideas and projects, who grew up into successful global companies. In this use case, w</w:t>
            </w:r>
            <w:r>
              <w:t>e will mention key factors behind these results and reasons, why is so important to support innovation, technologies and entrepreneurship.</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204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keepNext/>
        <w:spacing w:after="0"/>
        <w:rPr>
          <w:b/>
          <w:u w:val="single"/>
        </w:rPr>
      </w:pPr>
    </w:p>
    <w:tbl>
      <w:tblPr>
        <w:tblStyle w:val="a8"/>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4327"/>
        <w:gridCol w:w="1986"/>
        <w:gridCol w:w="559"/>
      </w:tblGrid>
      <w:tr w:rsidR="00597A3A">
        <w:trPr>
          <w:trHeight w:val="300"/>
        </w:trPr>
        <w:tc>
          <w:tcPr>
            <w:tcW w:w="3039" w:type="dxa"/>
            <w:shd w:val="clear" w:color="auto" w:fill="002060"/>
          </w:tcPr>
          <w:p w:rsidR="00597A3A" w:rsidRDefault="00600653">
            <w:pPr>
              <w:rPr>
                <w:color w:val="FFFFFF"/>
                <w:sz w:val="28"/>
                <w:szCs w:val="28"/>
              </w:rPr>
            </w:pPr>
            <w:r>
              <w:rPr>
                <w:color w:val="FFFFFF"/>
                <w:sz w:val="28"/>
                <w:szCs w:val="28"/>
              </w:rPr>
              <w:t>South Moravian Region (CZ)</w:t>
            </w:r>
          </w:p>
        </w:tc>
        <w:tc>
          <w:tcPr>
            <w:tcW w:w="4327" w:type="dxa"/>
            <w:shd w:val="clear" w:color="auto" w:fill="002060"/>
          </w:tcPr>
          <w:p w:rsidR="00597A3A" w:rsidRDefault="00600653">
            <w:pPr>
              <w:rPr>
                <w:color w:val="FFFFFF"/>
                <w:sz w:val="28"/>
                <w:szCs w:val="28"/>
              </w:rPr>
            </w:pPr>
            <w:r>
              <w:rPr>
                <w:color w:val="FFFFFF"/>
                <w:sz w:val="28"/>
                <w:szCs w:val="28"/>
              </w:rPr>
              <w:t>Project Playpark Brno</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pPr>
              <w:jc w:val="both"/>
            </w:pPr>
            <w:r>
              <w:t>Project Playpark Brno aims to help beginning entrepreneurs build a sustainable entrepreneurial project from the early stages of a business idea. Thanks to cooperation with Podnikni to! (Business it!) the attendees work with professional entrepreneurs who h</w:t>
            </w:r>
            <w:r>
              <w:t>elp them transform their ideas into functional business cases and then practically validate their idea’s potential with the market. The cooperation between Playpark Brno and Podnikni to! (Business it!) has resulted in several projects being chosen as one o</w:t>
            </w:r>
            <w:r>
              <w:t>f the best in the region while one project (Life Saving Bracelet) has won the first prize in an international start-up event in Stuttgart and has since developed into a company with global potential.</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254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600653">
      <w:pPr>
        <w:keepNext/>
        <w:spacing w:after="0"/>
        <w:rPr>
          <w:b/>
          <w:u w:val="single"/>
        </w:rPr>
      </w:pPr>
      <w:r>
        <w:br w:type="page"/>
      </w:r>
    </w:p>
    <w:tbl>
      <w:tblPr>
        <w:tblStyle w:val="a9"/>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4327"/>
        <w:gridCol w:w="1986"/>
        <w:gridCol w:w="559"/>
      </w:tblGrid>
      <w:tr w:rsidR="00597A3A">
        <w:trPr>
          <w:trHeight w:val="300"/>
        </w:trPr>
        <w:tc>
          <w:tcPr>
            <w:tcW w:w="3039" w:type="dxa"/>
            <w:shd w:val="clear" w:color="auto" w:fill="002060"/>
          </w:tcPr>
          <w:p w:rsidR="00597A3A" w:rsidRDefault="00600653">
            <w:pPr>
              <w:rPr>
                <w:color w:val="FFFFFF"/>
                <w:sz w:val="28"/>
                <w:szCs w:val="28"/>
              </w:rPr>
            </w:pPr>
            <w:r>
              <w:rPr>
                <w:color w:val="FFFFFF"/>
                <w:sz w:val="28"/>
                <w:szCs w:val="28"/>
              </w:rPr>
              <w:t>Harghita County Council (RO)</w:t>
            </w:r>
          </w:p>
        </w:tc>
        <w:tc>
          <w:tcPr>
            <w:tcW w:w="4327" w:type="dxa"/>
            <w:shd w:val="clear" w:color="auto" w:fill="002060"/>
          </w:tcPr>
          <w:p w:rsidR="00597A3A" w:rsidRDefault="00600653">
            <w:pPr>
              <w:rPr>
                <w:color w:val="FFFFFF"/>
                <w:sz w:val="28"/>
                <w:szCs w:val="28"/>
              </w:rPr>
            </w:pPr>
            <w:r>
              <w:rPr>
                <w:color w:val="FFFFFF"/>
                <w:sz w:val="28"/>
                <w:szCs w:val="28"/>
              </w:rPr>
              <w:t>Harghita Business Center</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pPr>
              <w:jc w:val="both"/>
            </w:pPr>
            <w:r>
              <w:t>Incubator house</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204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keepNext/>
        <w:spacing w:after="0"/>
        <w:rPr>
          <w:b/>
          <w:u w:val="single"/>
        </w:rPr>
      </w:pPr>
    </w:p>
    <w:tbl>
      <w:tblPr>
        <w:tblStyle w:val="aa"/>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4327"/>
        <w:gridCol w:w="1986"/>
        <w:gridCol w:w="559"/>
      </w:tblGrid>
      <w:tr w:rsidR="00597A3A">
        <w:trPr>
          <w:trHeight w:val="300"/>
        </w:trPr>
        <w:tc>
          <w:tcPr>
            <w:tcW w:w="3039" w:type="dxa"/>
            <w:shd w:val="clear" w:color="auto" w:fill="002060"/>
          </w:tcPr>
          <w:p w:rsidR="00597A3A" w:rsidRDefault="00600653">
            <w:pPr>
              <w:rPr>
                <w:color w:val="FFFFFF"/>
                <w:sz w:val="28"/>
                <w:szCs w:val="28"/>
              </w:rPr>
            </w:pPr>
            <w:r>
              <w:rPr>
                <w:color w:val="FFFFFF"/>
                <w:sz w:val="28"/>
                <w:szCs w:val="28"/>
              </w:rPr>
              <w:t>Opole Agglomeration (PL)</w:t>
            </w:r>
          </w:p>
        </w:tc>
        <w:tc>
          <w:tcPr>
            <w:tcW w:w="4327" w:type="dxa"/>
            <w:shd w:val="clear" w:color="auto" w:fill="002060"/>
          </w:tcPr>
          <w:p w:rsidR="00597A3A" w:rsidRDefault="00600653">
            <w:pPr>
              <w:rPr>
                <w:color w:val="FFFFFF"/>
                <w:sz w:val="28"/>
                <w:szCs w:val="28"/>
              </w:rPr>
            </w:pPr>
            <w:r>
              <w:rPr>
                <w:color w:val="FFFFFF"/>
                <w:sz w:val="28"/>
                <w:szCs w:val="28"/>
              </w:rPr>
              <w:t>Startup Mixer Opole</w:t>
            </w:r>
          </w:p>
        </w:tc>
        <w:tc>
          <w:tcPr>
            <w:tcW w:w="2545" w:type="dxa"/>
            <w:gridSpan w:val="2"/>
            <w:shd w:val="clear" w:color="auto" w:fill="002060"/>
            <w:vAlign w:val="bottom"/>
          </w:tcPr>
          <w:p w:rsidR="00597A3A" w:rsidRDefault="00600653">
            <w:pPr>
              <w:jc w:val="center"/>
              <w:rPr>
                <w:color w:val="FFFFFF"/>
              </w:rPr>
            </w:pPr>
            <w:r>
              <w:rPr>
                <w:color w:val="FFFFFF"/>
              </w:rPr>
              <w:t>Scoring (1=low to 5=high)</w:t>
            </w:r>
          </w:p>
        </w:tc>
      </w:tr>
      <w:tr w:rsidR="00597A3A">
        <w:trPr>
          <w:trHeight w:val="300"/>
        </w:trPr>
        <w:tc>
          <w:tcPr>
            <w:tcW w:w="7366" w:type="dxa"/>
            <w:gridSpan w:val="2"/>
            <w:vMerge w:val="restart"/>
          </w:tcPr>
          <w:p w:rsidR="00597A3A" w:rsidRDefault="00600653">
            <w:pPr>
              <w:jc w:val="both"/>
            </w:pPr>
            <w:r>
              <w:t>Start-up Mixer is an initiative organized by two business incubators (AIP Opole and PNT Opole) to integrate and exchange experience of the Opole start-up environment. Mixer is divided into the official part wi</w:t>
            </w:r>
            <w:r>
              <w:t>th presentations of Opole start-ups and unofficial - networking, in which you can freely talk with all participants. An expert is invited for each event - an entrepreneur who shares his experience. Website: http://mixeropole.pl</w:t>
            </w:r>
          </w:p>
        </w:tc>
        <w:tc>
          <w:tcPr>
            <w:tcW w:w="1986" w:type="dxa"/>
            <w:shd w:val="clear" w:color="auto" w:fill="F2F2F2"/>
          </w:tcPr>
          <w:p w:rsidR="00597A3A" w:rsidRDefault="00600653">
            <w:pPr>
              <w:spacing w:before="60" w:after="60"/>
            </w:pPr>
            <w:r>
              <w:t>Relevance</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Transferability</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1986" w:type="dxa"/>
            <w:shd w:val="clear" w:color="auto" w:fill="F2F2F2"/>
          </w:tcPr>
          <w:p w:rsidR="00597A3A" w:rsidRDefault="00600653">
            <w:pPr>
              <w:spacing w:before="60" w:after="60"/>
            </w:pPr>
            <w:r>
              <w:t>Innovativeness</w:t>
            </w:r>
          </w:p>
        </w:tc>
        <w:tc>
          <w:tcPr>
            <w:tcW w:w="559" w:type="dxa"/>
          </w:tcPr>
          <w:p w:rsidR="00597A3A" w:rsidRDefault="00597A3A">
            <w:pPr>
              <w:spacing w:before="60" w:after="60"/>
            </w:pPr>
          </w:p>
        </w:tc>
      </w:tr>
      <w:tr w:rsidR="00597A3A">
        <w:trPr>
          <w:trHeight w:val="30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shd w:val="clear" w:color="auto" w:fill="002060"/>
          </w:tcPr>
          <w:p w:rsidR="00597A3A" w:rsidRDefault="00600653">
            <w:pPr>
              <w:rPr>
                <w:color w:val="FFFFFF"/>
              </w:rPr>
            </w:pPr>
            <w:r>
              <w:rPr>
                <w:color w:val="FFFFFF"/>
              </w:rPr>
              <w:t>Questions:</w:t>
            </w:r>
          </w:p>
        </w:tc>
      </w:tr>
      <w:tr w:rsidR="00597A3A">
        <w:trPr>
          <w:trHeight w:val="2040"/>
        </w:trPr>
        <w:tc>
          <w:tcPr>
            <w:tcW w:w="7366" w:type="dxa"/>
            <w:gridSpan w:val="2"/>
            <w:vMerge/>
          </w:tcPr>
          <w:p w:rsidR="00597A3A" w:rsidRDefault="00597A3A">
            <w:pPr>
              <w:widowControl w:val="0"/>
              <w:pBdr>
                <w:top w:val="nil"/>
                <w:left w:val="nil"/>
                <w:bottom w:val="nil"/>
                <w:right w:val="nil"/>
                <w:between w:val="nil"/>
              </w:pBdr>
              <w:spacing w:before="0" w:after="0" w:line="276" w:lineRule="auto"/>
            </w:pPr>
          </w:p>
        </w:tc>
        <w:tc>
          <w:tcPr>
            <w:tcW w:w="2545" w:type="dxa"/>
            <w:gridSpan w:val="2"/>
          </w:tcPr>
          <w:p w:rsidR="00597A3A" w:rsidRDefault="00597A3A"/>
        </w:tc>
      </w:tr>
    </w:tbl>
    <w:p w:rsidR="00597A3A" w:rsidRDefault="00597A3A">
      <w:pPr>
        <w:keepNext/>
        <w:spacing w:after="0"/>
        <w:rPr>
          <w:b/>
          <w:u w:val="single"/>
        </w:rPr>
      </w:pPr>
    </w:p>
    <w:sectPr w:rsidR="00597A3A">
      <w:headerReference w:type="default" r:id="rId6"/>
      <w:pgSz w:w="11906" w:h="16838"/>
      <w:pgMar w:top="2410"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653" w:rsidRDefault="00600653">
      <w:pPr>
        <w:spacing w:before="0" w:after="0"/>
      </w:pPr>
      <w:r>
        <w:separator/>
      </w:r>
    </w:p>
  </w:endnote>
  <w:endnote w:type="continuationSeparator" w:id="0">
    <w:p w:rsidR="00600653" w:rsidRDefault="006006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653" w:rsidRDefault="00600653">
      <w:pPr>
        <w:spacing w:before="0" w:after="0"/>
      </w:pPr>
      <w:r>
        <w:separator/>
      </w:r>
    </w:p>
  </w:footnote>
  <w:footnote w:type="continuationSeparator" w:id="0">
    <w:p w:rsidR="00600653" w:rsidRDefault="006006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A3A" w:rsidRDefault="00597A3A">
    <w:pPr>
      <w:widowControl w:val="0"/>
      <w:pBdr>
        <w:top w:val="nil"/>
        <w:left w:val="nil"/>
        <w:bottom w:val="nil"/>
        <w:right w:val="nil"/>
        <w:between w:val="nil"/>
      </w:pBdr>
      <w:spacing w:before="0" w:after="0" w:line="276" w:lineRule="auto"/>
      <w:rPr>
        <w:b/>
        <w:u w:val="single"/>
      </w:rPr>
    </w:pPr>
  </w:p>
  <w:tbl>
    <w:tblPr>
      <w:tblStyle w:val="ab"/>
      <w:tblW w:w="9921" w:type="dxa"/>
      <w:tblInd w:w="0" w:type="dxa"/>
      <w:tblLayout w:type="fixed"/>
      <w:tblLook w:val="0400" w:firstRow="0" w:lastRow="0" w:firstColumn="0" w:lastColumn="0" w:noHBand="0" w:noVBand="1"/>
    </w:tblPr>
    <w:tblGrid>
      <w:gridCol w:w="4960"/>
      <w:gridCol w:w="4961"/>
    </w:tblGrid>
    <w:tr w:rsidR="00597A3A">
      <w:tc>
        <w:tcPr>
          <w:tcW w:w="4960" w:type="dxa"/>
        </w:tcPr>
        <w:p w:rsidR="00597A3A" w:rsidRDefault="00600653">
          <w:pPr>
            <w:widowControl w:val="0"/>
            <w:tabs>
              <w:tab w:val="left" w:pos="3900"/>
              <w:tab w:val="center" w:pos="4252"/>
              <w:tab w:val="right" w:pos="8504"/>
            </w:tabs>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586740"/>
                <wp:effectExtent l="0" t="0" r="0" b="0"/>
                <wp:docPr id="1" name="image1.png" descr="E-COOL"/>
                <wp:cNvGraphicFramePr/>
                <a:graphic xmlns:a="http://schemas.openxmlformats.org/drawingml/2006/main">
                  <a:graphicData uri="http://schemas.openxmlformats.org/drawingml/2006/picture">
                    <pic:pic xmlns:pic="http://schemas.openxmlformats.org/drawingml/2006/picture">
                      <pic:nvPicPr>
                        <pic:cNvPr id="0" name="image1.png" descr="E-COOL"/>
                        <pic:cNvPicPr preferRelativeResize="0"/>
                      </pic:nvPicPr>
                      <pic:blipFill>
                        <a:blip r:embed="rId1"/>
                        <a:srcRect l="15791" t="7310" b="11435"/>
                        <a:stretch>
                          <a:fillRect/>
                        </a:stretch>
                      </pic:blipFill>
                      <pic:spPr>
                        <a:xfrm>
                          <a:off x="0" y="0"/>
                          <a:ext cx="1219200" cy="586740"/>
                        </a:xfrm>
                        <a:prstGeom prst="rect">
                          <a:avLst/>
                        </a:prstGeom>
                        <a:ln/>
                      </pic:spPr>
                    </pic:pic>
                  </a:graphicData>
                </a:graphic>
              </wp:inline>
            </w:drawing>
          </w:r>
        </w:p>
        <w:p w:rsidR="00597A3A" w:rsidRDefault="00597A3A">
          <w:pPr>
            <w:widowControl w:val="0"/>
            <w:tabs>
              <w:tab w:val="left" w:pos="3900"/>
              <w:tab w:val="center" w:pos="4252"/>
              <w:tab w:val="right" w:pos="8504"/>
            </w:tabs>
            <w:spacing w:after="0"/>
            <w:rPr>
              <w:rFonts w:ascii="Times New Roman" w:eastAsia="Times New Roman" w:hAnsi="Times New Roman" w:cs="Times New Roman"/>
              <w:sz w:val="24"/>
              <w:szCs w:val="24"/>
            </w:rPr>
          </w:pPr>
        </w:p>
      </w:tc>
      <w:tc>
        <w:tcPr>
          <w:tcW w:w="4961" w:type="dxa"/>
        </w:tcPr>
        <w:p w:rsidR="00597A3A" w:rsidRDefault="00600653">
          <w:pPr>
            <w:widowControl w:val="0"/>
            <w:tabs>
              <w:tab w:val="left" w:pos="3900"/>
              <w:tab w:val="center" w:pos="4252"/>
              <w:tab w:val="right" w:pos="8504"/>
            </w:tabs>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54580" cy="6553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354580" cy="655320"/>
                        </a:xfrm>
                        <a:prstGeom prst="rect">
                          <a:avLst/>
                        </a:prstGeom>
                        <a:ln/>
                      </pic:spPr>
                    </pic:pic>
                  </a:graphicData>
                </a:graphic>
              </wp:inline>
            </w:drawing>
          </w:r>
        </w:p>
      </w:tc>
    </w:tr>
  </w:tbl>
  <w:p w:rsidR="00597A3A" w:rsidRDefault="00597A3A">
    <w:pPr>
      <w:pBdr>
        <w:top w:val="nil"/>
        <w:left w:val="nil"/>
        <w:bottom w:val="nil"/>
        <w:right w:val="nil"/>
        <w:between w:val="nil"/>
      </w:pBdr>
      <w:tabs>
        <w:tab w:val="center" w:pos="4252"/>
        <w:tab w:val="right" w:pos="8504"/>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3A"/>
    <w:rsid w:val="002E15F7"/>
    <w:rsid w:val="00597A3A"/>
    <w:rsid w:val="00600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0B367-34D1-443B-ACF4-EEA0A739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before="4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outlineLvl w:val="1"/>
    </w:pPr>
    <w:rPr>
      <w:b/>
      <w:sz w:val="36"/>
      <w:szCs w:val="36"/>
    </w:rPr>
  </w:style>
  <w:style w:type="paragraph" w:styleId="Ttulo3">
    <w:name w:val="heading 3"/>
    <w:basedOn w:val="Normal"/>
    <w:next w:val="Normal"/>
    <w:uiPriority w:val="9"/>
    <w:semiHidden/>
    <w:unhideWhenUsed/>
    <w:qFormat/>
    <w:pPr>
      <w:keepNext/>
      <w:keepLines/>
      <w:spacing w:before="2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pPr>
      <w:spacing w:before="0" w:after="0"/>
    </w:pPr>
    <w:tblPr>
      <w:tblStyleRowBandSize w:val="1"/>
      <w:tblStyleColBandSize w:val="1"/>
      <w:tblCellMar>
        <w:top w:w="0" w:type="dxa"/>
        <w:left w:w="115" w:type="dxa"/>
        <w:bottom w:w="0" w:type="dxa"/>
        <w:right w:w="115" w:type="dxa"/>
      </w:tblCellMar>
    </w:tblPr>
    <w:tcPr>
      <w:shd w:val="clear" w:color="auto" w:fill="DBE5F1"/>
    </w:tc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Furphy</dc:creator>
  <cp:lastModifiedBy>Anne Furphy</cp:lastModifiedBy>
  <cp:revision>2</cp:revision>
  <dcterms:created xsi:type="dcterms:W3CDTF">2019-04-24T12:53:00Z</dcterms:created>
  <dcterms:modified xsi:type="dcterms:W3CDTF">2019-04-24T12:53:00Z</dcterms:modified>
</cp:coreProperties>
</file>