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E2" w:rsidRPr="009B17B9" w:rsidRDefault="009B17B9" w:rsidP="00E97768">
      <w:pPr>
        <w:pStyle w:val="Tytu"/>
        <w:rPr>
          <w:sz w:val="68"/>
          <w:szCs w:val="68"/>
          <w:lang w:val="en-GB"/>
        </w:rPr>
      </w:pPr>
      <w:r w:rsidRPr="009B17B9">
        <w:rPr>
          <w:sz w:val="68"/>
          <w:szCs w:val="68"/>
          <w:lang w:val="en-GB"/>
        </w:rPr>
        <w:t>PE4trans - sustainable transport solutions for people</w:t>
      </w:r>
    </w:p>
    <w:p w:rsidR="00073E00" w:rsidRPr="009B17B9" w:rsidRDefault="009B17B9" w:rsidP="00177935">
      <w:pPr>
        <w:pStyle w:val="Nagwek1"/>
        <w:tabs>
          <w:tab w:val="left" w:pos="5730"/>
          <w:tab w:val="left" w:pos="6620"/>
        </w:tabs>
        <w:rPr>
          <w:lang w:val="en-GB"/>
        </w:rPr>
      </w:pPr>
      <w:r w:rsidRPr="009B17B9">
        <w:t xml:space="preserve">PE4Trans is an INTERRE EUROPE project which </w:t>
      </w:r>
      <w:r w:rsidRPr="009B17B9">
        <w:rPr>
          <w:lang w:val="en-GB"/>
        </w:rPr>
        <w:t>aims to improve public transport policies by including citizens to the process of design and implementation of sustainable transport strategies and plans.</w:t>
      </w:r>
      <w:r w:rsidR="00881F4C" w:rsidRPr="009B17B9">
        <w:rPr>
          <w:lang w:val="en-GB"/>
        </w:rPr>
        <w:tab/>
      </w:r>
      <w:r w:rsidR="00177935" w:rsidRPr="009B17B9">
        <w:rPr>
          <w:lang w:val="en-GB"/>
        </w:rPr>
        <w:tab/>
      </w:r>
    </w:p>
    <w:p w:rsidR="00073E00" w:rsidRPr="009B17B9" w:rsidRDefault="00073E00">
      <w:pPr>
        <w:rPr>
          <w:lang w:val="en-GB"/>
        </w:rPr>
      </w:pPr>
    </w:p>
    <w:p w:rsidR="009B17B9" w:rsidRDefault="009B17B9" w:rsidP="00DD4CC3">
      <w:pPr>
        <w:spacing w:after="0" w:line="276" w:lineRule="auto"/>
        <w:jc w:val="both"/>
        <w:rPr>
          <w:lang w:val="en-GB"/>
        </w:rPr>
      </w:pPr>
      <w:r w:rsidRPr="009B17B9">
        <w:t>PE4Trans stands for “Public Engagement for Sustainable Public Transport".</w:t>
      </w:r>
      <w:r>
        <w:t xml:space="preserve"> </w:t>
      </w:r>
      <w:r w:rsidRPr="009B17B9">
        <w:rPr>
          <w:lang w:val="en-GB"/>
        </w:rPr>
        <w:t>The long-term objective of the project is to change peoples’ mobility habits and routines into more sustainable and generating lower CO</w:t>
      </w:r>
      <w:r w:rsidRPr="009B17B9">
        <w:rPr>
          <w:vertAlign w:val="subscript"/>
          <w:lang w:val="en-GB"/>
        </w:rPr>
        <w:t>2</w:t>
      </w:r>
      <w:r w:rsidRPr="009B17B9">
        <w:rPr>
          <w:lang w:val="en-GB"/>
        </w:rPr>
        <w:t xml:space="preserve"> emissions.</w:t>
      </w:r>
    </w:p>
    <w:p w:rsidR="00DD4CC3" w:rsidRPr="009B17B9" w:rsidRDefault="00DD4CC3" w:rsidP="00DD4CC3">
      <w:pPr>
        <w:spacing w:after="0" w:line="276" w:lineRule="auto"/>
        <w:jc w:val="both"/>
        <w:rPr>
          <w:lang w:val="en-GB"/>
        </w:rPr>
      </w:pPr>
    </w:p>
    <w:p w:rsidR="009B17B9" w:rsidRDefault="009B17B9" w:rsidP="00DD4CC3">
      <w:pPr>
        <w:jc w:val="both"/>
      </w:pPr>
      <w:r w:rsidRPr="009B17B9">
        <w:t>PE4Trans addresses the issue of potential for improvement of public transport policies by including citizens to the process of design and implementation of sustainable transport strategies</w:t>
      </w:r>
      <w:r>
        <w:t xml:space="preserve">. We belief that is possible only by </w:t>
      </w:r>
      <w:r w:rsidRPr="009B17B9">
        <w:t>chang</w:t>
      </w:r>
      <w:r>
        <w:t>ing</w:t>
      </w:r>
      <w:r w:rsidRPr="009B17B9">
        <w:t xml:space="preserve"> peoples’ mobility habits and routines incorporating findings of </w:t>
      </w:r>
      <w:proofErr w:type="spellStart"/>
      <w:r w:rsidRPr="009B17B9">
        <w:t>behavioural</w:t>
      </w:r>
      <w:proofErr w:type="spellEnd"/>
      <w:r w:rsidRPr="009B17B9">
        <w:t xml:space="preserve"> sciences. </w:t>
      </w:r>
    </w:p>
    <w:p w:rsidR="00DD4CC3" w:rsidRDefault="009B17B9" w:rsidP="00DD4CC3">
      <w:pPr>
        <w:jc w:val="both"/>
      </w:pPr>
      <w:r w:rsidRPr="009B17B9">
        <w:t xml:space="preserve">P4Trans partners adopt the approach “for the people, by the people and with the people” as a guiding principle for the possible policy improvements, which go in two directions: </w:t>
      </w:r>
    </w:p>
    <w:p w:rsidR="00DD4CC3" w:rsidRDefault="009B17B9" w:rsidP="00DD4CC3">
      <w:pPr>
        <w:pStyle w:val="Akapitzlist"/>
        <w:numPr>
          <w:ilvl w:val="0"/>
          <w:numId w:val="1"/>
        </w:numPr>
        <w:jc w:val="both"/>
      </w:pPr>
      <w:r w:rsidRPr="009B17B9">
        <w:t xml:space="preserve">Influencing the citizens’ </w:t>
      </w:r>
      <w:proofErr w:type="spellStart"/>
      <w:r w:rsidRPr="009B17B9">
        <w:t>behavioural</w:t>
      </w:r>
      <w:proofErr w:type="spellEnd"/>
      <w:r w:rsidRPr="009B17B9">
        <w:t xml:space="preserve"> change using knowledge and good practices of environmental solutions based on economy, sociology and psychology developments to stimulate people towards more sustainable routines and ha</w:t>
      </w:r>
      <w:r w:rsidR="00DD4CC3">
        <w:t>bits,</w:t>
      </w:r>
    </w:p>
    <w:p w:rsidR="009B17B9" w:rsidRPr="009B17B9" w:rsidRDefault="009B17B9" w:rsidP="00DD4CC3">
      <w:pPr>
        <w:pStyle w:val="Akapitzlist"/>
        <w:numPr>
          <w:ilvl w:val="0"/>
          <w:numId w:val="1"/>
        </w:numPr>
        <w:jc w:val="both"/>
      </w:pPr>
      <w:r w:rsidRPr="009B17B9">
        <w:t>Launching in the participating territories transferable mechanisms of public engagem</w:t>
      </w:r>
      <w:r w:rsidR="00DD4CC3">
        <w:t>ent in policy makings processes.</w:t>
      </w:r>
    </w:p>
    <w:p w:rsidR="009B17B9" w:rsidRDefault="00DD4CC3" w:rsidP="00DD4CC3">
      <w:pPr>
        <w:jc w:val="both"/>
      </w:pPr>
      <w:r>
        <w:t>We work in a group of</w:t>
      </w:r>
      <w:r w:rsidRPr="006157AF">
        <w:t xml:space="preserve"> </w:t>
      </w:r>
      <w:r>
        <w:t xml:space="preserve">6 </w:t>
      </w:r>
      <w:r w:rsidRPr="006157AF">
        <w:t xml:space="preserve">partners in </w:t>
      </w:r>
      <w:r>
        <w:t>5</w:t>
      </w:r>
      <w:r w:rsidRPr="006157AF">
        <w:t xml:space="preserve"> European countries: Germany</w:t>
      </w:r>
      <w:r>
        <w:t xml:space="preserve"> (District of </w:t>
      </w:r>
      <w:proofErr w:type="spellStart"/>
      <w:r>
        <w:t>Graftschft</w:t>
      </w:r>
      <w:proofErr w:type="spellEnd"/>
      <w:r>
        <w:t xml:space="preserve"> </w:t>
      </w:r>
      <w:proofErr w:type="spellStart"/>
      <w:r>
        <w:t>Bentheim</w:t>
      </w:r>
      <w:proofErr w:type="spellEnd"/>
      <w:r>
        <w:t>)</w:t>
      </w:r>
      <w:r w:rsidRPr="006157AF">
        <w:t>,</w:t>
      </w:r>
      <w:r>
        <w:t xml:space="preserve"> Greece (</w:t>
      </w:r>
      <w:r w:rsidRPr="00E9158D">
        <w:t>Region of Central Macedonia</w:t>
      </w:r>
      <w:r>
        <w:t>),</w:t>
      </w:r>
      <w:r w:rsidRPr="006157AF">
        <w:t xml:space="preserve"> Poland</w:t>
      </w:r>
      <w:r>
        <w:t xml:space="preserve"> (Kalisz-</w:t>
      </w:r>
      <w:proofErr w:type="spellStart"/>
      <w:r>
        <w:t>Ostró</w:t>
      </w:r>
      <w:r w:rsidRPr="00E9158D">
        <w:t>w</w:t>
      </w:r>
      <w:proofErr w:type="spellEnd"/>
      <w:r w:rsidRPr="00E9158D">
        <w:t xml:space="preserve"> Agglomeration</w:t>
      </w:r>
      <w:r>
        <w:t>), Spain (City of Valladolid) and United Kingdom (</w:t>
      </w:r>
      <w:r w:rsidRPr="00E9158D">
        <w:t>Coventry and Warwickshire</w:t>
      </w:r>
      <w:r>
        <w:t>)</w:t>
      </w:r>
      <w:r w:rsidRPr="00E9158D">
        <w:t>.</w:t>
      </w:r>
      <w:r>
        <w:t xml:space="preserve"> In each PE4Trans partner territory a Citizen Panel is going to meet at least 5 times to provide peoples’ </w:t>
      </w:r>
      <w:r w:rsidRPr="00050839">
        <w:t xml:space="preserve">viewpoints and ideas adding significant value to the process </w:t>
      </w:r>
      <w:r>
        <w:t xml:space="preserve">of elaboration of </w:t>
      </w:r>
      <w:r w:rsidRPr="00050839">
        <w:t xml:space="preserve">specific solutions </w:t>
      </w:r>
      <w:r>
        <w:t>for local transport agendas</w:t>
      </w:r>
      <w:r w:rsidRPr="00050839">
        <w:t>, both policy-makers and inhabitants benefitting from the outcomes.</w:t>
      </w:r>
    </w:p>
    <w:p w:rsidR="00DD4CC3" w:rsidRDefault="00DD4CC3" w:rsidP="00DD4CC3">
      <w:r>
        <w:t>For more information, please contact communication officer:</w:t>
      </w:r>
      <w:r>
        <w:br/>
        <w:t>Magdalena Piątek</w:t>
      </w:r>
      <w:r>
        <w:br/>
      </w:r>
      <w:hyperlink r:id="rId8" w:history="1">
        <w:r w:rsidRPr="001021DB">
          <w:rPr>
            <w:rStyle w:val="Hipercze"/>
          </w:rPr>
          <w:t>Magdalena.piatek@ppnt.poznan.pl</w:t>
        </w:r>
      </w:hyperlink>
      <w:r>
        <w:br/>
        <w:t>Phone number: + 48 61 827 97 65</w:t>
      </w:r>
    </w:p>
    <w:p w:rsidR="00E97A72" w:rsidRDefault="00E97A72" w:rsidP="00E97A72"/>
    <w:p w:rsidR="00981FBA" w:rsidRDefault="00981FBA" w:rsidP="00981FBA">
      <w:pPr>
        <w:pStyle w:val="Tytu"/>
      </w:pPr>
      <w:r>
        <w:lastRenderedPageBreak/>
        <w:t>Partners</w:t>
      </w:r>
    </w:p>
    <w:p w:rsidR="00981FBA" w:rsidRDefault="00981FBA" w:rsidP="00981FBA">
      <w:pPr>
        <w:pStyle w:val="Nagwek1"/>
      </w:pPr>
      <w:r>
        <w:t>Poznań Science and technology park</w:t>
      </w:r>
    </w:p>
    <w:p w:rsidR="00981FBA" w:rsidRDefault="00981FBA" w:rsidP="00981FBA"/>
    <w:p w:rsidR="00981FBA" w:rsidRDefault="00981FBA" w:rsidP="00981FBA">
      <w:pPr>
        <w:jc w:val="both"/>
      </w:pPr>
      <w:r>
        <w:t>T</w:t>
      </w:r>
      <w:r>
        <w:t xml:space="preserve">he </w:t>
      </w:r>
      <w:r>
        <w:rPr>
          <w:rStyle w:val="Pogrubienie"/>
        </w:rPr>
        <w:t>first technology park in Poland</w:t>
      </w:r>
      <w:r>
        <w:t xml:space="preserve"> established in </w:t>
      </w:r>
      <w:r>
        <w:t>1995. It is operated (as the key department) by Adam Mickiewicz University Foundation, a non-profit organization with the mission to stimulate collaboration between science and industry to activate the regional development via innovation, technology transfer and international cooperation.</w:t>
      </w:r>
    </w:p>
    <w:p w:rsidR="00981FBA" w:rsidRDefault="00981FBA" w:rsidP="00981FBA">
      <w:pPr>
        <w:spacing w:before="100" w:beforeAutospacing="1" w:after="100" w:afterAutospacing="1" w:line="240" w:lineRule="auto"/>
        <w:jc w:val="both"/>
        <w:rPr>
          <w:rFonts w:eastAsia="Times New Roman" w:cs="Times New Roman"/>
          <w:lang w:eastAsia="pl-PL"/>
        </w:rPr>
      </w:pPr>
      <w:r w:rsidRPr="00981FBA">
        <w:rPr>
          <w:rFonts w:eastAsia="Times New Roman" w:cs="Times New Roman"/>
          <w:lang w:eastAsia="pl-PL"/>
        </w:rPr>
        <w:t>STP is an ideal place for those seeking innovative solutions. Due to its cooperation with scientists, the PSTP is the perfect partner in the process of commercializing scientific and technological research results. The PSTP experts dealing with innovations offer consulting, research and pro-innovative services to their customers. The services offered are completed by professional, well-equipped laboratories, office space and IT facilities, as well as highly specialized research equipment.</w:t>
      </w:r>
    </w:p>
    <w:p w:rsidR="00981FBA" w:rsidRPr="00981FBA" w:rsidRDefault="00981FBA" w:rsidP="00981FBA">
      <w:pPr>
        <w:spacing w:before="100" w:beforeAutospacing="1" w:after="100" w:afterAutospacing="1" w:line="240" w:lineRule="auto"/>
        <w:jc w:val="both"/>
        <w:rPr>
          <w:rFonts w:eastAsia="Times New Roman" w:cs="Times New Roman"/>
          <w:lang w:eastAsia="pl-PL"/>
        </w:rPr>
      </w:pPr>
      <w:r>
        <w:rPr>
          <w:rFonts w:eastAsia="Times New Roman" w:cs="Times New Roman"/>
          <w:lang w:eastAsia="pl-PL"/>
        </w:rPr>
        <w:t xml:space="preserve">More information can be found on: </w:t>
      </w:r>
      <w:hyperlink r:id="rId9" w:history="1">
        <w:r w:rsidRPr="001021DB">
          <w:rPr>
            <w:rStyle w:val="Hipercze"/>
            <w:rFonts w:eastAsia="Times New Roman" w:cs="Times New Roman"/>
            <w:lang w:eastAsia="pl-PL"/>
          </w:rPr>
          <w:t>http://ppnt.poznan.pl/en/</w:t>
        </w:r>
      </w:hyperlink>
      <w:r>
        <w:rPr>
          <w:rFonts w:eastAsia="Times New Roman" w:cs="Times New Roman"/>
          <w:lang w:eastAsia="pl-PL"/>
        </w:rPr>
        <w:t xml:space="preserve"> </w:t>
      </w:r>
    </w:p>
    <w:p w:rsidR="00981FBA" w:rsidRDefault="00981FBA" w:rsidP="00981FBA">
      <w:pPr>
        <w:pStyle w:val="Nagwek1"/>
      </w:pPr>
      <w:r>
        <w:t>kalisz-ostrów Agglomeration association</w:t>
      </w:r>
    </w:p>
    <w:p w:rsidR="00981FBA" w:rsidRDefault="00981FBA" w:rsidP="00981FBA">
      <w:pPr>
        <w:jc w:val="both"/>
      </w:pPr>
    </w:p>
    <w:p w:rsidR="00981FBA" w:rsidRDefault="00981FBA" w:rsidP="00981FBA">
      <w:pPr>
        <w:jc w:val="both"/>
      </w:pPr>
      <w:r>
        <w:t xml:space="preserve">The </w:t>
      </w:r>
      <w:proofErr w:type="spellStart"/>
      <w:r>
        <w:t>Kalisko-Ostrow</w:t>
      </w:r>
      <w:proofErr w:type="spellEnd"/>
      <w:r>
        <w:t xml:space="preserve"> Agglomeration Association (SAKO) is a self-governing association of 24 local government units - municipalities and counties of the </w:t>
      </w:r>
      <w:proofErr w:type="spellStart"/>
      <w:r>
        <w:t>Kalisko-Ostrow</w:t>
      </w:r>
      <w:proofErr w:type="spellEnd"/>
      <w:r>
        <w:t xml:space="preserve"> Agglomeration.</w:t>
      </w:r>
    </w:p>
    <w:p w:rsidR="00981FBA" w:rsidRDefault="00981FBA" w:rsidP="00981FBA">
      <w:pPr>
        <w:jc w:val="both"/>
      </w:pPr>
      <w:r>
        <w:t>SAKO is a joint representation of local government units implementing Integrated Territori</w:t>
      </w:r>
      <w:r>
        <w:t>al Investments in their region.</w:t>
      </w:r>
    </w:p>
    <w:p w:rsidR="00981FBA" w:rsidRDefault="00981FBA" w:rsidP="00981FBA">
      <w:pPr>
        <w:jc w:val="both"/>
      </w:pPr>
      <w:r>
        <w:t>The primary goal of SAKO is to support and develop the idea of local self-government and to defend the common interests of SAKO members, and in particular to strengthen the socio-economic development of local self-government units forming the AKO and cooperation of communes and counties in this area.</w:t>
      </w:r>
    </w:p>
    <w:p w:rsidR="00981FBA" w:rsidRDefault="00981FBA" w:rsidP="00981FBA">
      <w:pPr>
        <w:spacing w:before="100" w:beforeAutospacing="1" w:after="100" w:afterAutospacing="1" w:line="240" w:lineRule="auto"/>
        <w:jc w:val="both"/>
        <w:rPr>
          <w:rFonts w:eastAsia="Times New Roman" w:cs="Times New Roman"/>
          <w:lang w:eastAsia="pl-PL"/>
        </w:rPr>
      </w:pPr>
      <w:r>
        <w:rPr>
          <w:rFonts w:eastAsia="Times New Roman" w:cs="Times New Roman"/>
          <w:lang w:eastAsia="pl-PL"/>
        </w:rPr>
        <w:t xml:space="preserve">More information can be found on: </w:t>
      </w:r>
      <w:hyperlink r:id="rId10" w:history="1">
        <w:r w:rsidRPr="001021DB">
          <w:rPr>
            <w:rStyle w:val="Hipercze"/>
            <w:rFonts w:eastAsia="Times New Roman" w:cs="Times New Roman"/>
            <w:lang w:eastAsia="pl-PL"/>
          </w:rPr>
          <w:t>http://sako-info.pl/</w:t>
        </w:r>
      </w:hyperlink>
      <w:r>
        <w:rPr>
          <w:rFonts w:eastAsia="Times New Roman" w:cs="Times New Roman"/>
          <w:lang w:eastAsia="pl-PL"/>
        </w:rPr>
        <w:t xml:space="preserve"> </w:t>
      </w:r>
    </w:p>
    <w:p w:rsidR="00994D6E" w:rsidRDefault="00994D6E" w:rsidP="00981FBA">
      <w:pPr>
        <w:pStyle w:val="Nagwek1"/>
        <w:rPr>
          <w:rFonts w:eastAsia="Times New Roman"/>
          <w:lang w:eastAsia="pl-PL"/>
        </w:rPr>
      </w:pPr>
    </w:p>
    <w:p w:rsidR="00994D6E" w:rsidRDefault="00994D6E" w:rsidP="00994D6E">
      <w:pPr>
        <w:rPr>
          <w:rFonts w:eastAsia="Times New Roman"/>
          <w:lang w:eastAsia="pl-PL"/>
        </w:rPr>
      </w:pPr>
    </w:p>
    <w:p w:rsidR="00994D6E" w:rsidRDefault="00994D6E" w:rsidP="00994D6E">
      <w:pPr>
        <w:rPr>
          <w:rFonts w:eastAsia="Times New Roman"/>
          <w:lang w:eastAsia="pl-PL"/>
        </w:rPr>
      </w:pPr>
    </w:p>
    <w:p w:rsidR="00994D6E" w:rsidRDefault="00994D6E" w:rsidP="00994D6E">
      <w:pPr>
        <w:rPr>
          <w:rFonts w:eastAsia="Times New Roman"/>
          <w:lang w:eastAsia="pl-PL"/>
        </w:rPr>
      </w:pPr>
    </w:p>
    <w:p w:rsidR="00981FBA" w:rsidRDefault="00981FBA" w:rsidP="00981FBA">
      <w:pPr>
        <w:pStyle w:val="Nagwek1"/>
        <w:rPr>
          <w:rFonts w:eastAsia="Times New Roman"/>
          <w:lang w:eastAsia="pl-PL"/>
        </w:rPr>
      </w:pPr>
      <w:r>
        <w:rPr>
          <w:rFonts w:eastAsia="Times New Roman"/>
          <w:lang w:eastAsia="pl-PL"/>
        </w:rPr>
        <w:lastRenderedPageBreak/>
        <w:t>coventry university enterprises limited</w:t>
      </w:r>
    </w:p>
    <w:p w:rsidR="00981FBA" w:rsidRDefault="00981FBA" w:rsidP="00981FBA">
      <w:pPr>
        <w:rPr>
          <w:lang w:eastAsia="pl-PL"/>
        </w:rPr>
      </w:pPr>
    </w:p>
    <w:p w:rsidR="00981FBA" w:rsidRDefault="00981FBA" w:rsidP="00981FBA">
      <w:pPr>
        <w:rPr>
          <w:lang w:eastAsia="pl-PL"/>
        </w:rPr>
      </w:pPr>
      <w:r>
        <w:rPr>
          <w:lang w:eastAsia="pl-PL"/>
        </w:rPr>
        <w:t xml:space="preserve">Coventry University Enterprises Limited (CUE Ltd), a subsidiary of Coventry University Group, is the </w:t>
      </w:r>
      <w:proofErr w:type="spellStart"/>
      <w:r>
        <w:rPr>
          <w:lang w:eastAsia="pl-PL"/>
        </w:rPr>
        <w:t>organisation</w:t>
      </w:r>
      <w:proofErr w:type="spellEnd"/>
      <w:r>
        <w:rPr>
          <w:lang w:eastAsia="pl-PL"/>
        </w:rPr>
        <w:t xml:space="preserve"> the Group uses to run much of its commercial, income-generating and business-partne</w:t>
      </w:r>
      <w:r w:rsidR="00994D6E">
        <w:rPr>
          <w:lang w:eastAsia="pl-PL"/>
        </w:rPr>
        <w:t>rship work.</w:t>
      </w:r>
    </w:p>
    <w:p w:rsidR="00994D6E" w:rsidRDefault="00994D6E" w:rsidP="00994D6E">
      <w:pPr>
        <w:jc w:val="both"/>
        <w:rPr>
          <w:lang w:eastAsia="pl-PL"/>
        </w:rPr>
      </w:pPr>
      <w:r>
        <w:rPr>
          <w:lang w:eastAsia="pl-PL"/>
        </w:rPr>
        <w:t>This includes:</w:t>
      </w:r>
    </w:p>
    <w:p w:rsidR="00994D6E" w:rsidRDefault="00981FBA" w:rsidP="00994D6E">
      <w:pPr>
        <w:pStyle w:val="Akapitzlist"/>
        <w:numPr>
          <w:ilvl w:val="0"/>
          <w:numId w:val="3"/>
        </w:numPr>
        <w:jc w:val="both"/>
        <w:rPr>
          <w:lang w:eastAsia="pl-PL"/>
        </w:rPr>
      </w:pPr>
      <w:r>
        <w:rPr>
          <w:lang w:eastAsia="pl-PL"/>
        </w:rPr>
        <w:t>The University’s award-winning Technology Park is a supportive and prestigious location for forward-thinking knowle</w:t>
      </w:r>
      <w:r w:rsidR="00994D6E">
        <w:rPr>
          <w:lang w:eastAsia="pl-PL"/>
        </w:rPr>
        <w:t>dge-based and hi-tech companies;</w:t>
      </w:r>
    </w:p>
    <w:p w:rsidR="00994D6E" w:rsidRDefault="00981FBA" w:rsidP="00994D6E">
      <w:pPr>
        <w:pStyle w:val="Akapitzlist"/>
        <w:numPr>
          <w:ilvl w:val="0"/>
          <w:numId w:val="3"/>
        </w:numPr>
        <w:jc w:val="both"/>
        <w:rPr>
          <w:lang w:eastAsia="pl-PL"/>
        </w:rPr>
      </w:pPr>
      <w:r>
        <w:rPr>
          <w:lang w:eastAsia="pl-PL"/>
        </w:rPr>
        <w:t xml:space="preserve">the University’s purpose built conference </w:t>
      </w:r>
      <w:proofErr w:type="spellStart"/>
      <w:r>
        <w:rPr>
          <w:lang w:eastAsia="pl-PL"/>
        </w:rPr>
        <w:t>centre</w:t>
      </w:r>
      <w:proofErr w:type="spellEnd"/>
      <w:r>
        <w:rPr>
          <w:lang w:eastAsia="pl-PL"/>
        </w:rPr>
        <w:t xml:space="preserve"> for up to 200 </w:t>
      </w:r>
      <w:proofErr w:type="spellStart"/>
      <w:r>
        <w:rPr>
          <w:lang w:eastAsia="pl-PL"/>
        </w:rPr>
        <w:t>delegates;</w:t>
      </w:r>
      <w:proofErr w:type="spellEnd"/>
    </w:p>
    <w:p w:rsidR="00994D6E" w:rsidRDefault="00981FBA" w:rsidP="00994D6E">
      <w:pPr>
        <w:pStyle w:val="Akapitzlist"/>
        <w:numPr>
          <w:ilvl w:val="0"/>
          <w:numId w:val="3"/>
        </w:numPr>
        <w:jc w:val="both"/>
        <w:rPr>
          <w:lang w:eastAsia="pl-PL"/>
        </w:rPr>
      </w:pPr>
      <w:r>
        <w:rPr>
          <w:lang w:eastAsia="pl-PL"/>
        </w:rPr>
        <w:t>Coventry University’</w:t>
      </w:r>
      <w:r w:rsidR="00994D6E">
        <w:rPr>
          <w:lang w:eastAsia="pl-PL"/>
        </w:rPr>
        <w:t>s commercial recruitment agency;</w:t>
      </w:r>
    </w:p>
    <w:p w:rsidR="00994D6E" w:rsidRDefault="00981FBA" w:rsidP="00994D6E">
      <w:pPr>
        <w:pStyle w:val="Akapitzlist"/>
        <w:numPr>
          <w:ilvl w:val="0"/>
          <w:numId w:val="3"/>
        </w:numPr>
        <w:jc w:val="both"/>
        <w:rPr>
          <w:lang w:eastAsia="pl-PL"/>
        </w:rPr>
      </w:pPr>
      <w:r>
        <w:rPr>
          <w:lang w:eastAsia="pl-PL"/>
        </w:rPr>
        <w:t>Coventry University’s property</w:t>
      </w:r>
      <w:r w:rsidR="00994D6E">
        <w:rPr>
          <w:lang w:eastAsia="pl-PL"/>
        </w:rPr>
        <w:t>;</w:t>
      </w:r>
    </w:p>
    <w:p w:rsidR="00981FBA" w:rsidRDefault="00981FBA" w:rsidP="00994D6E">
      <w:pPr>
        <w:pStyle w:val="Akapitzlist"/>
        <w:numPr>
          <w:ilvl w:val="0"/>
          <w:numId w:val="3"/>
        </w:numPr>
        <w:jc w:val="both"/>
        <w:rPr>
          <w:lang w:eastAsia="pl-PL"/>
        </w:rPr>
      </w:pPr>
      <w:r>
        <w:rPr>
          <w:lang w:eastAsia="pl-PL"/>
        </w:rPr>
        <w:t>And more...</w:t>
      </w:r>
    </w:p>
    <w:p w:rsidR="00994D6E" w:rsidRDefault="00981FBA" w:rsidP="00994D6E">
      <w:pPr>
        <w:jc w:val="both"/>
        <w:rPr>
          <w:lang w:eastAsia="pl-PL"/>
        </w:rPr>
      </w:pPr>
      <w:r>
        <w:rPr>
          <w:lang w:eastAsia="pl-PL"/>
        </w:rPr>
        <w:t xml:space="preserve">Operating in a regional, national, European and international context, CUE supports the corporate aims and seeks to </w:t>
      </w:r>
      <w:proofErr w:type="spellStart"/>
      <w:r>
        <w:rPr>
          <w:lang w:eastAsia="pl-PL"/>
        </w:rPr>
        <w:t>maximise</w:t>
      </w:r>
      <w:proofErr w:type="spellEnd"/>
      <w:r>
        <w:rPr>
          <w:lang w:eastAsia="pl-PL"/>
        </w:rPr>
        <w:t xml:space="preserve"> the commercial potential of the University's skills, expertise and resources. CUE focuses on innovation, design, high performance automotive engineering, health, environment and ICT as areas of expertise. More than 200 SMEs have been established with the support of </w:t>
      </w:r>
      <w:r w:rsidR="00994D6E">
        <w:rPr>
          <w:lang w:eastAsia="pl-PL"/>
        </w:rPr>
        <w:t>.</w:t>
      </w:r>
    </w:p>
    <w:p w:rsidR="00994D6E" w:rsidRDefault="00994D6E" w:rsidP="00994D6E">
      <w:pPr>
        <w:jc w:val="both"/>
        <w:rPr>
          <w:rFonts w:eastAsia="Times New Roman" w:cs="Times New Roman"/>
          <w:lang w:eastAsia="pl-PL"/>
        </w:rPr>
      </w:pPr>
      <w:r>
        <w:rPr>
          <w:rFonts w:eastAsia="Times New Roman" w:cs="Times New Roman"/>
          <w:lang w:eastAsia="pl-PL"/>
        </w:rPr>
        <w:t xml:space="preserve">More information can be found on: </w:t>
      </w:r>
      <w:hyperlink r:id="rId11" w:history="1">
        <w:r w:rsidRPr="001021DB">
          <w:rPr>
            <w:rStyle w:val="Hipercze"/>
            <w:rFonts w:eastAsia="Times New Roman" w:cs="Times New Roman"/>
            <w:lang w:eastAsia="pl-PL"/>
          </w:rPr>
          <w:t>https://www.coventry.ac.uk/business/our-services/coventry-university-group/coventry-university-enterprises-limited/</w:t>
        </w:r>
      </w:hyperlink>
      <w:r>
        <w:rPr>
          <w:rFonts w:eastAsia="Times New Roman" w:cs="Times New Roman"/>
          <w:lang w:eastAsia="pl-PL"/>
        </w:rPr>
        <w:t xml:space="preserve"> </w:t>
      </w:r>
    </w:p>
    <w:p w:rsidR="00994D6E" w:rsidRDefault="00994D6E" w:rsidP="00994D6E">
      <w:pPr>
        <w:jc w:val="both"/>
        <w:rPr>
          <w:rFonts w:eastAsia="Times New Roman" w:cs="Times New Roman"/>
          <w:lang w:eastAsia="pl-PL"/>
        </w:rPr>
      </w:pPr>
    </w:p>
    <w:p w:rsidR="00994D6E" w:rsidRDefault="00994D6E" w:rsidP="00994D6E">
      <w:pPr>
        <w:pStyle w:val="Nagwek1"/>
        <w:rPr>
          <w:lang w:eastAsia="pl-PL"/>
        </w:rPr>
      </w:pPr>
      <w:r>
        <w:rPr>
          <w:lang w:eastAsia="pl-PL"/>
        </w:rPr>
        <w:t>aristotle university of thessaloniki – special account for reaseach funds</w:t>
      </w:r>
    </w:p>
    <w:p w:rsidR="00994D6E" w:rsidRDefault="00994D6E" w:rsidP="00994D6E">
      <w:pPr>
        <w:rPr>
          <w:lang w:eastAsia="pl-PL"/>
        </w:rPr>
      </w:pPr>
    </w:p>
    <w:p w:rsidR="00994D6E" w:rsidRDefault="00994D6E" w:rsidP="00994D6E">
      <w:pPr>
        <w:jc w:val="both"/>
        <w:rPr>
          <w:lang w:eastAsia="pl-PL"/>
        </w:rPr>
      </w:pPr>
      <w:r>
        <w:rPr>
          <w:lang w:eastAsia="pl-PL"/>
        </w:rPr>
        <w:t>The aim of the Special Account is to distribute and manage funds which cover any kind of expenditure and are necessary for research, educational training, and technological development. The Special Account also concerns funds for continuing education projects, projects for the provision of scientific, technological and artistic services, for studies, the implementation of tests, measurement, laboratory tests and analyses, for the provision of expert opinions, the drawing up of specifications, as well as other related services or activities that contribute to linking research and education with industrial production, and are provided or carried out by the research personnel of the Aristotle University of Thessaloniki in collaboration with the academic staff of other institutions.</w:t>
      </w:r>
    </w:p>
    <w:p w:rsidR="00994D6E" w:rsidRPr="00994D6E" w:rsidRDefault="00994D6E" w:rsidP="00994D6E">
      <w:pPr>
        <w:rPr>
          <w:lang w:eastAsia="pl-PL"/>
        </w:rPr>
      </w:pPr>
      <w:r>
        <w:rPr>
          <w:lang w:eastAsia="pl-PL"/>
        </w:rPr>
        <w:t>The Research Committee is responsible for managing research projects and related activities, covering current emerging needs, distributing external funds, and safeguarding the distinction between research and teaching. A number of faculty members elected by the General Assemblies of the Schools, which equals the number of the Schools of the Aristotle University, attend the plenum meetings of the Research Committee.</w:t>
      </w:r>
    </w:p>
    <w:p w:rsidR="00981FBA" w:rsidRDefault="00994D6E" w:rsidP="00981FBA">
      <w:pPr>
        <w:jc w:val="both"/>
        <w:rPr>
          <w:rFonts w:eastAsia="Times New Roman" w:cs="Times New Roman"/>
          <w:lang w:eastAsia="pl-PL"/>
        </w:rPr>
      </w:pPr>
      <w:r>
        <w:rPr>
          <w:rFonts w:eastAsia="Times New Roman" w:cs="Times New Roman"/>
          <w:lang w:eastAsia="pl-PL"/>
        </w:rPr>
        <w:t>More information can be found on:</w:t>
      </w:r>
      <w:r>
        <w:rPr>
          <w:rFonts w:eastAsia="Times New Roman" w:cs="Times New Roman"/>
          <w:lang w:eastAsia="pl-PL"/>
        </w:rPr>
        <w:t xml:space="preserve"> </w:t>
      </w:r>
      <w:hyperlink r:id="rId12" w:history="1">
        <w:r w:rsidRPr="001021DB">
          <w:rPr>
            <w:rStyle w:val="Hipercze"/>
            <w:rFonts w:eastAsia="Times New Roman" w:cs="Times New Roman"/>
            <w:lang w:eastAsia="pl-PL"/>
          </w:rPr>
          <w:t>https://www.auth.gr/en/rc</w:t>
        </w:r>
      </w:hyperlink>
      <w:r>
        <w:rPr>
          <w:rFonts w:eastAsia="Times New Roman" w:cs="Times New Roman"/>
          <w:lang w:eastAsia="pl-PL"/>
        </w:rPr>
        <w:t xml:space="preserve"> </w:t>
      </w:r>
    </w:p>
    <w:p w:rsidR="00994D6E" w:rsidRDefault="00994D6E" w:rsidP="00994D6E">
      <w:pPr>
        <w:pStyle w:val="Nagwek1"/>
      </w:pPr>
      <w:r>
        <w:lastRenderedPageBreak/>
        <w:t>city of valladolid</w:t>
      </w:r>
    </w:p>
    <w:p w:rsidR="00994D6E" w:rsidRDefault="00994D6E" w:rsidP="00994D6E"/>
    <w:p w:rsidR="00994D6E" w:rsidRDefault="00994D6E" w:rsidP="00994D6E">
      <w:pPr>
        <w:rPr>
          <w:rFonts w:eastAsia="Times New Roman" w:cs="Times New Roman"/>
          <w:lang w:eastAsia="pl-PL"/>
        </w:rPr>
      </w:pPr>
      <w:r>
        <w:rPr>
          <w:rFonts w:eastAsia="Times New Roman" w:cs="Times New Roman"/>
          <w:lang w:eastAsia="pl-PL"/>
        </w:rPr>
        <w:t>More information can be found on:</w:t>
      </w:r>
      <w:r w:rsidR="00AD62FD">
        <w:rPr>
          <w:rFonts w:eastAsia="Times New Roman" w:cs="Times New Roman"/>
          <w:lang w:eastAsia="pl-PL"/>
        </w:rPr>
        <w:t xml:space="preserve"> </w:t>
      </w:r>
      <w:hyperlink r:id="rId13" w:history="1">
        <w:r w:rsidR="00AD62FD" w:rsidRPr="001021DB">
          <w:rPr>
            <w:rStyle w:val="Hipercze"/>
            <w:rFonts w:eastAsia="Times New Roman" w:cs="Times New Roman"/>
            <w:lang w:eastAsia="pl-PL"/>
          </w:rPr>
          <w:t>https://www.valladolid.es/</w:t>
        </w:r>
      </w:hyperlink>
      <w:r w:rsidR="00AD62FD">
        <w:rPr>
          <w:rFonts w:eastAsia="Times New Roman" w:cs="Times New Roman"/>
          <w:lang w:eastAsia="pl-PL"/>
        </w:rPr>
        <w:t xml:space="preserve"> </w:t>
      </w:r>
      <w:bookmarkStart w:id="0" w:name="_GoBack"/>
      <w:bookmarkEnd w:id="0"/>
    </w:p>
    <w:p w:rsidR="00994D6E" w:rsidRDefault="00994D6E" w:rsidP="00994D6E">
      <w:pPr>
        <w:rPr>
          <w:rFonts w:eastAsia="Times New Roman" w:cs="Times New Roman"/>
          <w:lang w:eastAsia="pl-PL"/>
        </w:rPr>
      </w:pPr>
    </w:p>
    <w:p w:rsidR="00994D6E" w:rsidRDefault="00AD62FD" w:rsidP="00994D6E">
      <w:pPr>
        <w:pStyle w:val="Nagwek1"/>
      </w:pPr>
      <w:r>
        <w:t>district of grafschaft bentheim</w:t>
      </w:r>
    </w:p>
    <w:p w:rsidR="00AD62FD" w:rsidRDefault="00AD62FD" w:rsidP="00AD62FD"/>
    <w:p w:rsidR="00AD62FD" w:rsidRPr="00AD62FD" w:rsidRDefault="00AD62FD" w:rsidP="00AD62FD">
      <w:r>
        <w:rPr>
          <w:rFonts w:eastAsia="Times New Roman" w:cs="Times New Roman"/>
          <w:lang w:eastAsia="pl-PL"/>
        </w:rPr>
        <w:t>More information can be found on:</w:t>
      </w:r>
      <w:r>
        <w:rPr>
          <w:rFonts w:eastAsia="Times New Roman" w:cs="Times New Roman"/>
          <w:lang w:eastAsia="pl-PL"/>
        </w:rPr>
        <w:t xml:space="preserve">  </w:t>
      </w:r>
      <w:hyperlink r:id="rId14" w:history="1">
        <w:r w:rsidRPr="001021DB">
          <w:rPr>
            <w:rStyle w:val="Hipercze"/>
            <w:rFonts w:eastAsia="Times New Roman" w:cs="Times New Roman"/>
            <w:lang w:eastAsia="pl-PL"/>
          </w:rPr>
          <w:t>https://www.grafschaft-bentheim.de</w:t>
        </w:r>
      </w:hyperlink>
      <w:r>
        <w:rPr>
          <w:rFonts w:eastAsia="Times New Roman" w:cs="Times New Roman"/>
          <w:lang w:eastAsia="pl-PL"/>
        </w:rPr>
        <w:t xml:space="preserve"> </w:t>
      </w:r>
    </w:p>
    <w:sectPr w:rsidR="00AD62FD" w:rsidRPr="00AD62FD" w:rsidSect="009B17B9">
      <w:headerReference w:type="default" r:id="rId15"/>
      <w:footerReference w:type="default" r:id="rId16"/>
      <w:pgSz w:w="12240" w:h="15840"/>
      <w:pgMar w:top="1701" w:right="104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D1" w:rsidRDefault="00201BD1" w:rsidP="00201BD1">
      <w:pPr>
        <w:spacing w:after="0" w:line="240" w:lineRule="auto"/>
      </w:pPr>
      <w:r>
        <w:separator/>
      </w:r>
    </w:p>
  </w:endnote>
  <w:endnote w:type="continuationSeparator" w:id="0">
    <w:p w:rsidR="00201BD1" w:rsidRDefault="00201BD1" w:rsidP="0020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D1" w:rsidRDefault="00201BD1" w:rsidP="00201BD1">
    <w:pPr>
      <w:pStyle w:val="Nagwek"/>
      <w:pBdr>
        <w:top w:val="single" w:sz="6" w:space="10" w:color="5B9BD5" w:themeColor="accent1"/>
      </w:pBdr>
      <w:spacing w:before="240"/>
      <w:jc w:val="center"/>
      <w:rPr>
        <w:color w:val="5B9BD5" w:themeColor="accent1"/>
      </w:rPr>
    </w:pPr>
    <w:r>
      <w:rPr>
        <w:noProof/>
        <w:lang w:val="pl-PL" w:eastAsia="pl-PL"/>
      </w:rPr>
      <mc:AlternateContent>
        <mc:Choice Requires="wps">
          <w:drawing>
            <wp:anchor distT="0" distB="0" distL="114300" distR="114300" simplePos="0" relativeHeight="251659264" behindDoc="0" locked="0" layoutInCell="1" allowOverlap="1" wp14:anchorId="7509ADF0" wp14:editId="0F62BAE4">
              <wp:simplePos x="0" y="0"/>
              <wp:positionH relativeFrom="column">
                <wp:posOffset>-259715</wp:posOffset>
              </wp:positionH>
              <wp:positionV relativeFrom="paragraph">
                <wp:posOffset>285115</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201BD1" w:rsidTr="00B22FC5">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01BD1" w:rsidTr="00B22FC5">
                                  <w:trPr>
                                    <w:trHeight w:hRule="exact" w:val="85"/>
                                  </w:trPr>
                                  <w:tc>
                                    <w:tcPr>
                                      <w:tcW w:w="2438" w:type="dxa"/>
                                      <w:tcBorders>
                                        <w:top w:val="single" w:sz="2" w:space="0" w:color="5B9BD5" w:themeColor="accent1"/>
                                        <w:left w:val="single" w:sz="2" w:space="0" w:color="5B9BD5" w:themeColor="accent1"/>
                                        <w:bottom w:val="single" w:sz="2" w:space="0" w:color="5B9BD5" w:themeColor="accent1"/>
                                        <w:right w:val="single" w:sz="2" w:space="0" w:color="FFC000" w:themeColor="accent4"/>
                                      </w:tcBorders>
                                      <w:shd w:val="clear" w:color="auto" w:fill="5B9BD5" w:themeFill="accent1"/>
                                      <w:tcMar>
                                        <w:left w:w="0" w:type="dxa"/>
                                        <w:right w:w="0" w:type="dxa"/>
                                      </w:tcMar>
                                    </w:tcPr>
                                    <w:p w:rsidR="00201BD1" w:rsidRDefault="00201BD1" w:rsidP="00B22FC5">
                                      <w:pPr>
                                        <w:pStyle w:val="L-I-EU-footnote"/>
                                        <w:rPr>
                                          <w:noProof/>
                                          <w:lang w:eastAsia="fr-FR"/>
                                        </w:rPr>
                                      </w:pPr>
                                    </w:p>
                                  </w:tc>
                                  <w:tc>
                                    <w:tcPr>
                                      <w:tcW w:w="2495" w:type="dxa"/>
                                      <w:tcBorders>
                                        <w:top w:val="single" w:sz="2" w:space="0" w:color="FFC000" w:themeColor="accent4"/>
                                        <w:left w:val="single" w:sz="2" w:space="0" w:color="FFC000" w:themeColor="accent4"/>
                                        <w:bottom w:val="single" w:sz="2" w:space="0" w:color="FFC000" w:themeColor="accent4"/>
                                        <w:right w:val="single" w:sz="2" w:space="0" w:color="A5A5A5" w:themeColor="accent3"/>
                                      </w:tcBorders>
                                      <w:shd w:val="clear" w:color="auto" w:fill="FFC000" w:themeFill="accent4"/>
                                      <w:tcMar>
                                        <w:left w:w="0" w:type="dxa"/>
                                        <w:right w:w="0" w:type="dxa"/>
                                      </w:tcMar>
                                    </w:tcPr>
                                    <w:p w:rsidR="00201BD1" w:rsidRDefault="00201BD1" w:rsidP="00B22FC5">
                                      <w:pPr>
                                        <w:pStyle w:val="L-I-EU-footnote"/>
                                        <w:rPr>
                                          <w:noProof/>
                                          <w:lang w:eastAsia="fr-FR"/>
                                        </w:rPr>
                                      </w:pPr>
                                    </w:p>
                                  </w:tc>
                                  <w:tc>
                                    <w:tcPr>
                                      <w:tcW w:w="2495" w:type="dxa"/>
                                      <w:tcBorders>
                                        <w:top w:val="single" w:sz="2" w:space="0" w:color="A5A5A5" w:themeColor="accent3"/>
                                        <w:left w:val="single" w:sz="2" w:space="0" w:color="A5A5A5" w:themeColor="accent3"/>
                                        <w:bottom w:val="single" w:sz="2" w:space="0" w:color="A5A5A5" w:themeColor="accent3"/>
                                        <w:right w:val="single" w:sz="2" w:space="0" w:color="ED7D31" w:themeColor="accent2"/>
                                      </w:tcBorders>
                                      <w:shd w:val="clear" w:color="auto" w:fill="A5A5A5" w:themeFill="accent3"/>
                                      <w:tcMar>
                                        <w:left w:w="0" w:type="dxa"/>
                                        <w:right w:w="0" w:type="dxa"/>
                                      </w:tcMar>
                                    </w:tcPr>
                                    <w:p w:rsidR="00201BD1" w:rsidRDefault="00201BD1" w:rsidP="00B22FC5">
                                      <w:pPr>
                                        <w:pStyle w:val="L-I-EU-footnote"/>
                                        <w:rPr>
                                          <w:noProof/>
                                          <w:lang w:eastAsia="fr-FR"/>
                                        </w:rPr>
                                      </w:pPr>
                                    </w:p>
                                  </w:tc>
                                  <w:tc>
                                    <w:tcPr>
                                      <w:tcW w:w="2495"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D7D31" w:themeFill="accent2"/>
                                      <w:tcMar>
                                        <w:left w:w="0" w:type="dxa"/>
                                        <w:right w:w="0" w:type="dxa"/>
                                      </w:tcMar>
                                    </w:tcPr>
                                    <w:p w:rsidR="00201BD1" w:rsidRDefault="00201BD1" w:rsidP="00B22FC5">
                                      <w:pPr>
                                        <w:pStyle w:val="L-I-EU-footnote"/>
                                        <w:rPr>
                                          <w:noProof/>
                                          <w:lang w:eastAsia="fr-FR"/>
                                        </w:rPr>
                                      </w:pPr>
                                    </w:p>
                                  </w:tc>
                                </w:tr>
                              </w:tbl>
                              <w:p w:rsidR="00201BD1" w:rsidRDefault="00201BD1" w:rsidP="00B22FC5">
                                <w:pPr>
                                  <w:pStyle w:val="L-I-EU-footnote"/>
                                </w:pPr>
                              </w:p>
                            </w:tc>
                          </w:tr>
                          <w:tr w:rsidR="00201BD1" w:rsidRPr="00066B53" w:rsidTr="00B22FC5">
                            <w:trPr>
                              <w:cantSplit/>
                              <w:trHeight w:val="416"/>
                            </w:trPr>
                            <w:tc>
                              <w:tcPr>
                                <w:tcW w:w="9866" w:type="dxa"/>
                                <w:tcMar>
                                  <w:left w:w="0" w:type="dxa"/>
                                  <w:right w:w="0" w:type="dxa"/>
                                </w:tcMar>
                              </w:tcPr>
                              <w:p w:rsidR="00201BD1" w:rsidRPr="00E30929" w:rsidRDefault="00C41854" w:rsidP="00066B53">
                                <w:pPr>
                                  <w:pStyle w:val="L-I-EU-pagenumber"/>
                                  <w:rPr>
                                    <w:lang w:val="en-GB"/>
                                  </w:rPr>
                                </w:pPr>
                                <w:r>
                                  <w:t>PE4Trans</w:t>
                                </w:r>
                                <w:r w:rsidR="00201BD1">
                                  <w:t xml:space="preserve"> </w:t>
                                </w:r>
                                <w:r w:rsidR="00201BD1" w:rsidRPr="00432443">
                                  <w:fldChar w:fldCharType="begin"/>
                                </w:r>
                                <w:r w:rsidR="00201BD1" w:rsidRPr="00E30929">
                                  <w:rPr>
                                    <w:lang w:val="en-GB"/>
                                  </w:rPr>
                                  <w:instrText>PAGE   \* MERGEFORMAT</w:instrText>
                                </w:r>
                                <w:r w:rsidR="00201BD1" w:rsidRPr="00432443">
                                  <w:fldChar w:fldCharType="separate"/>
                                </w:r>
                                <w:r w:rsidR="00A77A33" w:rsidRPr="00A77A33">
                                  <w:rPr>
                                    <w:noProof/>
                                  </w:rPr>
                                  <w:t>4</w:t>
                                </w:r>
                                <w:r w:rsidR="00201BD1" w:rsidRPr="00432443">
                                  <w:fldChar w:fldCharType="end"/>
                                </w:r>
                                <w:r w:rsidR="00201BD1">
                                  <w:rPr>
                                    <w:lang w:val="en-GB"/>
                                  </w:rPr>
                                  <w:t xml:space="preserve"> /</w:t>
                                </w:r>
                                <w:r w:rsidR="00201BD1" w:rsidRPr="00E30929">
                                  <w:rPr>
                                    <w:lang w:val="en-GB"/>
                                  </w:rPr>
                                  <w:t xml:space="preserve"> </w:t>
                                </w:r>
                                <w:r w:rsidR="00201BD1">
                                  <w:fldChar w:fldCharType="begin"/>
                                </w:r>
                                <w:r w:rsidR="00201BD1" w:rsidRPr="00E30929">
                                  <w:rPr>
                                    <w:lang w:val="en-GB"/>
                                  </w:rPr>
                                  <w:instrText xml:space="preserve"> NUMPAGES  \* Arabic  \* MERGEFORMAT </w:instrText>
                                </w:r>
                                <w:r w:rsidR="00201BD1">
                                  <w:fldChar w:fldCharType="separate"/>
                                </w:r>
                                <w:r w:rsidR="00A77A33">
                                  <w:rPr>
                                    <w:noProof/>
                                    <w:lang w:val="en-GB"/>
                                  </w:rPr>
                                  <w:t>4</w:t>
                                </w:r>
                                <w:r w:rsidR="00201BD1">
                                  <w:rPr>
                                    <w:noProof/>
                                  </w:rPr>
                                  <w:fldChar w:fldCharType="end"/>
                                </w:r>
                              </w:p>
                              <w:p w:rsidR="00201BD1" w:rsidRPr="00E30929" w:rsidRDefault="00201BD1" w:rsidP="00B22FC5">
                                <w:pPr>
                                  <w:pStyle w:val="L-I-EU-footnote"/>
                                  <w:jc w:val="right"/>
                                  <w:rPr>
                                    <w:lang w:val="en-GB"/>
                                  </w:rPr>
                                </w:pPr>
                                <w:r w:rsidRPr="00E30929">
                                  <w:rPr>
                                    <w:noProof/>
                                    <w:lang w:val="en-GB" w:eastAsia="fr-FR"/>
                                  </w:rPr>
                                  <w:t xml:space="preserve">                                   </w:t>
                                </w:r>
                                <w:r w:rsidRPr="00E30929">
                                  <w:rPr>
                                    <w:lang w:val="en-GB"/>
                                  </w:rPr>
                                  <w:t xml:space="preserve">    </w:t>
                                </w:r>
                              </w:p>
                              <w:p w:rsidR="00201BD1" w:rsidRPr="00E30929" w:rsidRDefault="00201BD1" w:rsidP="00B22FC5">
                                <w:pPr>
                                  <w:pStyle w:val="L-I-EU-footnote"/>
                                  <w:rPr>
                                    <w:lang w:val="en-GB"/>
                                  </w:rPr>
                                </w:pPr>
                                <w:r w:rsidRPr="00E30929">
                                  <w:rPr>
                                    <w:lang w:val="en-GB"/>
                                  </w:rPr>
                                  <w:t xml:space="preserve"> </w:t>
                                </w:r>
                              </w:p>
                              <w:p w:rsidR="00201BD1" w:rsidRPr="00E30929" w:rsidRDefault="00201BD1" w:rsidP="00B22FC5">
                                <w:pPr>
                                  <w:pStyle w:val="L-I-EU-footnote"/>
                                  <w:rPr>
                                    <w:lang w:val="en-GB"/>
                                  </w:rPr>
                                </w:pPr>
                              </w:p>
                              <w:p w:rsidR="00201BD1" w:rsidRPr="00E30929" w:rsidRDefault="00201BD1" w:rsidP="00B22FC5">
                                <w:pPr>
                                  <w:pStyle w:val="L-I-EU-pagenumber"/>
                                  <w:rPr>
                                    <w:lang w:val="en-GB"/>
                                  </w:rPr>
                                </w:pPr>
                              </w:p>
                            </w:tc>
                          </w:tr>
                          <w:tr w:rsidR="00201BD1" w:rsidRPr="00066B53" w:rsidTr="00B22FC5">
                            <w:trPr>
                              <w:cantSplit/>
                              <w:trHeight w:val="416"/>
                            </w:trPr>
                            <w:tc>
                              <w:tcPr>
                                <w:tcW w:w="9866" w:type="dxa"/>
                                <w:tcMar>
                                  <w:left w:w="0" w:type="dxa"/>
                                  <w:right w:w="0" w:type="dxa"/>
                                </w:tcMar>
                              </w:tcPr>
                              <w:p w:rsidR="00201BD1" w:rsidRDefault="00201BD1" w:rsidP="00066B53">
                                <w:pPr>
                                  <w:pStyle w:val="L-I-EU-pagenumber"/>
                                  <w:jc w:val="left"/>
                                </w:pPr>
                              </w:p>
                            </w:tc>
                          </w:tr>
                          <w:tr w:rsidR="00201BD1" w:rsidRPr="00066B53" w:rsidTr="00B22FC5">
                            <w:trPr>
                              <w:cantSplit/>
                              <w:trHeight w:val="416"/>
                            </w:trPr>
                            <w:tc>
                              <w:tcPr>
                                <w:tcW w:w="9866" w:type="dxa"/>
                                <w:tcMar>
                                  <w:left w:w="0" w:type="dxa"/>
                                  <w:right w:w="0" w:type="dxa"/>
                                </w:tcMar>
                              </w:tcPr>
                              <w:p w:rsidR="00201BD1" w:rsidRDefault="00201BD1" w:rsidP="00066B53">
                                <w:pPr>
                                  <w:pStyle w:val="L-I-EU-pagenumber"/>
                                  <w:jc w:val="left"/>
                                </w:pPr>
                              </w:p>
                            </w:tc>
                          </w:tr>
                        </w:tbl>
                        <w:p w:rsidR="00201BD1" w:rsidRPr="0098440B" w:rsidRDefault="00201BD1" w:rsidP="00201BD1">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509ADF0" id="_x0000_t202" coordsize="21600,21600" o:spt="202" path="m,l,21600r21600,l21600,xe">
              <v:stroke joinstyle="miter"/>
              <v:path gradientshapeok="t" o:connecttype="rect"/>
            </v:shapetype>
            <v:shape id="Zone de texte 41" o:spid="_x0000_s1026" type="#_x0000_t202" style="position:absolute;left:0;text-align:left;margin-left:-20.45pt;margin-top:22.45pt;width:493.6pt;height:3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01BD1" w:rsidTr="00B22FC5">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01BD1" w:rsidTr="00B22FC5">
                            <w:trPr>
                              <w:trHeight w:hRule="exact" w:val="85"/>
                            </w:trPr>
                            <w:tc>
                              <w:tcPr>
                                <w:tcW w:w="2438" w:type="dxa"/>
                                <w:tcBorders>
                                  <w:top w:val="single" w:sz="2" w:space="0" w:color="5B9BD5" w:themeColor="accent1"/>
                                  <w:left w:val="single" w:sz="2" w:space="0" w:color="5B9BD5" w:themeColor="accent1"/>
                                  <w:bottom w:val="single" w:sz="2" w:space="0" w:color="5B9BD5" w:themeColor="accent1"/>
                                  <w:right w:val="single" w:sz="2" w:space="0" w:color="FFC000" w:themeColor="accent4"/>
                                </w:tcBorders>
                                <w:shd w:val="clear" w:color="auto" w:fill="5B9BD5" w:themeFill="accent1"/>
                                <w:tcMar>
                                  <w:left w:w="0" w:type="dxa"/>
                                  <w:right w:w="0" w:type="dxa"/>
                                </w:tcMar>
                              </w:tcPr>
                              <w:p w:rsidR="00201BD1" w:rsidRDefault="00201BD1" w:rsidP="00B22FC5">
                                <w:pPr>
                                  <w:pStyle w:val="L-I-EU-footnote"/>
                                  <w:rPr>
                                    <w:noProof/>
                                    <w:lang w:eastAsia="fr-FR"/>
                                  </w:rPr>
                                </w:pPr>
                              </w:p>
                            </w:tc>
                            <w:tc>
                              <w:tcPr>
                                <w:tcW w:w="2495" w:type="dxa"/>
                                <w:tcBorders>
                                  <w:top w:val="single" w:sz="2" w:space="0" w:color="FFC000" w:themeColor="accent4"/>
                                  <w:left w:val="single" w:sz="2" w:space="0" w:color="FFC000" w:themeColor="accent4"/>
                                  <w:bottom w:val="single" w:sz="2" w:space="0" w:color="FFC000" w:themeColor="accent4"/>
                                  <w:right w:val="single" w:sz="2" w:space="0" w:color="A5A5A5" w:themeColor="accent3"/>
                                </w:tcBorders>
                                <w:shd w:val="clear" w:color="auto" w:fill="FFC000" w:themeFill="accent4"/>
                                <w:tcMar>
                                  <w:left w:w="0" w:type="dxa"/>
                                  <w:right w:w="0" w:type="dxa"/>
                                </w:tcMar>
                              </w:tcPr>
                              <w:p w:rsidR="00201BD1" w:rsidRDefault="00201BD1" w:rsidP="00B22FC5">
                                <w:pPr>
                                  <w:pStyle w:val="L-I-EU-footnote"/>
                                  <w:rPr>
                                    <w:noProof/>
                                    <w:lang w:eastAsia="fr-FR"/>
                                  </w:rPr>
                                </w:pPr>
                              </w:p>
                            </w:tc>
                            <w:tc>
                              <w:tcPr>
                                <w:tcW w:w="2495" w:type="dxa"/>
                                <w:tcBorders>
                                  <w:top w:val="single" w:sz="2" w:space="0" w:color="A5A5A5" w:themeColor="accent3"/>
                                  <w:left w:val="single" w:sz="2" w:space="0" w:color="A5A5A5" w:themeColor="accent3"/>
                                  <w:bottom w:val="single" w:sz="2" w:space="0" w:color="A5A5A5" w:themeColor="accent3"/>
                                  <w:right w:val="single" w:sz="2" w:space="0" w:color="ED7D31" w:themeColor="accent2"/>
                                </w:tcBorders>
                                <w:shd w:val="clear" w:color="auto" w:fill="A5A5A5" w:themeFill="accent3"/>
                                <w:tcMar>
                                  <w:left w:w="0" w:type="dxa"/>
                                  <w:right w:w="0" w:type="dxa"/>
                                </w:tcMar>
                              </w:tcPr>
                              <w:p w:rsidR="00201BD1" w:rsidRDefault="00201BD1" w:rsidP="00B22FC5">
                                <w:pPr>
                                  <w:pStyle w:val="L-I-EU-footnote"/>
                                  <w:rPr>
                                    <w:noProof/>
                                    <w:lang w:eastAsia="fr-FR"/>
                                  </w:rPr>
                                </w:pPr>
                              </w:p>
                            </w:tc>
                            <w:tc>
                              <w:tcPr>
                                <w:tcW w:w="2495"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D7D31" w:themeFill="accent2"/>
                                <w:tcMar>
                                  <w:left w:w="0" w:type="dxa"/>
                                  <w:right w:w="0" w:type="dxa"/>
                                </w:tcMar>
                              </w:tcPr>
                              <w:p w:rsidR="00201BD1" w:rsidRDefault="00201BD1" w:rsidP="00B22FC5">
                                <w:pPr>
                                  <w:pStyle w:val="L-I-EU-footnote"/>
                                  <w:rPr>
                                    <w:noProof/>
                                    <w:lang w:eastAsia="fr-FR"/>
                                  </w:rPr>
                                </w:pPr>
                              </w:p>
                            </w:tc>
                          </w:tr>
                        </w:tbl>
                        <w:p w:rsidR="00201BD1" w:rsidRDefault="00201BD1" w:rsidP="00B22FC5">
                          <w:pPr>
                            <w:pStyle w:val="L-I-EU-footnote"/>
                          </w:pPr>
                        </w:p>
                      </w:tc>
                    </w:tr>
                    <w:tr w:rsidR="00201BD1" w:rsidRPr="00066B53" w:rsidTr="00B22FC5">
                      <w:trPr>
                        <w:cantSplit/>
                        <w:trHeight w:val="416"/>
                      </w:trPr>
                      <w:tc>
                        <w:tcPr>
                          <w:tcW w:w="9866" w:type="dxa"/>
                          <w:tcMar>
                            <w:left w:w="0" w:type="dxa"/>
                            <w:right w:w="0" w:type="dxa"/>
                          </w:tcMar>
                        </w:tcPr>
                        <w:p w:rsidR="00201BD1" w:rsidRPr="00E30929" w:rsidRDefault="00C41854" w:rsidP="00066B53">
                          <w:pPr>
                            <w:pStyle w:val="L-I-EU-pagenumber"/>
                            <w:rPr>
                              <w:lang w:val="en-GB"/>
                            </w:rPr>
                          </w:pPr>
                          <w:r>
                            <w:t>PE4Trans</w:t>
                          </w:r>
                          <w:r w:rsidR="00201BD1">
                            <w:t xml:space="preserve"> </w:t>
                          </w:r>
                          <w:r w:rsidR="00201BD1" w:rsidRPr="00432443">
                            <w:fldChar w:fldCharType="begin"/>
                          </w:r>
                          <w:r w:rsidR="00201BD1" w:rsidRPr="00E30929">
                            <w:rPr>
                              <w:lang w:val="en-GB"/>
                            </w:rPr>
                            <w:instrText>PAGE   \* MERGEFORMAT</w:instrText>
                          </w:r>
                          <w:r w:rsidR="00201BD1" w:rsidRPr="00432443">
                            <w:fldChar w:fldCharType="separate"/>
                          </w:r>
                          <w:r w:rsidR="00A77A33" w:rsidRPr="00A77A33">
                            <w:rPr>
                              <w:noProof/>
                            </w:rPr>
                            <w:t>4</w:t>
                          </w:r>
                          <w:r w:rsidR="00201BD1" w:rsidRPr="00432443">
                            <w:fldChar w:fldCharType="end"/>
                          </w:r>
                          <w:r w:rsidR="00201BD1">
                            <w:rPr>
                              <w:lang w:val="en-GB"/>
                            </w:rPr>
                            <w:t xml:space="preserve"> /</w:t>
                          </w:r>
                          <w:r w:rsidR="00201BD1" w:rsidRPr="00E30929">
                            <w:rPr>
                              <w:lang w:val="en-GB"/>
                            </w:rPr>
                            <w:t xml:space="preserve"> </w:t>
                          </w:r>
                          <w:r w:rsidR="00201BD1">
                            <w:fldChar w:fldCharType="begin"/>
                          </w:r>
                          <w:r w:rsidR="00201BD1" w:rsidRPr="00E30929">
                            <w:rPr>
                              <w:lang w:val="en-GB"/>
                            </w:rPr>
                            <w:instrText xml:space="preserve"> NUMPAGES  \* Arabic  \* MERGEFORMAT </w:instrText>
                          </w:r>
                          <w:r w:rsidR="00201BD1">
                            <w:fldChar w:fldCharType="separate"/>
                          </w:r>
                          <w:r w:rsidR="00A77A33">
                            <w:rPr>
                              <w:noProof/>
                              <w:lang w:val="en-GB"/>
                            </w:rPr>
                            <w:t>4</w:t>
                          </w:r>
                          <w:r w:rsidR="00201BD1">
                            <w:rPr>
                              <w:noProof/>
                            </w:rPr>
                            <w:fldChar w:fldCharType="end"/>
                          </w:r>
                        </w:p>
                        <w:p w:rsidR="00201BD1" w:rsidRPr="00E30929" w:rsidRDefault="00201BD1" w:rsidP="00B22FC5">
                          <w:pPr>
                            <w:pStyle w:val="L-I-EU-footnote"/>
                            <w:jc w:val="right"/>
                            <w:rPr>
                              <w:lang w:val="en-GB"/>
                            </w:rPr>
                          </w:pPr>
                          <w:r w:rsidRPr="00E30929">
                            <w:rPr>
                              <w:noProof/>
                              <w:lang w:val="en-GB" w:eastAsia="fr-FR"/>
                            </w:rPr>
                            <w:t xml:space="preserve">                                   </w:t>
                          </w:r>
                          <w:r w:rsidRPr="00E30929">
                            <w:rPr>
                              <w:lang w:val="en-GB"/>
                            </w:rPr>
                            <w:t xml:space="preserve">    </w:t>
                          </w:r>
                        </w:p>
                        <w:p w:rsidR="00201BD1" w:rsidRPr="00E30929" w:rsidRDefault="00201BD1" w:rsidP="00B22FC5">
                          <w:pPr>
                            <w:pStyle w:val="L-I-EU-footnote"/>
                            <w:rPr>
                              <w:lang w:val="en-GB"/>
                            </w:rPr>
                          </w:pPr>
                          <w:r w:rsidRPr="00E30929">
                            <w:rPr>
                              <w:lang w:val="en-GB"/>
                            </w:rPr>
                            <w:t xml:space="preserve"> </w:t>
                          </w:r>
                        </w:p>
                        <w:p w:rsidR="00201BD1" w:rsidRPr="00E30929" w:rsidRDefault="00201BD1" w:rsidP="00B22FC5">
                          <w:pPr>
                            <w:pStyle w:val="L-I-EU-footnote"/>
                            <w:rPr>
                              <w:lang w:val="en-GB"/>
                            </w:rPr>
                          </w:pPr>
                        </w:p>
                        <w:p w:rsidR="00201BD1" w:rsidRPr="00E30929" w:rsidRDefault="00201BD1" w:rsidP="00B22FC5">
                          <w:pPr>
                            <w:pStyle w:val="L-I-EU-pagenumber"/>
                            <w:rPr>
                              <w:lang w:val="en-GB"/>
                            </w:rPr>
                          </w:pPr>
                        </w:p>
                      </w:tc>
                    </w:tr>
                    <w:tr w:rsidR="00201BD1" w:rsidRPr="00066B53" w:rsidTr="00B22FC5">
                      <w:trPr>
                        <w:cantSplit/>
                        <w:trHeight w:val="416"/>
                      </w:trPr>
                      <w:tc>
                        <w:tcPr>
                          <w:tcW w:w="9866" w:type="dxa"/>
                          <w:tcMar>
                            <w:left w:w="0" w:type="dxa"/>
                            <w:right w:w="0" w:type="dxa"/>
                          </w:tcMar>
                        </w:tcPr>
                        <w:p w:rsidR="00201BD1" w:rsidRDefault="00201BD1" w:rsidP="00066B53">
                          <w:pPr>
                            <w:pStyle w:val="L-I-EU-pagenumber"/>
                            <w:jc w:val="left"/>
                          </w:pPr>
                        </w:p>
                      </w:tc>
                    </w:tr>
                    <w:tr w:rsidR="00201BD1" w:rsidRPr="00066B53" w:rsidTr="00B22FC5">
                      <w:trPr>
                        <w:cantSplit/>
                        <w:trHeight w:val="416"/>
                      </w:trPr>
                      <w:tc>
                        <w:tcPr>
                          <w:tcW w:w="9866" w:type="dxa"/>
                          <w:tcMar>
                            <w:left w:w="0" w:type="dxa"/>
                            <w:right w:w="0" w:type="dxa"/>
                          </w:tcMar>
                        </w:tcPr>
                        <w:p w:rsidR="00201BD1" w:rsidRDefault="00201BD1" w:rsidP="00066B53">
                          <w:pPr>
                            <w:pStyle w:val="L-I-EU-pagenumber"/>
                            <w:jc w:val="left"/>
                          </w:pPr>
                        </w:p>
                      </w:tc>
                    </w:tr>
                  </w:tbl>
                  <w:p w:rsidR="00201BD1" w:rsidRPr="0098440B" w:rsidRDefault="00201BD1" w:rsidP="00201BD1">
                    <w:pPr>
                      <w:rPr>
                        <w:lang w:val="en-GB"/>
                      </w:rPr>
                    </w:pPr>
                  </w:p>
                </w:txbxContent>
              </v:textbox>
            </v:shape>
          </w:pict>
        </mc:Fallback>
      </mc:AlternateContent>
    </w:r>
  </w:p>
  <w:p w:rsidR="00201BD1" w:rsidRDefault="00201BD1" w:rsidP="00201BD1">
    <w:pPr>
      <w:pStyle w:val="Stopka"/>
    </w:pPr>
  </w:p>
  <w:p w:rsidR="00201BD1" w:rsidRDefault="00201B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D1" w:rsidRDefault="00201BD1" w:rsidP="00201BD1">
      <w:pPr>
        <w:spacing w:after="0" w:line="240" w:lineRule="auto"/>
      </w:pPr>
      <w:r>
        <w:separator/>
      </w:r>
    </w:p>
  </w:footnote>
  <w:footnote w:type="continuationSeparator" w:id="0">
    <w:p w:rsidR="00201BD1" w:rsidRDefault="00201BD1" w:rsidP="00201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D1" w:rsidRDefault="00177935" w:rsidP="00C41854">
    <w:pPr>
      <w:pStyle w:val="Nagwek"/>
      <w:jc w:val="right"/>
    </w:pPr>
    <w:r w:rsidRPr="00177935">
      <w:rPr>
        <w:noProof/>
        <w:lang w:val="pl-PL" w:eastAsia="pl-PL"/>
      </w:rPr>
      <w:drawing>
        <wp:anchor distT="0" distB="0" distL="114300" distR="114300" simplePos="0" relativeHeight="251664384" behindDoc="1" locked="0" layoutInCell="1" allowOverlap="1" wp14:anchorId="7E4B0F7F" wp14:editId="209E83F5">
          <wp:simplePos x="0" y="0"/>
          <wp:positionH relativeFrom="column">
            <wp:posOffset>3451860</wp:posOffset>
          </wp:positionH>
          <wp:positionV relativeFrom="paragraph">
            <wp:posOffset>-89222</wp:posOffset>
          </wp:positionV>
          <wp:extent cx="967105" cy="568960"/>
          <wp:effectExtent l="0" t="0" r="4445" b="2540"/>
          <wp:wrapTight wrapText="bothSides">
            <wp:wrapPolygon edited="0">
              <wp:start x="0" y="0"/>
              <wp:lineTo x="0" y="20973"/>
              <wp:lineTo x="21274" y="20973"/>
              <wp:lineTo x="21274"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935">
      <w:rPr>
        <w:noProof/>
        <w:lang w:val="pl-PL" w:eastAsia="pl-PL"/>
      </w:rPr>
      <w:drawing>
        <wp:anchor distT="0" distB="0" distL="114300" distR="114300" simplePos="0" relativeHeight="251661312" behindDoc="0" locked="0" layoutInCell="1" allowOverlap="1" wp14:anchorId="7A9CCE9C" wp14:editId="6CAF3EAA">
          <wp:simplePos x="0" y="0"/>
          <wp:positionH relativeFrom="margin">
            <wp:posOffset>-281618</wp:posOffset>
          </wp:positionH>
          <wp:positionV relativeFrom="topMargin">
            <wp:posOffset>352425</wp:posOffset>
          </wp:positionV>
          <wp:extent cx="2286000" cy="542925"/>
          <wp:effectExtent l="0" t="0" r="0" b="9525"/>
          <wp:wrapThrough wrapText="bothSides">
            <wp:wrapPolygon edited="0">
              <wp:start x="0" y="0"/>
              <wp:lineTo x="0" y="21221"/>
              <wp:lineTo x="21420" y="21221"/>
              <wp:lineTo x="21420" y="0"/>
              <wp:lineTo x="0" y="0"/>
            </wp:wrapPolygon>
          </wp:wrapThrough>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terreg_Europe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42925"/>
                  </a:xfrm>
                  <a:prstGeom prst="rect">
                    <a:avLst/>
                  </a:prstGeom>
                </pic:spPr>
              </pic:pic>
            </a:graphicData>
          </a:graphic>
        </wp:anchor>
      </w:drawing>
    </w:r>
    <w:r w:rsidRPr="00177935">
      <w:rPr>
        <w:noProof/>
        <w:lang w:val="pl-PL" w:eastAsia="pl-PL"/>
      </w:rPr>
      <w:drawing>
        <wp:anchor distT="0" distB="0" distL="114300" distR="114300" simplePos="0" relativeHeight="251663360" behindDoc="1" locked="0" layoutInCell="1" allowOverlap="1" wp14:anchorId="47969839" wp14:editId="775A8E75">
          <wp:simplePos x="0" y="0"/>
          <wp:positionH relativeFrom="column">
            <wp:posOffset>2288218</wp:posOffset>
          </wp:positionH>
          <wp:positionV relativeFrom="paragraph">
            <wp:posOffset>-1905</wp:posOffset>
          </wp:positionV>
          <wp:extent cx="829310" cy="455930"/>
          <wp:effectExtent l="0" t="0" r="8890" b="1270"/>
          <wp:wrapTight wrapText="bothSides">
            <wp:wrapPolygon edited="0">
              <wp:start x="0" y="0"/>
              <wp:lineTo x="0" y="20758"/>
              <wp:lineTo x="21335" y="20758"/>
              <wp:lineTo x="21335" y="0"/>
              <wp:lineTo x="0" y="0"/>
            </wp:wrapPolygon>
          </wp:wrapTight>
          <wp:docPr id="23" name="Obraz 23" descr="http://sako-info.pl/wp-content/uploads/2018/07/sako-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o-info.pl/wp-content/uploads/2018/07/sako-log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935">
      <w:rPr>
        <w:noProof/>
        <w:lang w:val="pl-PL" w:eastAsia="pl-PL"/>
      </w:rPr>
      <w:drawing>
        <wp:anchor distT="0" distB="0" distL="114300" distR="114300" simplePos="0" relativeHeight="251662336" behindDoc="0" locked="0" layoutInCell="1" allowOverlap="1" wp14:anchorId="24A7E753" wp14:editId="58622CD3">
          <wp:simplePos x="0" y="0"/>
          <wp:positionH relativeFrom="column">
            <wp:posOffset>4659317</wp:posOffset>
          </wp:positionH>
          <wp:positionV relativeFrom="paragraph">
            <wp:posOffset>-267335</wp:posOffset>
          </wp:positionV>
          <wp:extent cx="1647825" cy="823595"/>
          <wp:effectExtent l="0" t="0" r="9525" b="0"/>
          <wp:wrapNone/>
          <wp:docPr id="24" name="Obraz 24" descr="C:\Users\KAMILA~1.DOB\AppData\Local\Temp\PE4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ILA~1.DOB\AppData\Local\Temp\PE4Tran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569F1"/>
    <w:multiLevelType w:val="hybridMultilevel"/>
    <w:tmpl w:val="12605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2B3DC9"/>
    <w:multiLevelType w:val="hybridMultilevel"/>
    <w:tmpl w:val="17FC8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1BD3573"/>
    <w:multiLevelType w:val="multilevel"/>
    <w:tmpl w:val="8E5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85"/>
    <w:rsid w:val="00073E00"/>
    <w:rsid w:val="000E4C28"/>
    <w:rsid w:val="00177935"/>
    <w:rsid w:val="00192D4F"/>
    <w:rsid w:val="001E677D"/>
    <w:rsid w:val="00201BD1"/>
    <w:rsid w:val="002B5BE2"/>
    <w:rsid w:val="00576617"/>
    <w:rsid w:val="00792C81"/>
    <w:rsid w:val="00881F4C"/>
    <w:rsid w:val="009100AC"/>
    <w:rsid w:val="00981FBA"/>
    <w:rsid w:val="00994D6E"/>
    <w:rsid w:val="009B17B9"/>
    <w:rsid w:val="00A22094"/>
    <w:rsid w:val="00A77A33"/>
    <w:rsid w:val="00AD62FD"/>
    <w:rsid w:val="00C41854"/>
    <w:rsid w:val="00D33085"/>
    <w:rsid w:val="00DD4CC3"/>
    <w:rsid w:val="00E97768"/>
    <w:rsid w:val="00E97A72"/>
    <w:rsid w:val="00F5718B"/>
    <w:rsid w:val="00FF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7B255FB-D346-49FB-A452-8F6FE4C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BD1"/>
  </w:style>
  <w:style w:type="paragraph" w:styleId="Nagwek1">
    <w:name w:val="heading 1"/>
    <w:basedOn w:val="Normalny"/>
    <w:next w:val="Normalny"/>
    <w:link w:val="Nagwek1Znak"/>
    <w:uiPriority w:val="9"/>
    <w:qFormat/>
    <w:rsid w:val="00201BD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201BD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01BD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01BD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01BD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01BD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01BD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01BD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01BD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1BD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01BD1"/>
  </w:style>
  <w:style w:type="paragraph" w:styleId="Stopka">
    <w:name w:val="footer"/>
    <w:basedOn w:val="Normalny"/>
    <w:link w:val="StopkaZnak"/>
    <w:uiPriority w:val="99"/>
    <w:unhideWhenUsed/>
    <w:rsid w:val="00201BD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01BD1"/>
  </w:style>
  <w:style w:type="paragraph" w:customStyle="1" w:styleId="L-I-EU-pagenumber">
    <w:name w:val="L-I-EU-page number"/>
    <w:basedOn w:val="Normalny"/>
    <w:link w:val="L-I-EU-pagenumberCar"/>
    <w:rsid w:val="00201BD1"/>
    <w:pPr>
      <w:spacing w:after="200" w:line="360" w:lineRule="auto"/>
      <w:jc w:val="right"/>
    </w:pPr>
    <w:rPr>
      <w:rFonts w:ascii="Arial" w:eastAsia="Arial" w:hAnsi="Arial" w:cs="Times New Roman"/>
      <w:sz w:val="18"/>
      <w:szCs w:val="18"/>
      <w:lang w:val="fr-FR"/>
    </w:rPr>
  </w:style>
  <w:style w:type="character" w:customStyle="1" w:styleId="L-I-EU-pagenumberCar">
    <w:name w:val="L-I-EU-page number Car"/>
    <w:basedOn w:val="Domylnaczcionkaakapitu"/>
    <w:link w:val="L-I-EU-pagenumber"/>
    <w:rsid w:val="00201BD1"/>
    <w:rPr>
      <w:rFonts w:ascii="Arial" w:eastAsia="Arial" w:hAnsi="Arial" w:cs="Times New Roman"/>
      <w:sz w:val="18"/>
      <w:szCs w:val="18"/>
      <w:lang w:val="fr-FR"/>
    </w:rPr>
  </w:style>
  <w:style w:type="paragraph" w:customStyle="1" w:styleId="L-I-EU-footnote">
    <w:name w:val="L-I-EU-footnote"/>
    <w:basedOn w:val="Normalny"/>
    <w:link w:val="L-I-EU-footnoteCar"/>
    <w:rsid w:val="00201BD1"/>
    <w:pPr>
      <w:spacing w:after="0" w:line="240" w:lineRule="auto"/>
      <w:jc w:val="both"/>
    </w:pPr>
    <w:rPr>
      <w:rFonts w:ascii="Arial" w:eastAsia="Arial" w:hAnsi="Arial" w:cs="Times New Roman"/>
      <w:sz w:val="14"/>
      <w:szCs w:val="14"/>
      <w:lang w:val="fr-FR"/>
    </w:rPr>
  </w:style>
  <w:style w:type="character" w:customStyle="1" w:styleId="L-I-EU-footnoteCar">
    <w:name w:val="L-I-EU-footnote Car"/>
    <w:basedOn w:val="Domylnaczcionkaakapitu"/>
    <w:link w:val="L-I-EU-footnote"/>
    <w:rsid w:val="00201BD1"/>
    <w:rPr>
      <w:rFonts w:ascii="Arial" w:eastAsia="Arial" w:hAnsi="Arial" w:cs="Times New Roman"/>
      <w:sz w:val="14"/>
      <w:szCs w:val="14"/>
      <w:lang w:val="fr-FR"/>
    </w:rPr>
  </w:style>
  <w:style w:type="paragraph" w:styleId="Tekstdymka">
    <w:name w:val="Balloon Text"/>
    <w:basedOn w:val="Normalny"/>
    <w:link w:val="TekstdymkaZnak"/>
    <w:uiPriority w:val="99"/>
    <w:semiHidden/>
    <w:unhideWhenUsed/>
    <w:rsid w:val="00201B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1BD1"/>
    <w:rPr>
      <w:rFonts w:ascii="Segoe UI" w:hAnsi="Segoe UI" w:cs="Segoe UI"/>
      <w:sz w:val="18"/>
      <w:szCs w:val="18"/>
    </w:rPr>
  </w:style>
  <w:style w:type="character" w:customStyle="1" w:styleId="Nagwek1Znak">
    <w:name w:val="Nagłówek 1 Znak"/>
    <w:basedOn w:val="Domylnaczcionkaakapitu"/>
    <w:link w:val="Nagwek1"/>
    <w:uiPriority w:val="9"/>
    <w:rsid w:val="00201BD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201BD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01BD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01BD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01BD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01BD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01BD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01BD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01BD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01BD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01BD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01BD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01BD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01BD1"/>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201BD1"/>
    <w:rPr>
      <w:b/>
      <w:bCs/>
    </w:rPr>
  </w:style>
  <w:style w:type="character" w:styleId="Uwydatnienie">
    <w:name w:val="Emphasis"/>
    <w:basedOn w:val="Domylnaczcionkaakapitu"/>
    <w:uiPriority w:val="20"/>
    <w:qFormat/>
    <w:rsid w:val="00201BD1"/>
    <w:rPr>
      <w:i/>
      <w:iCs/>
    </w:rPr>
  </w:style>
  <w:style w:type="paragraph" w:styleId="Bezodstpw">
    <w:name w:val="No Spacing"/>
    <w:link w:val="BezodstpwZnak"/>
    <w:uiPriority w:val="1"/>
    <w:qFormat/>
    <w:rsid w:val="00201BD1"/>
    <w:pPr>
      <w:spacing w:after="0" w:line="240" w:lineRule="auto"/>
    </w:pPr>
  </w:style>
  <w:style w:type="character" w:customStyle="1" w:styleId="BezodstpwZnak">
    <w:name w:val="Bez odstępów Znak"/>
    <w:basedOn w:val="Domylnaczcionkaakapitu"/>
    <w:link w:val="Bezodstpw"/>
    <w:uiPriority w:val="1"/>
    <w:rsid w:val="00201BD1"/>
  </w:style>
  <w:style w:type="paragraph" w:styleId="Akapitzlist">
    <w:name w:val="List Paragraph"/>
    <w:basedOn w:val="Normalny"/>
    <w:uiPriority w:val="34"/>
    <w:qFormat/>
    <w:rsid w:val="00201BD1"/>
    <w:pPr>
      <w:ind w:left="720"/>
      <w:contextualSpacing/>
    </w:pPr>
  </w:style>
  <w:style w:type="paragraph" w:styleId="Cytat">
    <w:name w:val="Quote"/>
    <w:basedOn w:val="Normalny"/>
    <w:next w:val="Normalny"/>
    <w:link w:val="CytatZnak"/>
    <w:uiPriority w:val="29"/>
    <w:qFormat/>
    <w:rsid w:val="00201BD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01BD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01BD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01BD1"/>
    <w:rPr>
      <w:color w:val="404040" w:themeColor="text1" w:themeTint="BF"/>
      <w:sz w:val="32"/>
      <w:szCs w:val="32"/>
    </w:rPr>
  </w:style>
  <w:style w:type="character" w:styleId="Wyrnieniedelikatne">
    <w:name w:val="Subtle Emphasis"/>
    <w:basedOn w:val="Domylnaczcionkaakapitu"/>
    <w:uiPriority w:val="19"/>
    <w:qFormat/>
    <w:rsid w:val="00201BD1"/>
    <w:rPr>
      <w:i/>
      <w:iCs/>
      <w:color w:val="595959" w:themeColor="text1" w:themeTint="A6"/>
    </w:rPr>
  </w:style>
  <w:style w:type="character" w:styleId="Wyrnienieintensywne">
    <w:name w:val="Intense Emphasis"/>
    <w:basedOn w:val="Domylnaczcionkaakapitu"/>
    <w:uiPriority w:val="21"/>
    <w:qFormat/>
    <w:rsid w:val="00201BD1"/>
    <w:rPr>
      <w:b/>
      <w:bCs/>
      <w:i/>
      <w:iCs/>
    </w:rPr>
  </w:style>
  <w:style w:type="character" w:styleId="Odwoaniedelikatne">
    <w:name w:val="Subtle Reference"/>
    <w:basedOn w:val="Domylnaczcionkaakapitu"/>
    <w:uiPriority w:val="31"/>
    <w:qFormat/>
    <w:rsid w:val="00201BD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01BD1"/>
    <w:rPr>
      <w:b/>
      <w:bCs/>
      <w:caps w:val="0"/>
      <w:smallCaps/>
      <w:color w:val="auto"/>
      <w:spacing w:val="3"/>
      <w:u w:val="single"/>
    </w:rPr>
  </w:style>
  <w:style w:type="character" w:styleId="Tytuksiki">
    <w:name w:val="Book Title"/>
    <w:basedOn w:val="Domylnaczcionkaakapitu"/>
    <w:uiPriority w:val="33"/>
    <w:qFormat/>
    <w:rsid w:val="00201BD1"/>
    <w:rPr>
      <w:b/>
      <w:bCs/>
      <w:smallCaps/>
      <w:spacing w:val="7"/>
    </w:rPr>
  </w:style>
  <w:style w:type="paragraph" w:styleId="Nagwekspisutreci">
    <w:name w:val="TOC Heading"/>
    <w:basedOn w:val="Nagwek1"/>
    <w:next w:val="Normalny"/>
    <w:uiPriority w:val="39"/>
    <w:semiHidden/>
    <w:unhideWhenUsed/>
    <w:qFormat/>
    <w:rsid w:val="00201BD1"/>
    <w:pPr>
      <w:outlineLvl w:val="9"/>
    </w:pPr>
  </w:style>
  <w:style w:type="paragraph" w:styleId="NormalnyWeb">
    <w:name w:val="Normal (Web)"/>
    <w:basedOn w:val="Normalny"/>
    <w:uiPriority w:val="99"/>
    <w:semiHidden/>
    <w:unhideWhenUsed/>
    <w:rsid w:val="009B17B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tev-glossary-highlighted">
    <w:name w:val="tev-glossary-highlighted"/>
    <w:basedOn w:val="Domylnaczcionkaakapitu"/>
    <w:rsid w:val="009B17B9"/>
  </w:style>
  <w:style w:type="table" w:styleId="Tabela-Siatka">
    <w:name w:val="Table Grid"/>
    <w:basedOn w:val="Standardowy"/>
    <w:rsid w:val="009B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D4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85091">
      <w:bodyDiv w:val="1"/>
      <w:marLeft w:val="0"/>
      <w:marRight w:val="0"/>
      <w:marTop w:val="0"/>
      <w:marBottom w:val="0"/>
      <w:divBdr>
        <w:top w:val="none" w:sz="0" w:space="0" w:color="auto"/>
        <w:left w:val="none" w:sz="0" w:space="0" w:color="auto"/>
        <w:bottom w:val="none" w:sz="0" w:space="0" w:color="auto"/>
        <w:right w:val="none" w:sz="0" w:space="0" w:color="auto"/>
      </w:divBdr>
    </w:div>
    <w:div w:id="1937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iatek@ppnt.poznan.pl" TargetMode="External"/><Relationship Id="rId13" Type="http://schemas.openxmlformats.org/officeDocument/2006/relationships/hyperlink" Target="https://www.valladoli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h.gr/en/r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entry.ac.uk/business/our-services/coventry-university-group/coventry-university-enterprises-limit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ko-info.pl/" TargetMode="External"/><Relationship Id="rId4" Type="http://schemas.openxmlformats.org/officeDocument/2006/relationships/settings" Target="settings.xml"/><Relationship Id="rId9" Type="http://schemas.openxmlformats.org/officeDocument/2006/relationships/hyperlink" Target="http://ppnt.poznan.pl/en/" TargetMode="External"/><Relationship Id="rId14" Type="http://schemas.openxmlformats.org/officeDocument/2006/relationships/hyperlink" Target="https://www.grafschaft-benthei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B62B-8C0E-42C3-B876-7BD12FE6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960</Words>
  <Characters>5765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Bętkowski</dc:creator>
  <cp:keywords/>
  <dc:description/>
  <cp:lastModifiedBy>Magdalena Piątek</cp:lastModifiedBy>
  <cp:revision>7</cp:revision>
  <cp:lastPrinted>2019-02-27T14:15:00Z</cp:lastPrinted>
  <dcterms:created xsi:type="dcterms:W3CDTF">2019-02-27T11:33:00Z</dcterms:created>
  <dcterms:modified xsi:type="dcterms:W3CDTF">2019-02-27T14:15:00Z</dcterms:modified>
</cp:coreProperties>
</file>