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3C25" w14:textId="77777777" w:rsidR="007E7169" w:rsidRPr="006A4C93" w:rsidRDefault="007E7169" w:rsidP="00837006">
      <w:pPr>
        <w:shd w:val="clear" w:color="auto" w:fill="FFFFFF" w:themeFill="background1"/>
        <w:spacing w:after="120"/>
        <w:rPr>
          <w:rFonts w:eastAsia="Batang" w:cstheme="minorHAnsi"/>
          <w:b/>
          <w:bCs/>
          <w:sz w:val="24"/>
          <w:szCs w:val="16"/>
          <w:lang w:val="en-US"/>
        </w:rPr>
      </w:pPr>
    </w:p>
    <w:p w14:paraId="43343C72" w14:textId="634EFE06" w:rsidR="007E7169" w:rsidRPr="006A4C93" w:rsidRDefault="00837006" w:rsidP="00837006">
      <w:pPr>
        <w:shd w:val="clear" w:color="auto" w:fill="FFFFFF" w:themeFill="background1"/>
        <w:spacing w:after="120"/>
        <w:jc w:val="left"/>
        <w:rPr>
          <w:rFonts w:eastAsia="Batang" w:cstheme="minorHAnsi"/>
          <w:b/>
          <w:bCs/>
          <w:sz w:val="32"/>
          <w:szCs w:val="32"/>
          <w:lang w:val="en-US"/>
        </w:rPr>
      </w:pPr>
      <w:r w:rsidRPr="006A4C93">
        <w:rPr>
          <w:lang w:eastAsia="en-GB"/>
        </w:rPr>
        <w:drawing>
          <wp:inline distT="0" distB="0" distL="0" distR="0" wp14:anchorId="68742603" wp14:editId="4AE32844">
            <wp:extent cx="2767053" cy="1379220"/>
            <wp:effectExtent l="0" t="0" r="1905" b="0"/>
            <wp:docPr id="2" name="Εικόνα 2" descr="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776" cy="1383069"/>
                    </a:xfrm>
                    <a:prstGeom prst="rect">
                      <a:avLst/>
                    </a:prstGeom>
                    <a:noFill/>
                    <a:ln>
                      <a:noFill/>
                    </a:ln>
                  </pic:spPr>
                </pic:pic>
              </a:graphicData>
            </a:graphic>
          </wp:inline>
        </w:drawing>
      </w:r>
    </w:p>
    <w:p w14:paraId="45FFB58F" w14:textId="47C8573C" w:rsidR="007E7169" w:rsidRDefault="007E7169" w:rsidP="00837006">
      <w:pPr>
        <w:shd w:val="clear" w:color="auto" w:fill="FFFFFF" w:themeFill="background1"/>
        <w:spacing w:after="120"/>
        <w:jc w:val="left"/>
        <w:rPr>
          <w:rFonts w:eastAsia="Batang" w:cstheme="minorHAnsi"/>
          <w:b/>
          <w:bCs/>
          <w:sz w:val="32"/>
          <w:szCs w:val="32"/>
          <w:lang w:val="en-US"/>
        </w:rPr>
      </w:pPr>
    </w:p>
    <w:p w14:paraId="7DE5081C" w14:textId="77777777" w:rsidR="007E7169" w:rsidRPr="006A4C93" w:rsidRDefault="007E7169" w:rsidP="00837006">
      <w:pPr>
        <w:shd w:val="clear" w:color="auto" w:fill="FFFFFF" w:themeFill="background1"/>
        <w:spacing w:after="120"/>
        <w:jc w:val="center"/>
        <w:rPr>
          <w:rFonts w:eastAsia="Batang" w:cstheme="minorHAnsi"/>
          <w:b/>
          <w:bCs/>
          <w:sz w:val="32"/>
          <w:szCs w:val="32"/>
          <w:lang w:val="en-US"/>
        </w:rPr>
      </w:pPr>
    </w:p>
    <w:p w14:paraId="72E34DC8" w14:textId="77777777" w:rsidR="005A4EE2" w:rsidRPr="006A4C93" w:rsidRDefault="005A4EE2" w:rsidP="00837006">
      <w:pPr>
        <w:shd w:val="clear" w:color="auto" w:fill="FFFFFF" w:themeFill="background1"/>
        <w:spacing w:after="120"/>
        <w:jc w:val="center"/>
        <w:rPr>
          <w:rFonts w:eastAsia="Batang" w:cstheme="minorHAnsi"/>
          <w:b/>
          <w:bCs/>
          <w:sz w:val="32"/>
          <w:szCs w:val="32"/>
          <w:lang w:val="en-US"/>
        </w:rPr>
      </w:pPr>
    </w:p>
    <w:p w14:paraId="4178213B" w14:textId="77777777" w:rsidR="004415DC" w:rsidRPr="006A4C93" w:rsidRDefault="004415DC" w:rsidP="00837006">
      <w:pPr>
        <w:pStyle w:val="Title"/>
        <w:shd w:val="clear" w:color="auto" w:fill="FFFFFF" w:themeFill="background1"/>
        <w:rPr>
          <w:color w:val="021B2B" w:themeColor="background2" w:themeShade="1A"/>
        </w:rPr>
      </w:pPr>
    </w:p>
    <w:p w14:paraId="1840CC02" w14:textId="77777777" w:rsidR="00E37976" w:rsidRPr="006A4C93" w:rsidRDefault="00E37976" w:rsidP="00837006">
      <w:pPr>
        <w:pStyle w:val="Title"/>
        <w:shd w:val="clear" w:color="auto" w:fill="FFFFFF" w:themeFill="background1"/>
        <w:rPr>
          <w:color w:val="021B2B" w:themeColor="background2" w:themeShade="1A"/>
        </w:rPr>
      </w:pPr>
      <w:r w:rsidRPr="006A4C93">
        <w:rPr>
          <w:color w:val="021B2B" w:themeColor="background2" w:themeShade="1A"/>
        </w:rPr>
        <w:t xml:space="preserve">Capitalisation report </w:t>
      </w:r>
    </w:p>
    <w:p w14:paraId="4048A165" w14:textId="72C56E80" w:rsidR="005A4EE2" w:rsidRPr="006A4C93" w:rsidRDefault="00EB4D34" w:rsidP="00837006">
      <w:pPr>
        <w:pStyle w:val="Title"/>
        <w:shd w:val="clear" w:color="auto" w:fill="FFFFFF" w:themeFill="background1"/>
        <w:rPr>
          <w:color w:val="021B2B" w:themeColor="background2" w:themeShade="1A"/>
        </w:rPr>
      </w:pPr>
      <w:r w:rsidRPr="006A4C93">
        <w:rPr>
          <w:color w:val="021B2B" w:themeColor="background2" w:themeShade="1A"/>
        </w:rPr>
        <w:t xml:space="preserve">BRIDGES </w:t>
      </w:r>
      <w:r w:rsidR="00E37976" w:rsidRPr="006A4C93">
        <w:rPr>
          <w:color w:val="021B2B" w:themeColor="background2" w:themeShade="1A"/>
        </w:rPr>
        <w:t>innovation maps</w:t>
      </w:r>
      <w:r w:rsidR="004415DC" w:rsidRPr="006A4C93">
        <w:rPr>
          <w:color w:val="021B2B" w:themeColor="background2" w:themeShade="1A"/>
        </w:rPr>
        <w:t xml:space="preserve"> </w:t>
      </w:r>
    </w:p>
    <w:p w14:paraId="3D648392" w14:textId="77777777" w:rsidR="005A4EE2" w:rsidRPr="006A4C93" w:rsidRDefault="005A4EE2" w:rsidP="00837006">
      <w:pPr>
        <w:shd w:val="clear" w:color="auto" w:fill="FFFFFF" w:themeFill="background1"/>
        <w:ind w:left="2608"/>
      </w:pPr>
    </w:p>
    <w:p w14:paraId="541856BF" w14:textId="77777777" w:rsidR="005A4EE2" w:rsidRPr="006A4C93" w:rsidRDefault="005A4EE2" w:rsidP="00837006">
      <w:pPr>
        <w:shd w:val="clear" w:color="auto" w:fill="FFFFFF" w:themeFill="background1"/>
        <w:ind w:left="2608"/>
      </w:pPr>
    </w:p>
    <w:p w14:paraId="44C4CE01" w14:textId="77777777" w:rsidR="005A4EE2" w:rsidRPr="006A4C93" w:rsidRDefault="005A4EE2" w:rsidP="00837006">
      <w:pPr>
        <w:shd w:val="clear" w:color="auto" w:fill="FFFFFF" w:themeFill="background1"/>
        <w:ind w:left="2608"/>
      </w:pPr>
    </w:p>
    <w:p w14:paraId="4D1FD66D" w14:textId="77777777" w:rsidR="005A4EE2" w:rsidRPr="006A4C93" w:rsidRDefault="005A4EE2" w:rsidP="00837006">
      <w:pPr>
        <w:shd w:val="clear" w:color="auto" w:fill="FFFFFF" w:themeFill="background1"/>
        <w:ind w:left="2608"/>
      </w:pPr>
    </w:p>
    <w:p w14:paraId="5971FA2C" w14:textId="77777777" w:rsidR="005A4EE2" w:rsidRPr="006A4C93" w:rsidRDefault="005A4EE2" w:rsidP="00837006">
      <w:pPr>
        <w:shd w:val="clear" w:color="auto" w:fill="FFFFFF" w:themeFill="background1"/>
        <w:ind w:left="2608"/>
      </w:pPr>
    </w:p>
    <w:p w14:paraId="04975D61" w14:textId="77777777" w:rsidR="005A4EE2" w:rsidRDefault="005A4EE2" w:rsidP="00837006">
      <w:pPr>
        <w:shd w:val="clear" w:color="auto" w:fill="FFFFFF" w:themeFill="background1"/>
        <w:ind w:left="2608"/>
      </w:pPr>
    </w:p>
    <w:p w14:paraId="378E0848" w14:textId="77777777" w:rsidR="00837006" w:rsidRDefault="00837006" w:rsidP="00837006">
      <w:pPr>
        <w:shd w:val="clear" w:color="auto" w:fill="FFFFFF" w:themeFill="background1"/>
        <w:ind w:left="2608"/>
      </w:pPr>
    </w:p>
    <w:p w14:paraId="5EE07657" w14:textId="77777777" w:rsidR="00837006" w:rsidRPr="006A4C93" w:rsidRDefault="00837006" w:rsidP="00837006">
      <w:pPr>
        <w:shd w:val="clear" w:color="auto" w:fill="FFFFFF" w:themeFill="background1"/>
        <w:ind w:left="2608"/>
      </w:pPr>
    </w:p>
    <w:p w14:paraId="3DE5FB39" w14:textId="77777777" w:rsidR="005A4EE2" w:rsidRPr="006A4C93" w:rsidRDefault="005A4EE2" w:rsidP="00837006">
      <w:pPr>
        <w:shd w:val="clear" w:color="auto" w:fill="FFFFFF" w:themeFill="background1"/>
        <w:ind w:left="2608"/>
      </w:pPr>
    </w:p>
    <w:p w14:paraId="4FD5D271" w14:textId="77777777" w:rsidR="005A4EE2" w:rsidRPr="006A4C93" w:rsidRDefault="005A4EE2" w:rsidP="00837006">
      <w:pPr>
        <w:shd w:val="clear" w:color="auto" w:fill="FFFFFF" w:themeFill="background1"/>
        <w:ind w:left="2608"/>
      </w:pPr>
    </w:p>
    <w:p w14:paraId="60601134" w14:textId="0C1943BF" w:rsidR="005A4EE2" w:rsidRPr="006A4C93" w:rsidRDefault="005A4EE2" w:rsidP="00837006">
      <w:pPr>
        <w:shd w:val="clear" w:color="auto" w:fill="FFFFFF" w:themeFill="background1"/>
        <w:ind w:left="2608"/>
      </w:pPr>
      <w:r w:rsidRPr="006A4C93">
        <w:t>BRIDGES project 2</w:t>
      </w:r>
      <w:r w:rsidRPr="006A4C93">
        <w:rPr>
          <w:vertAlign w:val="superscript"/>
        </w:rPr>
        <w:t>nd</w:t>
      </w:r>
      <w:r w:rsidRPr="006A4C93">
        <w:t xml:space="preserve"> semester deliverable</w:t>
      </w:r>
    </w:p>
    <w:p w14:paraId="50A890FC" w14:textId="77777777" w:rsidR="00B00321" w:rsidRPr="006A4C93" w:rsidRDefault="00B00321" w:rsidP="0027228E">
      <w:pPr>
        <w:pStyle w:val="TOC1"/>
      </w:pPr>
    </w:p>
    <w:p w14:paraId="6DCF0583" w14:textId="77777777" w:rsidR="00B00321" w:rsidRPr="006A4C93" w:rsidRDefault="00B00321" w:rsidP="0027228E">
      <w:pPr>
        <w:pStyle w:val="TOC1"/>
      </w:pPr>
    </w:p>
    <w:p w14:paraId="16056711" w14:textId="77777777" w:rsidR="001A40F2" w:rsidRPr="006A4C93" w:rsidRDefault="001A40F2" w:rsidP="0027228E">
      <w:pPr>
        <w:pStyle w:val="TOC1"/>
      </w:pPr>
    </w:p>
    <w:p w14:paraId="684FC65F" w14:textId="77777777" w:rsidR="001A40F2" w:rsidRPr="006A4C93" w:rsidRDefault="001A40F2" w:rsidP="0027228E">
      <w:pPr>
        <w:pStyle w:val="TOC1"/>
      </w:pPr>
    </w:p>
    <w:p w14:paraId="577A2A7D" w14:textId="77777777" w:rsidR="001A40F2" w:rsidRPr="006A4C93" w:rsidRDefault="001A40F2" w:rsidP="0027228E">
      <w:pPr>
        <w:pStyle w:val="TOC1"/>
      </w:pPr>
    </w:p>
    <w:p w14:paraId="04BCE08B" w14:textId="77777777" w:rsidR="001A40F2" w:rsidRPr="006A4C93" w:rsidRDefault="001A40F2" w:rsidP="0027228E">
      <w:pPr>
        <w:pStyle w:val="TOC1"/>
      </w:pPr>
    </w:p>
    <w:p w14:paraId="5CFEF3E2" w14:textId="77777777" w:rsidR="001A40F2" w:rsidRPr="006A4C93" w:rsidRDefault="001A40F2" w:rsidP="0027228E">
      <w:pPr>
        <w:pStyle w:val="TOC1"/>
      </w:pPr>
    </w:p>
    <w:p w14:paraId="3BDF1891" w14:textId="77777777" w:rsidR="001A40F2" w:rsidRPr="006A4C93" w:rsidRDefault="001A40F2" w:rsidP="0027228E">
      <w:pPr>
        <w:pStyle w:val="TOC1"/>
      </w:pPr>
    </w:p>
    <w:p w14:paraId="78BE48FD" w14:textId="77777777" w:rsidR="001A40F2" w:rsidRPr="006A4C93" w:rsidRDefault="001A40F2" w:rsidP="0027228E">
      <w:pPr>
        <w:pStyle w:val="TOC1"/>
      </w:pPr>
    </w:p>
    <w:p w14:paraId="37031BB4" w14:textId="77777777" w:rsidR="001A40F2" w:rsidRPr="006A4C93" w:rsidRDefault="001A40F2" w:rsidP="0027228E">
      <w:pPr>
        <w:pStyle w:val="TOC1"/>
      </w:pPr>
    </w:p>
    <w:p w14:paraId="0D4AA3BB" w14:textId="77777777" w:rsidR="001A40F2" w:rsidRPr="006A4C93" w:rsidRDefault="001A40F2" w:rsidP="0027228E">
      <w:pPr>
        <w:pStyle w:val="TOC1"/>
      </w:pPr>
    </w:p>
    <w:p w14:paraId="194B31A9" w14:textId="77777777" w:rsidR="004B7610" w:rsidRPr="006A4C93" w:rsidRDefault="004B7610" w:rsidP="00837006">
      <w:pPr>
        <w:shd w:val="clear" w:color="auto" w:fill="FFFFFF" w:themeFill="background1"/>
        <w:rPr>
          <w:i/>
        </w:rPr>
      </w:pPr>
      <w:bookmarkStart w:id="0" w:name="_Toc353827529"/>
    </w:p>
    <w:p w14:paraId="74BCD72A" w14:textId="77777777" w:rsidR="004B7610" w:rsidRPr="006A4C93" w:rsidRDefault="004B7610" w:rsidP="00837006">
      <w:pPr>
        <w:shd w:val="clear" w:color="auto" w:fill="FFFFFF" w:themeFill="background1"/>
        <w:rPr>
          <w:i/>
        </w:rPr>
      </w:pPr>
    </w:p>
    <w:p w14:paraId="0B975DFF" w14:textId="77777777" w:rsidR="004B7610" w:rsidRPr="006A4C93" w:rsidRDefault="004B7610" w:rsidP="00837006">
      <w:pPr>
        <w:shd w:val="clear" w:color="auto" w:fill="FFFFFF" w:themeFill="background1"/>
        <w:rPr>
          <w:i/>
        </w:rPr>
      </w:pPr>
    </w:p>
    <w:p w14:paraId="49541F9E" w14:textId="77777777" w:rsidR="004B7610" w:rsidRPr="006A4C93" w:rsidRDefault="004B7610" w:rsidP="00837006">
      <w:pPr>
        <w:shd w:val="clear" w:color="auto" w:fill="FFFFFF" w:themeFill="background1"/>
        <w:rPr>
          <w:i/>
        </w:rPr>
      </w:pPr>
    </w:p>
    <w:p w14:paraId="63982CF5" w14:textId="77777777" w:rsidR="00BA081B" w:rsidRPr="006A4C93" w:rsidRDefault="00BA081B" w:rsidP="00837006">
      <w:pPr>
        <w:shd w:val="clear" w:color="auto" w:fill="FFFFFF" w:themeFill="background1"/>
        <w:rPr>
          <w:i/>
        </w:rPr>
      </w:pPr>
    </w:p>
    <w:p w14:paraId="06A9E078" w14:textId="457382FE" w:rsidR="009C2332" w:rsidRPr="006A4C93" w:rsidRDefault="009C2332" w:rsidP="00837006">
      <w:pPr>
        <w:pStyle w:val="Heading2"/>
      </w:pPr>
      <w:bookmarkStart w:id="1" w:name="_Ref502666041"/>
      <w:bookmarkStart w:id="2" w:name="_Ref502666048"/>
      <w:bookmarkStart w:id="3" w:name="_Ref502666055"/>
      <w:bookmarkStart w:id="4" w:name="_Toc526593109"/>
      <w:r w:rsidRPr="006A4C93">
        <w:t>Contributions</w:t>
      </w:r>
      <w:bookmarkEnd w:id="0"/>
      <w:bookmarkEnd w:id="1"/>
      <w:bookmarkEnd w:id="2"/>
      <w:bookmarkEnd w:id="3"/>
      <w:bookmarkEnd w:id="4"/>
    </w:p>
    <w:p w14:paraId="4C6F9D48" w14:textId="02E83FEA" w:rsidR="008D2426" w:rsidRPr="006A4C93" w:rsidRDefault="008D2426" w:rsidP="00F01E0F">
      <w:pPr>
        <w:pStyle w:val="ListNumber2"/>
      </w:pPr>
      <w:bookmarkStart w:id="5" w:name="_Ref354989501"/>
      <w:r w:rsidRPr="006A4C93">
        <w:t>Criteria for the innovation maps, PP3 LuVo PL, PP1 KE FI</w:t>
      </w:r>
      <w:bookmarkEnd w:id="5"/>
    </w:p>
    <w:p w14:paraId="27B21AD3" w14:textId="7A16B7AB" w:rsidR="009C2332" w:rsidRPr="006A4C93" w:rsidRDefault="008D2426" w:rsidP="00F01E0F">
      <w:pPr>
        <w:pStyle w:val="ListNumber2"/>
      </w:pPr>
      <w:r w:rsidRPr="006A4C93">
        <w:t>Innovation maps: PP2 RCK</w:t>
      </w:r>
      <w:r w:rsidR="00C361A0" w:rsidRPr="006A4C93">
        <w:t>/PP1 KE</w:t>
      </w:r>
      <w:r w:rsidR="00B56DD9" w:rsidRPr="006A4C93">
        <w:t xml:space="preserve"> FI</w:t>
      </w:r>
      <w:r w:rsidRPr="006A4C93">
        <w:t>, PP3 LuVo</w:t>
      </w:r>
      <w:r w:rsidR="00B56DD9" w:rsidRPr="006A4C93">
        <w:t> PL</w:t>
      </w:r>
      <w:r w:rsidRPr="006A4C93">
        <w:t>, PP4 HURC</w:t>
      </w:r>
      <w:r w:rsidR="00B56DD9" w:rsidRPr="006A4C93">
        <w:t> FI</w:t>
      </w:r>
      <w:r w:rsidRPr="006A4C93">
        <w:t>, PP5 ANKO</w:t>
      </w:r>
      <w:r w:rsidR="00B56DD9" w:rsidRPr="006A4C93">
        <w:t> GR</w:t>
      </w:r>
      <w:r w:rsidRPr="006A4C93">
        <w:t>, PP6 SVDC</w:t>
      </w:r>
      <w:r w:rsidR="00B56DD9" w:rsidRPr="006A4C93">
        <w:t> SI</w:t>
      </w:r>
      <w:r w:rsidRPr="006A4C93">
        <w:t>, PP7 PBN</w:t>
      </w:r>
      <w:r w:rsidR="00B56DD9" w:rsidRPr="006A4C93">
        <w:t> HU</w:t>
      </w:r>
      <w:r w:rsidR="0024657E" w:rsidRPr="006A4C93">
        <w:t>.</w:t>
      </w:r>
      <w:r w:rsidRPr="006A4C93">
        <w:t xml:space="preserve"> </w:t>
      </w:r>
    </w:p>
    <w:p w14:paraId="0F540DC7" w14:textId="6FF05AAE" w:rsidR="001A40F2" w:rsidRPr="006A4C93" w:rsidRDefault="001A40F2" w:rsidP="00F01E0F">
      <w:pPr>
        <w:pStyle w:val="ListNumber2"/>
      </w:pPr>
      <w:r w:rsidRPr="006A4C93">
        <w:t>Formulation of the 2</w:t>
      </w:r>
      <w:r w:rsidRPr="006A4C93">
        <w:rPr>
          <w:vertAlign w:val="superscript"/>
        </w:rPr>
        <w:t>nd</w:t>
      </w:r>
      <w:r w:rsidRPr="006A4C93">
        <w:t xml:space="preserve"> readings, regional inputs: PP2 RCK FI, PP3 LuVo PL, PP5 ANKO GR, PP6 SVDC SI, PP7 PBN HU; </w:t>
      </w:r>
      <w:r w:rsidR="00985DCC" w:rsidRPr="006A4C93">
        <w:t xml:space="preserve">coordination: PP9 CERTH GR; </w:t>
      </w:r>
      <w:r w:rsidRPr="006A4C93">
        <w:t>facilitation: PP4 HURC FI, PP8 CEI Burgos ES, PP1 KE FI.</w:t>
      </w:r>
    </w:p>
    <w:p w14:paraId="5B922517" w14:textId="09A421F5" w:rsidR="009C2332" w:rsidRPr="006A4C93" w:rsidRDefault="008D2426" w:rsidP="00F01E0F">
      <w:pPr>
        <w:pStyle w:val="ListNumber2"/>
      </w:pPr>
      <w:r w:rsidRPr="006A4C93">
        <w:t>Capit</w:t>
      </w:r>
      <w:r w:rsidR="0024657E" w:rsidRPr="006A4C93">
        <w:t xml:space="preserve">alisation report, </w:t>
      </w:r>
      <w:r w:rsidR="001A40F2" w:rsidRPr="006A4C93">
        <w:t xml:space="preserve">Innovation maps summary &amp; insights: </w:t>
      </w:r>
      <w:r w:rsidRPr="006A4C93">
        <w:t>PP1 KE FI</w:t>
      </w:r>
      <w:r w:rsidR="00B56DD9" w:rsidRPr="006A4C93">
        <w:t>.</w:t>
      </w:r>
      <w:r w:rsidR="001713DB" w:rsidRPr="006A4C93">
        <w:t xml:space="preserve"> </w:t>
      </w:r>
    </w:p>
    <w:p w14:paraId="03B73078" w14:textId="5C53B35E" w:rsidR="00623E47" w:rsidRPr="006A4C93" w:rsidRDefault="0033203D" w:rsidP="00837006">
      <w:pPr>
        <w:shd w:val="clear" w:color="auto" w:fill="FFFFFF" w:themeFill="background1"/>
      </w:pPr>
      <w:bookmarkStart w:id="6" w:name="_Toc353104258"/>
      <w:r w:rsidRPr="006A4C93">
        <w:t xml:space="preserve">KE thanks all the partners for their </w:t>
      </w:r>
      <w:r w:rsidR="003D2C50" w:rsidRPr="006A4C93">
        <w:t xml:space="preserve">cooperation, contributions and </w:t>
      </w:r>
      <w:r w:rsidRPr="006A4C93">
        <w:t xml:space="preserve">comments that </w:t>
      </w:r>
      <w:r w:rsidR="003D2C50" w:rsidRPr="006A4C93">
        <w:t>helped make</w:t>
      </w:r>
      <w:r w:rsidR="000C36EB" w:rsidRPr="006A4C93">
        <w:t xml:space="preserve"> this report better</w:t>
      </w:r>
      <w:r w:rsidR="006067B0" w:rsidRPr="006A4C93">
        <w:t>;</w:t>
      </w:r>
      <w:r w:rsidRPr="006A4C93">
        <w:t xml:space="preserve"> and PP9 CERTH</w:t>
      </w:r>
      <w:r w:rsidR="00863464" w:rsidRPr="006A4C93">
        <w:t>,</w:t>
      </w:r>
      <w:r w:rsidRPr="006A4C93">
        <w:t> for the detailed</w:t>
      </w:r>
      <w:r w:rsidR="006067B0" w:rsidRPr="006A4C93">
        <w:t xml:space="preserve">, comprehensive </w:t>
      </w:r>
      <w:r w:rsidRPr="006A4C93">
        <w:t>a</w:t>
      </w:r>
      <w:r w:rsidR="00863464" w:rsidRPr="006A4C93">
        <w:t>nd essential feedback to this report.</w:t>
      </w:r>
      <w:bookmarkStart w:id="7" w:name="_Toc353104259"/>
      <w:bookmarkStart w:id="8" w:name="_Toc355363251"/>
      <w:bookmarkEnd w:id="6"/>
      <w:r w:rsidR="00623E47" w:rsidRPr="006A4C93">
        <w:t xml:space="preserve"> </w:t>
      </w:r>
    </w:p>
    <w:p w14:paraId="10746B12" w14:textId="77777777" w:rsidR="00F01E0F" w:rsidRDefault="00F01E0F" w:rsidP="00837006">
      <w:pPr>
        <w:pStyle w:val="Heading1"/>
        <w:shd w:val="clear" w:color="auto" w:fill="FFFFFF" w:themeFill="background1"/>
      </w:pPr>
      <w:bookmarkStart w:id="9" w:name="_Toc353104257"/>
      <w:bookmarkStart w:id="10" w:name="_Toc353827528"/>
      <w:bookmarkStart w:id="11" w:name="_Toc355363250"/>
      <w:bookmarkStart w:id="12" w:name="_Toc355371272"/>
      <w:bookmarkStart w:id="13" w:name="_Toc356204209"/>
      <w:bookmarkStart w:id="14" w:name="_Toc522977346"/>
    </w:p>
    <w:p w14:paraId="3D58C67E" w14:textId="0EDEB28C" w:rsidR="00623E47" w:rsidRPr="006A4C93" w:rsidRDefault="00623E47" w:rsidP="00837006">
      <w:pPr>
        <w:pStyle w:val="Heading1"/>
        <w:shd w:val="clear" w:color="auto" w:fill="FFFFFF" w:themeFill="background1"/>
      </w:pPr>
      <w:bookmarkStart w:id="15" w:name="_Toc526593110"/>
      <w:r w:rsidRPr="006A4C93">
        <w:t>Table of contents</w:t>
      </w:r>
      <w:bookmarkEnd w:id="9"/>
      <w:bookmarkEnd w:id="10"/>
      <w:bookmarkEnd w:id="11"/>
      <w:bookmarkEnd w:id="12"/>
      <w:bookmarkEnd w:id="13"/>
      <w:bookmarkEnd w:id="14"/>
      <w:bookmarkEnd w:id="15"/>
    </w:p>
    <w:p w14:paraId="655C413D" w14:textId="35398F8E" w:rsidR="007D28E9" w:rsidRDefault="007D28E9" w:rsidP="00835876">
      <w:pPr>
        <w:pStyle w:val="TOC2"/>
        <w:rPr>
          <w:rFonts w:asciiTheme="minorHAnsi" w:eastAsiaTheme="minorEastAsia" w:hAnsiTheme="minorHAnsi" w:cstheme="minorBidi"/>
          <w:color w:val="auto"/>
          <w:sz w:val="24"/>
          <w:szCs w:val="24"/>
          <w:lang w:val="fi-FI"/>
        </w:rPr>
      </w:pPr>
      <w:r>
        <w:rPr>
          <w:color w:val="021B2B" w:themeColor="background2" w:themeShade="1A"/>
        </w:rPr>
        <w:fldChar w:fldCharType="begin"/>
      </w:r>
      <w:r>
        <w:rPr>
          <w:color w:val="021B2B" w:themeColor="background2" w:themeShade="1A"/>
        </w:rPr>
        <w:instrText xml:space="preserve"> TOC \o "1-3" </w:instrText>
      </w:r>
      <w:r>
        <w:rPr>
          <w:color w:val="021B2B" w:themeColor="background2" w:themeShade="1A"/>
        </w:rPr>
        <w:fldChar w:fldCharType="separate"/>
      </w:r>
      <w:r>
        <w:t>List of Figures</w:t>
      </w:r>
      <w:r>
        <w:tab/>
      </w:r>
      <w:r>
        <w:fldChar w:fldCharType="begin"/>
      </w:r>
      <w:r>
        <w:instrText xml:space="preserve"> PAGEREF _Toc526593111 \h </w:instrText>
      </w:r>
      <w:r>
        <w:fldChar w:fldCharType="separate"/>
      </w:r>
      <w:r>
        <w:t>4</w:t>
      </w:r>
      <w:r>
        <w:fldChar w:fldCharType="end"/>
      </w:r>
    </w:p>
    <w:p w14:paraId="1F3FA065" w14:textId="696244BF" w:rsidR="007D28E9" w:rsidRDefault="007D28E9" w:rsidP="00835876">
      <w:pPr>
        <w:pStyle w:val="TOC2"/>
        <w:rPr>
          <w:rFonts w:asciiTheme="minorHAnsi" w:eastAsiaTheme="minorEastAsia" w:hAnsiTheme="minorHAnsi" w:cstheme="minorBidi"/>
          <w:color w:val="auto"/>
          <w:sz w:val="24"/>
          <w:szCs w:val="24"/>
          <w:lang w:val="fi-FI"/>
        </w:rPr>
      </w:pPr>
      <w:r>
        <w:t>List of Tables</w:t>
      </w:r>
      <w:r>
        <w:tab/>
      </w:r>
      <w:r>
        <w:fldChar w:fldCharType="begin"/>
      </w:r>
      <w:r>
        <w:instrText xml:space="preserve"> PAGEREF _Toc526593112 \h </w:instrText>
      </w:r>
      <w:r>
        <w:fldChar w:fldCharType="separate"/>
      </w:r>
      <w:r>
        <w:t>4</w:t>
      </w:r>
      <w:r>
        <w:fldChar w:fldCharType="end"/>
      </w:r>
    </w:p>
    <w:p w14:paraId="66F9175C" w14:textId="1DBCB2E6" w:rsidR="007D28E9" w:rsidRDefault="007D28E9" w:rsidP="00835876">
      <w:pPr>
        <w:pStyle w:val="TOC2"/>
        <w:rPr>
          <w:rFonts w:asciiTheme="minorHAnsi" w:eastAsiaTheme="minorEastAsia" w:hAnsiTheme="minorHAnsi" w:cstheme="minorBidi"/>
          <w:color w:val="auto"/>
          <w:sz w:val="24"/>
          <w:szCs w:val="24"/>
          <w:lang w:val="fi-FI"/>
        </w:rPr>
      </w:pPr>
      <w:r>
        <w:t>Overview</w:t>
      </w:r>
      <w:r>
        <w:tab/>
      </w:r>
      <w:r>
        <w:fldChar w:fldCharType="begin"/>
      </w:r>
      <w:r>
        <w:instrText xml:space="preserve"> PAGEREF _Toc526593113 \h </w:instrText>
      </w:r>
      <w:r>
        <w:fldChar w:fldCharType="separate"/>
      </w:r>
      <w:r>
        <w:t>5</w:t>
      </w:r>
      <w:r>
        <w:fldChar w:fldCharType="end"/>
      </w:r>
    </w:p>
    <w:p w14:paraId="7D020800" w14:textId="7B5FB966" w:rsidR="007D28E9" w:rsidRDefault="007D28E9" w:rsidP="00835876">
      <w:pPr>
        <w:pStyle w:val="TOC2"/>
        <w:rPr>
          <w:rFonts w:asciiTheme="minorHAnsi" w:eastAsiaTheme="minorEastAsia" w:hAnsiTheme="minorHAnsi" w:cstheme="minorBidi"/>
          <w:color w:val="auto"/>
          <w:sz w:val="24"/>
          <w:szCs w:val="24"/>
          <w:lang w:val="fi-FI"/>
        </w:rPr>
      </w:pPr>
      <w:r>
        <w:t>Introduction</w:t>
      </w:r>
      <w:r>
        <w:tab/>
      </w:r>
      <w:r>
        <w:fldChar w:fldCharType="begin"/>
      </w:r>
      <w:r>
        <w:instrText xml:space="preserve"> PAGEREF _Toc526593114 \h </w:instrText>
      </w:r>
      <w:r>
        <w:fldChar w:fldCharType="separate"/>
      </w:r>
      <w:r>
        <w:t>5</w:t>
      </w:r>
      <w:r>
        <w:fldChar w:fldCharType="end"/>
      </w:r>
    </w:p>
    <w:p w14:paraId="51F9D133" w14:textId="631E1316" w:rsidR="007D28E9" w:rsidRDefault="007D28E9" w:rsidP="00835876">
      <w:pPr>
        <w:pStyle w:val="TOC2"/>
        <w:rPr>
          <w:rFonts w:asciiTheme="minorHAnsi" w:eastAsiaTheme="minorEastAsia" w:hAnsiTheme="minorHAnsi" w:cstheme="minorBidi"/>
          <w:color w:val="auto"/>
          <w:sz w:val="24"/>
          <w:szCs w:val="24"/>
          <w:lang w:val="fi-FI"/>
        </w:rPr>
      </w:pPr>
      <w:r>
        <w:t>Why the innovation maps</w:t>
      </w:r>
      <w:r>
        <w:tab/>
      </w:r>
      <w:r>
        <w:fldChar w:fldCharType="begin"/>
      </w:r>
      <w:r>
        <w:instrText xml:space="preserve"> PAGEREF _Toc526593115 \h </w:instrText>
      </w:r>
      <w:r>
        <w:fldChar w:fldCharType="separate"/>
      </w:r>
      <w:r>
        <w:t>8</w:t>
      </w:r>
      <w:r>
        <w:fldChar w:fldCharType="end"/>
      </w:r>
    </w:p>
    <w:p w14:paraId="77DB6C43" w14:textId="7D3450BF" w:rsidR="007D28E9" w:rsidRDefault="007D28E9" w:rsidP="00835876">
      <w:pPr>
        <w:pStyle w:val="TOC2"/>
        <w:rPr>
          <w:rFonts w:asciiTheme="minorHAnsi" w:eastAsiaTheme="minorEastAsia" w:hAnsiTheme="minorHAnsi" w:cstheme="minorBidi"/>
          <w:color w:val="auto"/>
          <w:sz w:val="24"/>
          <w:szCs w:val="24"/>
          <w:lang w:val="fi-FI"/>
        </w:rPr>
      </w:pPr>
      <w:r>
        <w:t>The criteria of the innovation maps</w:t>
      </w:r>
      <w:r>
        <w:tab/>
      </w:r>
      <w:r>
        <w:fldChar w:fldCharType="begin"/>
      </w:r>
      <w:r>
        <w:instrText xml:space="preserve"> PAGEREF _Toc526593116 \h </w:instrText>
      </w:r>
      <w:r>
        <w:fldChar w:fldCharType="separate"/>
      </w:r>
      <w:r>
        <w:t>9</w:t>
      </w:r>
      <w:r>
        <w:fldChar w:fldCharType="end"/>
      </w:r>
    </w:p>
    <w:p w14:paraId="37D54545" w14:textId="457A9E81" w:rsidR="007D28E9" w:rsidRDefault="007D28E9" w:rsidP="00835876">
      <w:pPr>
        <w:pStyle w:val="TOC2"/>
        <w:rPr>
          <w:rFonts w:asciiTheme="minorHAnsi" w:eastAsiaTheme="minorEastAsia" w:hAnsiTheme="minorHAnsi" w:cstheme="minorBidi"/>
          <w:color w:val="auto"/>
          <w:sz w:val="24"/>
          <w:szCs w:val="24"/>
          <w:lang w:val="fi-FI"/>
        </w:rPr>
      </w:pPr>
      <w:r>
        <w:t>Innovation absorptiveness capacity potential PP2/1, PP3, PP5, PP6, PP7</w:t>
      </w:r>
      <w:r>
        <w:tab/>
      </w:r>
      <w:r>
        <w:fldChar w:fldCharType="begin"/>
      </w:r>
      <w:r>
        <w:instrText xml:space="preserve"> PAGEREF _Toc526593117 \h </w:instrText>
      </w:r>
      <w:r>
        <w:fldChar w:fldCharType="separate"/>
      </w:r>
      <w:r>
        <w:t>9</w:t>
      </w:r>
      <w:r>
        <w:fldChar w:fldCharType="end"/>
      </w:r>
    </w:p>
    <w:p w14:paraId="0BCF3685" w14:textId="028C428B" w:rsidR="007D28E9" w:rsidRDefault="007D28E9" w:rsidP="00835876">
      <w:pPr>
        <w:pStyle w:val="TOC2"/>
        <w:rPr>
          <w:rFonts w:asciiTheme="minorHAnsi" w:eastAsiaTheme="minorEastAsia" w:hAnsiTheme="minorHAnsi" w:cstheme="minorBidi"/>
          <w:color w:val="auto"/>
          <w:sz w:val="24"/>
          <w:szCs w:val="24"/>
          <w:lang w:val="fi-FI"/>
        </w:rPr>
      </w:pPr>
      <w:r>
        <w:t>Research potential, PP4</w:t>
      </w:r>
      <w:r>
        <w:tab/>
      </w:r>
      <w:r>
        <w:fldChar w:fldCharType="begin"/>
      </w:r>
      <w:r>
        <w:instrText xml:space="preserve"> PAGEREF _Toc526593118 \h </w:instrText>
      </w:r>
      <w:r>
        <w:fldChar w:fldCharType="separate"/>
      </w:r>
      <w:r>
        <w:t>9</w:t>
      </w:r>
      <w:r>
        <w:fldChar w:fldCharType="end"/>
      </w:r>
    </w:p>
    <w:p w14:paraId="276B469D" w14:textId="73D84A0C" w:rsidR="007D28E9" w:rsidRDefault="007D28E9" w:rsidP="00835876">
      <w:pPr>
        <w:pStyle w:val="TOC2"/>
        <w:rPr>
          <w:rFonts w:asciiTheme="minorHAnsi" w:eastAsiaTheme="minorEastAsia" w:hAnsiTheme="minorHAnsi" w:cstheme="minorBidi"/>
          <w:color w:val="auto"/>
          <w:sz w:val="24"/>
          <w:szCs w:val="24"/>
          <w:lang w:val="fi-FI"/>
        </w:rPr>
      </w:pPr>
      <w:r>
        <w:t>Connectivity potential</w:t>
      </w:r>
      <w:r>
        <w:tab/>
      </w:r>
      <w:r>
        <w:fldChar w:fldCharType="begin"/>
      </w:r>
      <w:r>
        <w:instrText xml:space="preserve"> PAGEREF _Toc526593119 \h </w:instrText>
      </w:r>
      <w:r>
        <w:fldChar w:fldCharType="separate"/>
      </w:r>
      <w:r>
        <w:t>9</w:t>
      </w:r>
      <w:r>
        <w:fldChar w:fldCharType="end"/>
      </w:r>
    </w:p>
    <w:p w14:paraId="5980B4A6" w14:textId="72FE2138" w:rsidR="007D28E9" w:rsidRDefault="007D28E9" w:rsidP="00835876">
      <w:pPr>
        <w:pStyle w:val="TOC2"/>
        <w:rPr>
          <w:rFonts w:asciiTheme="minorHAnsi" w:eastAsiaTheme="minorEastAsia" w:hAnsiTheme="minorHAnsi" w:cstheme="minorBidi"/>
          <w:color w:val="auto"/>
          <w:sz w:val="24"/>
          <w:szCs w:val="24"/>
          <w:lang w:val="fi-FI"/>
        </w:rPr>
      </w:pPr>
      <w:r>
        <w:t>Timetable</w:t>
      </w:r>
      <w:r>
        <w:tab/>
      </w:r>
      <w:r>
        <w:fldChar w:fldCharType="begin"/>
      </w:r>
      <w:r>
        <w:instrText xml:space="preserve"> PAGEREF _Toc526593120 \h </w:instrText>
      </w:r>
      <w:r>
        <w:fldChar w:fldCharType="separate"/>
      </w:r>
      <w:r>
        <w:t>9</w:t>
      </w:r>
      <w:r>
        <w:fldChar w:fldCharType="end"/>
      </w:r>
    </w:p>
    <w:p w14:paraId="399F2650" w14:textId="46A9AA2A" w:rsidR="007D28E9" w:rsidRDefault="007D28E9" w:rsidP="00835876">
      <w:pPr>
        <w:pStyle w:val="TOC2"/>
        <w:rPr>
          <w:rFonts w:asciiTheme="minorHAnsi" w:eastAsiaTheme="minorEastAsia" w:hAnsiTheme="minorHAnsi" w:cstheme="minorBidi"/>
          <w:color w:val="auto"/>
          <w:sz w:val="24"/>
          <w:szCs w:val="24"/>
          <w:lang w:val="fi-FI"/>
        </w:rPr>
      </w:pPr>
      <w:r>
        <w:t>Innovation maps summary and insights</w:t>
      </w:r>
      <w:r>
        <w:tab/>
      </w:r>
      <w:r>
        <w:fldChar w:fldCharType="begin"/>
      </w:r>
      <w:r>
        <w:instrText xml:space="preserve"> PAGEREF _Toc526593121 \h </w:instrText>
      </w:r>
      <w:r>
        <w:fldChar w:fldCharType="separate"/>
      </w:r>
      <w:r>
        <w:t>10</w:t>
      </w:r>
      <w:r>
        <w:fldChar w:fldCharType="end"/>
      </w:r>
    </w:p>
    <w:p w14:paraId="298D9505" w14:textId="4411D3F7" w:rsidR="007D28E9" w:rsidRDefault="007D28E9" w:rsidP="00835876">
      <w:pPr>
        <w:pStyle w:val="TOC2"/>
        <w:rPr>
          <w:rFonts w:asciiTheme="minorHAnsi" w:eastAsiaTheme="minorEastAsia" w:hAnsiTheme="minorHAnsi" w:cstheme="minorBidi"/>
          <w:color w:val="auto"/>
          <w:sz w:val="24"/>
          <w:szCs w:val="24"/>
          <w:lang w:val="fi-FI"/>
        </w:rPr>
      </w:pPr>
      <w:r>
        <w:t>RIS3 sub industries</w:t>
      </w:r>
      <w:r>
        <w:tab/>
      </w:r>
      <w:r>
        <w:fldChar w:fldCharType="begin"/>
      </w:r>
      <w:r>
        <w:instrText xml:space="preserve"> PAGEREF _Toc526593122 \h </w:instrText>
      </w:r>
      <w:r>
        <w:fldChar w:fldCharType="separate"/>
      </w:r>
      <w:r>
        <w:t>11</w:t>
      </w:r>
      <w:r>
        <w:fldChar w:fldCharType="end"/>
      </w:r>
    </w:p>
    <w:p w14:paraId="379A9F02" w14:textId="48E8BDE1" w:rsidR="007D28E9" w:rsidRDefault="007D28E9" w:rsidP="00835876">
      <w:pPr>
        <w:pStyle w:val="TOC2"/>
        <w:rPr>
          <w:rFonts w:asciiTheme="minorHAnsi" w:eastAsiaTheme="minorEastAsia" w:hAnsiTheme="minorHAnsi" w:cstheme="minorBidi"/>
          <w:color w:val="auto"/>
          <w:sz w:val="24"/>
          <w:szCs w:val="24"/>
          <w:lang w:val="fi-FI"/>
        </w:rPr>
      </w:pPr>
      <w:r>
        <w:t>Knowledge base</w:t>
      </w:r>
      <w:r>
        <w:tab/>
      </w:r>
      <w:r>
        <w:fldChar w:fldCharType="begin"/>
      </w:r>
      <w:r>
        <w:instrText xml:space="preserve"> PAGEREF _Toc526593123 \h </w:instrText>
      </w:r>
      <w:r>
        <w:fldChar w:fldCharType="separate"/>
      </w:r>
      <w:r>
        <w:t>14</w:t>
      </w:r>
      <w:r>
        <w:fldChar w:fldCharType="end"/>
      </w:r>
    </w:p>
    <w:p w14:paraId="41D2E06D" w14:textId="278FBB57" w:rsidR="007D28E9" w:rsidRDefault="007D28E9" w:rsidP="00835876">
      <w:pPr>
        <w:pStyle w:val="TOC2"/>
        <w:rPr>
          <w:rFonts w:asciiTheme="minorHAnsi" w:eastAsiaTheme="minorEastAsia" w:hAnsiTheme="minorHAnsi" w:cstheme="minorBidi"/>
          <w:color w:val="auto"/>
          <w:sz w:val="24"/>
          <w:szCs w:val="24"/>
          <w:lang w:val="fi-FI"/>
        </w:rPr>
      </w:pPr>
      <w:r>
        <w:t>The function of the regional triple helix</w:t>
      </w:r>
      <w:r>
        <w:tab/>
      </w:r>
      <w:r>
        <w:fldChar w:fldCharType="begin"/>
      </w:r>
      <w:r>
        <w:instrText xml:space="preserve"> PAGEREF _Toc526593124 \h </w:instrText>
      </w:r>
      <w:r>
        <w:fldChar w:fldCharType="separate"/>
      </w:r>
      <w:r>
        <w:t>17</w:t>
      </w:r>
      <w:r>
        <w:fldChar w:fldCharType="end"/>
      </w:r>
    </w:p>
    <w:p w14:paraId="51F88120" w14:textId="4C1B0E6D" w:rsidR="007D28E9" w:rsidRDefault="007D28E9" w:rsidP="00835876">
      <w:pPr>
        <w:pStyle w:val="TOC2"/>
        <w:rPr>
          <w:rFonts w:asciiTheme="minorHAnsi" w:eastAsiaTheme="minorEastAsia" w:hAnsiTheme="minorHAnsi" w:cstheme="minorBidi"/>
          <w:color w:val="auto"/>
          <w:sz w:val="24"/>
          <w:szCs w:val="24"/>
          <w:lang w:val="fi-FI"/>
        </w:rPr>
      </w:pPr>
      <w:r>
        <w:t>RIS3 funding and financing</w:t>
      </w:r>
      <w:r>
        <w:tab/>
      </w:r>
      <w:r>
        <w:fldChar w:fldCharType="begin"/>
      </w:r>
      <w:r>
        <w:instrText xml:space="preserve"> PAGEREF _Toc526593125 \h </w:instrText>
      </w:r>
      <w:r>
        <w:fldChar w:fldCharType="separate"/>
      </w:r>
      <w:r>
        <w:t>21</w:t>
      </w:r>
      <w:r>
        <w:fldChar w:fldCharType="end"/>
      </w:r>
    </w:p>
    <w:p w14:paraId="457E8610" w14:textId="1CF282F9" w:rsidR="007D28E9" w:rsidRDefault="007D28E9" w:rsidP="00835876">
      <w:pPr>
        <w:pStyle w:val="TOC2"/>
        <w:rPr>
          <w:rFonts w:asciiTheme="minorHAnsi" w:eastAsiaTheme="minorEastAsia" w:hAnsiTheme="minorHAnsi" w:cstheme="minorBidi"/>
          <w:color w:val="auto"/>
          <w:sz w:val="24"/>
          <w:szCs w:val="24"/>
          <w:lang w:val="fi-FI"/>
        </w:rPr>
      </w:pPr>
      <w:r>
        <w:t>Suggestions included in the innovation maps</w:t>
      </w:r>
      <w:r>
        <w:tab/>
      </w:r>
      <w:r>
        <w:fldChar w:fldCharType="begin"/>
      </w:r>
      <w:r>
        <w:instrText xml:space="preserve"> PAGEREF _Toc526593126 \h </w:instrText>
      </w:r>
      <w:r>
        <w:fldChar w:fldCharType="separate"/>
      </w:r>
      <w:r>
        <w:t>23</w:t>
      </w:r>
      <w:r>
        <w:fldChar w:fldCharType="end"/>
      </w:r>
    </w:p>
    <w:p w14:paraId="21E9DAB2" w14:textId="0D04B327" w:rsidR="007D28E9" w:rsidRDefault="007D28E9" w:rsidP="00835876">
      <w:pPr>
        <w:pStyle w:val="TOC2"/>
        <w:rPr>
          <w:rFonts w:asciiTheme="minorHAnsi" w:eastAsiaTheme="minorEastAsia" w:hAnsiTheme="minorHAnsi" w:cstheme="minorBidi"/>
          <w:color w:val="auto"/>
          <w:sz w:val="24"/>
          <w:szCs w:val="24"/>
          <w:lang w:val="fi-FI"/>
        </w:rPr>
      </w:pPr>
      <w:r>
        <w:t>Conclusions  and recommendations</w:t>
      </w:r>
      <w:r>
        <w:tab/>
      </w:r>
      <w:r>
        <w:fldChar w:fldCharType="begin"/>
      </w:r>
      <w:r>
        <w:instrText xml:space="preserve"> PAGEREF _Toc526593127 \h </w:instrText>
      </w:r>
      <w:r>
        <w:fldChar w:fldCharType="separate"/>
      </w:r>
      <w:r>
        <w:t>28</w:t>
      </w:r>
      <w:r>
        <w:fldChar w:fldCharType="end"/>
      </w:r>
    </w:p>
    <w:p w14:paraId="2377B210" w14:textId="3EB78983" w:rsidR="007D28E9" w:rsidRDefault="007D28E9" w:rsidP="00835876">
      <w:pPr>
        <w:pStyle w:val="TOC2"/>
        <w:rPr>
          <w:rFonts w:asciiTheme="minorHAnsi" w:eastAsiaTheme="minorEastAsia" w:hAnsiTheme="minorHAnsi" w:cstheme="minorBidi"/>
          <w:color w:val="auto"/>
          <w:sz w:val="24"/>
          <w:szCs w:val="24"/>
          <w:lang w:val="fi-FI"/>
        </w:rPr>
      </w:pPr>
      <w:r>
        <w:t>Connectivity priorities</w:t>
      </w:r>
      <w:r>
        <w:tab/>
      </w:r>
      <w:r>
        <w:fldChar w:fldCharType="begin"/>
      </w:r>
      <w:r>
        <w:instrText xml:space="preserve"> PAGEREF _Toc526593128 \h </w:instrText>
      </w:r>
      <w:r>
        <w:fldChar w:fldCharType="separate"/>
      </w:r>
      <w:r>
        <w:t>28</w:t>
      </w:r>
      <w:r>
        <w:fldChar w:fldCharType="end"/>
      </w:r>
    </w:p>
    <w:p w14:paraId="41F6C9A8" w14:textId="5458A85E" w:rsidR="007D28E9" w:rsidRDefault="007D28E9" w:rsidP="00835876">
      <w:pPr>
        <w:pStyle w:val="TOC2"/>
        <w:rPr>
          <w:rFonts w:asciiTheme="minorHAnsi" w:eastAsiaTheme="minorEastAsia" w:hAnsiTheme="minorHAnsi" w:cstheme="minorBidi"/>
          <w:color w:val="auto"/>
          <w:sz w:val="24"/>
          <w:szCs w:val="24"/>
          <w:lang w:val="fi-FI"/>
        </w:rPr>
      </w:pPr>
      <w:r>
        <w:t>Excellence in the connectivity options</w:t>
      </w:r>
      <w:r>
        <w:tab/>
      </w:r>
      <w:r>
        <w:fldChar w:fldCharType="begin"/>
      </w:r>
      <w:r>
        <w:instrText xml:space="preserve"> PAGEREF _Toc526593129 \h </w:instrText>
      </w:r>
      <w:r>
        <w:fldChar w:fldCharType="separate"/>
      </w:r>
      <w:r>
        <w:t>30</w:t>
      </w:r>
      <w:r>
        <w:fldChar w:fldCharType="end"/>
      </w:r>
    </w:p>
    <w:p w14:paraId="33A31490" w14:textId="57457A17" w:rsidR="007D28E9" w:rsidRDefault="007D28E9" w:rsidP="00835876">
      <w:pPr>
        <w:pStyle w:val="TOC2"/>
        <w:rPr>
          <w:rFonts w:asciiTheme="minorHAnsi" w:eastAsiaTheme="minorEastAsia" w:hAnsiTheme="minorHAnsi" w:cstheme="minorBidi"/>
          <w:color w:val="auto"/>
          <w:sz w:val="24"/>
          <w:szCs w:val="24"/>
          <w:lang w:val="fi-FI"/>
        </w:rPr>
      </w:pPr>
      <w:r>
        <w:t>Project resources and funding suggestions for connectivity improvement</w:t>
      </w:r>
      <w:r>
        <w:tab/>
      </w:r>
      <w:r>
        <w:fldChar w:fldCharType="begin"/>
      </w:r>
      <w:r>
        <w:instrText xml:space="preserve"> PAGEREF _Toc526593130 \h </w:instrText>
      </w:r>
      <w:r>
        <w:fldChar w:fldCharType="separate"/>
      </w:r>
      <w:r>
        <w:t>31</w:t>
      </w:r>
      <w:r>
        <w:fldChar w:fldCharType="end"/>
      </w:r>
    </w:p>
    <w:p w14:paraId="0304322C" w14:textId="6C85BF1A" w:rsidR="00623E47" w:rsidRPr="006A4C93" w:rsidRDefault="007D28E9" w:rsidP="00835876">
      <w:pPr>
        <w:pStyle w:val="TOC2"/>
      </w:pPr>
      <w:r>
        <w:rPr>
          <w:color w:val="021B2B" w:themeColor="background2" w:themeShade="1A"/>
        </w:rPr>
        <w:fldChar w:fldCharType="end"/>
      </w:r>
    </w:p>
    <w:p w14:paraId="5305784E" w14:textId="77777777" w:rsidR="00623E47" w:rsidRPr="006A4C93" w:rsidRDefault="00623E47" w:rsidP="0027228E">
      <w:pPr>
        <w:pStyle w:val="TOC1"/>
      </w:pPr>
    </w:p>
    <w:p w14:paraId="25CB2BE2" w14:textId="77777777" w:rsidR="00623E47" w:rsidRPr="006A4C93" w:rsidRDefault="00623E47" w:rsidP="00837006">
      <w:pPr>
        <w:pStyle w:val="SubTitle1"/>
        <w:shd w:val="clear" w:color="auto" w:fill="FFFFFF" w:themeFill="background1"/>
        <w:rPr>
          <w:color w:val="021B2B" w:themeColor="background2" w:themeShade="1A"/>
        </w:rPr>
      </w:pPr>
    </w:p>
    <w:p w14:paraId="368858B3" w14:textId="77777777" w:rsidR="00623E47" w:rsidRPr="006A4C93" w:rsidRDefault="00623E47" w:rsidP="00837006">
      <w:pPr>
        <w:shd w:val="clear" w:color="auto" w:fill="FFFFFF" w:themeFill="background1"/>
      </w:pPr>
    </w:p>
    <w:p w14:paraId="7E5F5118" w14:textId="77777777" w:rsidR="00623E47" w:rsidRPr="006A4C93" w:rsidRDefault="00623E47" w:rsidP="00837006">
      <w:pPr>
        <w:pStyle w:val="SubTitle1"/>
        <w:shd w:val="clear" w:color="auto" w:fill="FFFFFF" w:themeFill="background1"/>
        <w:rPr>
          <w:color w:val="021B2B" w:themeColor="background2" w:themeShade="1A"/>
        </w:rPr>
      </w:pPr>
    </w:p>
    <w:p w14:paraId="29B6F750" w14:textId="77777777" w:rsidR="00623E47" w:rsidRPr="006A4C93" w:rsidRDefault="00623E47" w:rsidP="00837006">
      <w:pPr>
        <w:pStyle w:val="SubTitle1"/>
        <w:shd w:val="clear" w:color="auto" w:fill="FFFFFF" w:themeFill="background1"/>
        <w:rPr>
          <w:color w:val="021B2B" w:themeColor="background2" w:themeShade="1A"/>
        </w:rPr>
      </w:pPr>
    </w:p>
    <w:p w14:paraId="27BF8E2A" w14:textId="77777777" w:rsidR="00623E47" w:rsidRPr="006A4C93" w:rsidRDefault="00623E47" w:rsidP="00837006">
      <w:pPr>
        <w:shd w:val="clear" w:color="auto" w:fill="FFFFFF" w:themeFill="background1"/>
      </w:pPr>
    </w:p>
    <w:p w14:paraId="6B3A799F" w14:textId="77777777" w:rsidR="00623E47" w:rsidRPr="006A4C93" w:rsidRDefault="00623E47" w:rsidP="00837006">
      <w:pPr>
        <w:pStyle w:val="SubTitle1"/>
        <w:shd w:val="clear" w:color="auto" w:fill="FFFFFF" w:themeFill="background1"/>
        <w:rPr>
          <w:color w:val="021B2B" w:themeColor="background2" w:themeShade="1A"/>
        </w:rPr>
      </w:pPr>
    </w:p>
    <w:p w14:paraId="4A0870AB" w14:textId="568E973D" w:rsidR="00C82AAB" w:rsidRDefault="00C82AAB" w:rsidP="001217CA">
      <w:pPr>
        <w:pStyle w:val="Heading2"/>
      </w:pPr>
      <w:bookmarkStart w:id="16" w:name="_Toc526593111"/>
      <w:r>
        <w:lastRenderedPageBreak/>
        <w:t>List of Figures</w:t>
      </w:r>
      <w:bookmarkEnd w:id="16"/>
    </w:p>
    <w:p w14:paraId="4A803FAF" w14:textId="2E60320A" w:rsidR="007D28E9" w:rsidRPr="00835876" w:rsidRDefault="007D28E9" w:rsidP="00835876">
      <w:pPr>
        <w:pStyle w:val="TOC2"/>
      </w:pPr>
      <w:r w:rsidRPr="00835876">
        <w:fldChar w:fldCharType="begin"/>
      </w:r>
      <w:r w:rsidRPr="00835876">
        <w:instrText xml:space="preserve"> TOC \h \z \c "Figure" </w:instrText>
      </w:r>
      <w:r w:rsidRPr="00835876">
        <w:fldChar w:fldCharType="separate"/>
      </w:r>
      <w:hyperlink w:anchor="_Toc526593135" w:history="1">
        <w:r w:rsidRPr="00835876">
          <w:t>Figure 2 Summary of the improvement needs based on the innovation maps</w:t>
        </w:r>
        <w:r w:rsidRPr="00835876">
          <w:rPr>
            <w:webHidden/>
          </w:rPr>
          <w:tab/>
        </w:r>
        <w:r w:rsidRPr="00835876">
          <w:rPr>
            <w:webHidden/>
          </w:rPr>
          <w:fldChar w:fldCharType="begin"/>
        </w:r>
        <w:r w:rsidRPr="00835876">
          <w:rPr>
            <w:webHidden/>
          </w:rPr>
          <w:instrText xml:space="preserve"> PAGEREF _Toc526593135 \h </w:instrText>
        </w:r>
        <w:r w:rsidRPr="00835876">
          <w:rPr>
            <w:webHidden/>
          </w:rPr>
        </w:r>
        <w:r w:rsidRPr="00835876">
          <w:rPr>
            <w:webHidden/>
          </w:rPr>
          <w:fldChar w:fldCharType="separate"/>
        </w:r>
        <w:r w:rsidRPr="00835876">
          <w:rPr>
            <w:webHidden/>
          </w:rPr>
          <w:t>28</w:t>
        </w:r>
        <w:r w:rsidRPr="00835876">
          <w:rPr>
            <w:webHidden/>
          </w:rPr>
          <w:fldChar w:fldCharType="end"/>
        </w:r>
      </w:hyperlink>
    </w:p>
    <w:p w14:paraId="374CF566" w14:textId="0B102A6B" w:rsidR="00C82AAB" w:rsidRPr="00C82AAB" w:rsidRDefault="007D28E9" w:rsidP="00835876">
      <w:pPr>
        <w:pStyle w:val="TOC2"/>
        <w:rPr>
          <w:lang w:eastAsia="en-GB"/>
        </w:rPr>
      </w:pPr>
      <w:r w:rsidRPr="00835876">
        <w:fldChar w:fldCharType="end"/>
      </w:r>
    </w:p>
    <w:p w14:paraId="7CB0E81D" w14:textId="60BFAA65" w:rsidR="007B2D38" w:rsidRPr="001217CA" w:rsidRDefault="007B2D38" w:rsidP="001217CA">
      <w:pPr>
        <w:pStyle w:val="Heading2"/>
      </w:pPr>
      <w:bookmarkStart w:id="17" w:name="_Toc526593112"/>
      <w:r w:rsidRPr="001217CA">
        <w:t>List of Tables</w:t>
      </w:r>
      <w:bookmarkEnd w:id="7"/>
      <w:bookmarkEnd w:id="8"/>
      <w:bookmarkEnd w:id="17"/>
    </w:p>
    <w:bookmarkStart w:id="18" w:name="_Toc355363252"/>
    <w:bookmarkStart w:id="19" w:name="_Toc352590388"/>
    <w:bookmarkStart w:id="20" w:name="_Toc353104261"/>
    <w:p w14:paraId="546A1244" w14:textId="4F83B21D" w:rsidR="00835876" w:rsidRPr="00835876" w:rsidRDefault="00835876" w:rsidP="00835876">
      <w:pPr>
        <w:pStyle w:val="TOC2"/>
      </w:pPr>
      <w:r>
        <w:fldChar w:fldCharType="begin"/>
      </w:r>
      <w:r>
        <w:instrText xml:space="preserve"> TOC \h \z \c "Table" </w:instrText>
      </w:r>
      <w:r>
        <w:fldChar w:fldCharType="separate"/>
      </w:r>
      <w:hyperlink w:anchor="_Toc526593323" w:history="1">
        <w:r w:rsidRPr="00835876">
          <w:t>Table 1   Key information of the BRIDGES project regions</w:t>
        </w:r>
        <w:r>
          <w:rPr>
            <w:webHidden/>
          </w:rPr>
          <w:tab/>
        </w:r>
        <w:r>
          <w:rPr>
            <w:webHidden/>
          </w:rPr>
          <w:fldChar w:fldCharType="begin"/>
        </w:r>
        <w:r>
          <w:rPr>
            <w:webHidden/>
          </w:rPr>
          <w:instrText xml:space="preserve"> PAGEREF _Toc526593323 \h </w:instrText>
        </w:r>
        <w:r>
          <w:rPr>
            <w:webHidden/>
          </w:rPr>
        </w:r>
        <w:r>
          <w:rPr>
            <w:webHidden/>
          </w:rPr>
          <w:fldChar w:fldCharType="separate"/>
        </w:r>
        <w:r>
          <w:rPr>
            <w:webHidden/>
          </w:rPr>
          <w:t>6</w:t>
        </w:r>
        <w:r>
          <w:rPr>
            <w:webHidden/>
          </w:rPr>
          <w:fldChar w:fldCharType="end"/>
        </w:r>
      </w:hyperlink>
    </w:p>
    <w:p w14:paraId="044B9466" w14:textId="6A1C8CEB" w:rsidR="00835876" w:rsidRPr="00835876" w:rsidRDefault="00835876" w:rsidP="00835876">
      <w:pPr>
        <w:pStyle w:val="TOC2"/>
      </w:pPr>
      <w:hyperlink w:anchor="_Toc526593324" w:history="1">
        <w:r w:rsidRPr="00835876">
          <w:t>Table 2 Self defined indicator per project partner</w:t>
        </w:r>
        <w:r>
          <w:rPr>
            <w:webHidden/>
          </w:rPr>
          <w:tab/>
        </w:r>
        <w:r>
          <w:rPr>
            <w:webHidden/>
          </w:rPr>
          <w:fldChar w:fldCharType="begin"/>
        </w:r>
        <w:r>
          <w:rPr>
            <w:webHidden/>
          </w:rPr>
          <w:instrText xml:space="preserve"> PAGEREF _Toc526593324 \h </w:instrText>
        </w:r>
        <w:r>
          <w:rPr>
            <w:webHidden/>
          </w:rPr>
        </w:r>
        <w:r>
          <w:rPr>
            <w:webHidden/>
          </w:rPr>
          <w:fldChar w:fldCharType="separate"/>
        </w:r>
        <w:r>
          <w:rPr>
            <w:webHidden/>
          </w:rPr>
          <w:t>7</w:t>
        </w:r>
        <w:r>
          <w:rPr>
            <w:webHidden/>
          </w:rPr>
          <w:fldChar w:fldCharType="end"/>
        </w:r>
      </w:hyperlink>
    </w:p>
    <w:p w14:paraId="6288B5E4" w14:textId="770739DD" w:rsidR="00835876" w:rsidRPr="00835876" w:rsidRDefault="00835876" w:rsidP="00835876">
      <w:pPr>
        <w:pStyle w:val="TOC2"/>
      </w:pPr>
      <w:hyperlink w:anchor="_Toc526593325" w:history="1">
        <w:r w:rsidRPr="00835876">
          <w:t>Table 3 RIS3 sub industries &amp; research absorptiveness potential</w:t>
        </w:r>
        <w:r>
          <w:rPr>
            <w:webHidden/>
          </w:rPr>
          <w:tab/>
        </w:r>
        <w:r>
          <w:rPr>
            <w:webHidden/>
          </w:rPr>
          <w:fldChar w:fldCharType="begin"/>
        </w:r>
        <w:r>
          <w:rPr>
            <w:webHidden/>
          </w:rPr>
          <w:instrText xml:space="preserve"> PAGEREF _Toc526593325 \h </w:instrText>
        </w:r>
        <w:r>
          <w:rPr>
            <w:webHidden/>
          </w:rPr>
        </w:r>
        <w:r>
          <w:rPr>
            <w:webHidden/>
          </w:rPr>
          <w:fldChar w:fldCharType="separate"/>
        </w:r>
        <w:r>
          <w:rPr>
            <w:webHidden/>
          </w:rPr>
          <w:t>11</w:t>
        </w:r>
        <w:r>
          <w:rPr>
            <w:webHidden/>
          </w:rPr>
          <w:fldChar w:fldCharType="end"/>
        </w:r>
      </w:hyperlink>
    </w:p>
    <w:p w14:paraId="31B6C572" w14:textId="5F1AE72B" w:rsidR="00835876" w:rsidRPr="00835876" w:rsidRDefault="00835876" w:rsidP="00835876">
      <w:pPr>
        <w:pStyle w:val="TOC2"/>
      </w:pPr>
      <w:hyperlink w:anchor="_Toc526593326" w:history="1">
        <w:r w:rsidRPr="00835876">
          <w:t>Table 4 Knowledge base</w:t>
        </w:r>
        <w:r>
          <w:rPr>
            <w:webHidden/>
          </w:rPr>
          <w:tab/>
        </w:r>
        <w:r>
          <w:rPr>
            <w:webHidden/>
          </w:rPr>
          <w:fldChar w:fldCharType="begin"/>
        </w:r>
        <w:r>
          <w:rPr>
            <w:webHidden/>
          </w:rPr>
          <w:instrText xml:space="preserve"> PAGEREF _Toc526593326 \h </w:instrText>
        </w:r>
        <w:r>
          <w:rPr>
            <w:webHidden/>
          </w:rPr>
        </w:r>
        <w:r>
          <w:rPr>
            <w:webHidden/>
          </w:rPr>
          <w:fldChar w:fldCharType="separate"/>
        </w:r>
        <w:r>
          <w:rPr>
            <w:webHidden/>
          </w:rPr>
          <w:t>14</w:t>
        </w:r>
        <w:r>
          <w:rPr>
            <w:webHidden/>
          </w:rPr>
          <w:fldChar w:fldCharType="end"/>
        </w:r>
      </w:hyperlink>
    </w:p>
    <w:p w14:paraId="4BC1632E" w14:textId="494806F1" w:rsidR="00835876" w:rsidRPr="00835876" w:rsidRDefault="00835876" w:rsidP="00835876">
      <w:pPr>
        <w:pStyle w:val="TOC2"/>
      </w:pPr>
      <w:hyperlink w:anchor="_Toc526593327" w:history="1">
        <w:r w:rsidRPr="00835876">
          <w:t>Table 5 Function of the regional triple helix</w:t>
        </w:r>
        <w:r>
          <w:rPr>
            <w:webHidden/>
          </w:rPr>
          <w:tab/>
        </w:r>
        <w:r>
          <w:rPr>
            <w:webHidden/>
          </w:rPr>
          <w:fldChar w:fldCharType="begin"/>
        </w:r>
        <w:r>
          <w:rPr>
            <w:webHidden/>
          </w:rPr>
          <w:instrText xml:space="preserve"> PAGEREF _Toc526593327 \h </w:instrText>
        </w:r>
        <w:r>
          <w:rPr>
            <w:webHidden/>
          </w:rPr>
        </w:r>
        <w:r>
          <w:rPr>
            <w:webHidden/>
          </w:rPr>
          <w:fldChar w:fldCharType="separate"/>
        </w:r>
        <w:r>
          <w:rPr>
            <w:webHidden/>
          </w:rPr>
          <w:t>18</w:t>
        </w:r>
        <w:r>
          <w:rPr>
            <w:webHidden/>
          </w:rPr>
          <w:fldChar w:fldCharType="end"/>
        </w:r>
      </w:hyperlink>
    </w:p>
    <w:p w14:paraId="5506C176" w14:textId="1A8600C0" w:rsidR="00835876" w:rsidRPr="00835876" w:rsidRDefault="00835876" w:rsidP="00835876">
      <w:pPr>
        <w:pStyle w:val="TOC2"/>
      </w:pPr>
      <w:hyperlink w:anchor="_Toc526593328" w:history="1">
        <w:r w:rsidRPr="00835876">
          <w:t>Table 6 RIS3 funding and financing references</w:t>
        </w:r>
        <w:r>
          <w:rPr>
            <w:webHidden/>
          </w:rPr>
          <w:tab/>
        </w:r>
        <w:r>
          <w:rPr>
            <w:webHidden/>
          </w:rPr>
          <w:fldChar w:fldCharType="begin"/>
        </w:r>
        <w:r>
          <w:rPr>
            <w:webHidden/>
          </w:rPr>
          <w:instrText xml:space="preserve"> PAGEREF _Toc526593328 \h </w:instrText>
        </w:r>
        <w:r>
          <w:rPr>
            <w:webHidden/>
          </w:rPr>
        </w:r>
        <w:r>
          <w:rPr>
            <w:webHidden/>
          </w:rPr>
          <w:fldChar w:fldCharType="separate"/>
        </w:r>
        <w:r>
          <w:rPr>
            <w:webHidden/>
          </w:rPr>
          <w:t>21</w:t>
        </w:r>
        <w:r>
          <w:rPr>
            <w:webHidden/>
          </w:rPr>
          <w:fldChar w:fldCharType="end"/>
        </w:r>
      </w:hyperlink>
    </w:p>
    <w:p w14:paraId="7F38BF54" w14:textId="6C7EA188" w:rsidR="00835876" w:rsidRPr="00835876" w:rsidRDefault="00835876" w:rsidP="00835876">
      <w:pPr>
        <w:pStyle w:val="TOC2"/>
      </w:pPr>
      <w:hyperlink w:anchor="_Toc526593329" w:history="1">
        <w:r w:rsidRPr="00835876">
          <w:t>Table 7  Suggestions</w:t>
        </w:r>
        <w:r>
          <w:rPr>
            <w:webHidden/>
          </w:rPr>
          <w:tab/>
        </w:r>
        <w:r>
          <w:rPr>
            <w:webHidden/>
          </w:rPr>
          <w:fldChar w:fldCharType="begin"/>
        </w:r>
        <w:r>
          <w:rPr>
            <w:webHidden/>
          </w:rPr>
          <w:instrText xml:space="preserve"> PAGEREF _Toc526593329 \h </w:instrText>
        </w:r>
        <w:r>
          <w:rPr>
            <w:webHidden/>
          </w:rPr>
        </w:r>
        <w:r>
          <w:rPr>
            <w:webHidden/>
          </w:rPr>
          <w:fldChar w:fldCharType="separate"/>
        </w:r>
        <w:r>
          <w:rPr>
            <w:webHidden/>
          </w:rPr>
          <w:t>23</w:t>
        </w:r>
        <w:r>
          <w:rPr>
            <w:webHidden/>
          </w:rPr>
          <w:fldChar w:fldCharType="end"/>
        </w:r>
      </w:hyperlink>
    </w:p>
    <w:p w14:paraId="3F10F632" w14:textId="2F77BD12" w:rsidR="00835876" w:rsidRPr="00835876" w:rsidRDefault="00835876" w:rsidP="00835876">
      <w:pPr>
        <w:pStyle w:val="TOC2"/>
      </w:pPr>
      <w:hyperlink w:anchor="_Toc526593330" w:history="1">
        <w:r w:rsidRPr="00835876">
          <w:t>Table 8 BRIDGES good practice themes &amp; type of technological connectivity</w:t>
        </w:r>
        <w:r>
          <w:rPr>
            <w:webHidden/>
          </w:rPr>
          <w:tab/>
        </w:r>
        <w:r>
          <w:rPr>
            <w:webHidden/>
          </w:rPr>
          <w:fldChar w:fldCharType="begin"/>
        </w:r>
        <w:r>
          <w:rPr>
            <w:webHidden/>
          </w:rPr>
          <w:instrText xml:space="preserve"> PAGEREF _Toc526593330 \h </w:instrText>
        </w:r>
        <w:r>
          <w:rPr>
            <w:webHidden/>
          </w:rPr>
        </w:r>
        <w:r>
          <w:rPr>
            <w:webHidden/>
          </w:rPr>
          <w:fldChar w:fldCharType="separate"/>
        </w:r>
        <w:r>
          <w:rPr>
            <w:webHidden/>
          </w:rPr>
          <w:t>31</w:t>
        </w:r>
        <w:r>
          <w:rPr>
            <w:webHidden/>
          </w:rPr>
          <w:fldChar w:fldCharType="end"/>
        </w:r>
      </w:hyperlink>
    </w:p>
    <w:p w14:paraId="08C1BF99" w14:textId="19714A20" w:rsidR="00835876" w:rsidRPr="00835876" w:rsidRDefault="00835876" w:rsidP="00835876">
      <w:pPr>
        <w:pStyle w:val="TOC2"/>
      </w:pPr>
      <w:hyperlink w:anchor="_Toc526593331" w:history="1">
        <w:r w:rsidRPr="00835876">
          <w:t>Table 9  Good practices and technological connectivities</w:t>
        </w:r>
        <w:r>
          <w:rPr>
            <w:webHidden/>
          </w:rPr>
          <w:tab/>
        </w:r>
        <w:r>
          <w:rPr>
            <w:webHidden/>
          </w:rPr>
          <w:fldChar w:fldCharType="begin"/>
        </w:r>
        <w:r>
          <w:rPr>
            <w:webHidden/>
          </w:rPr>
          <w:instrText xml:space="preserve"> PAGEREF _Toc526593331 \h </w:instrText>
        </w:r>
        <w:r>
          <w:rPr>
            <w:webHidden/>
          </w:rPr>
        </w:r>
        <w:r>
          <w:rPr>
            <w:webHidden/>
          </w:rPr>
          <w:fldChar w:fldCharType="separate"/>
        </w:r>
        <w:r>
          <w:rPr>
            <w:webHidden/>
          </w:rPr>
          <w:t>33</w:t>
        </w:r>
        <w:r>
          <w:rPr>
            <w:webHidden/>
          </w:rPr>
          <w:fldChar w:fldCharType="end"/>
        </w:r>
      </w:hyperlink>
    </w:p>
    <w:p w14:paraId="0BE0057C" w14:textId="2928683B" w:rsidR="00835876" w:rsidRPr="00835876" w:rsidRDefault="00835876" w:rsidP="00835876">
      <w:pPr>
        <w:pStyle w:val="TOC2"/>
      </w:pPr>
      <w:hyperlink w:anchor="_Toc526593332" w:history="1">
        <w:r w:rsidRPr="00835876">
          <w:t>Table 10 Types of connectivities, types of actions, and funding concepts</w:t>
        </w:r>
        <w:r>
          <w:rPr>
            <w:webHidden/>
          </w:rPr>
          <w:tab/>
        </w:r>
        <w:r>
          <w:rPr>
            <w:webHidden/>
          </w:rPr>
          <w:fldChar w:fldCharType="begin"/>
        </w:r>
        <w:r>
          <w:rPr>
            <w:webHidden/>
          </w:rPr>
          <w:instrText xml:space="preserve"> PAGEREF _Toc526593332 \h </w:instrText>
        </w:r>
        <w:r>
          <w:rPr>
            <w:webHidden/>
          </w:rPr>
        </w:r>
        <w:r>
          <w:rPr>
            <w:webHidden/>
          </w:rPr>
          <w:fldChar w:fldCharType="separate"/>
        </w:r>
        <w:r>
          <w:rPr>
            <w:webHidden/>
          </w:rPr>
          <w:t>34</w:t>
        </w:r>
        <w:r>
          <w:rPr>
            <w:webHidden/>
          </w:rPr>
          <w:fldChar w:fldCharType="end"/>
        </w:r>
      </w:hyperlink>
    </w:p>
    <w:p w14:paraId="0A663467" w14:textId="3B2830D8" w:rsidR="00493FFC" w:rsidRPr="00835876" w:rsidRDefault="00835876" w:rsidP="00835876">
      <w:pPr>
        <w:pStyle w:val="TOC2"/>
      </w:pPr>
      <w:r>
        <w:fldChar w:fldCharType="end"/>
      </w:r>
    </w:p>
    <w:p w14:paraId="6480B847" w14:textId="30A5598E" w:rsidR="001217CA" w:rsidRDefault="001217CA" w:rsidP="00835876">
      <w:pPr>
        <w:pStyle w:val="TOC2"/>
      </w:pPr>
      <w:bookmarkStart w:id="21" w:name="_GoBack"/>
      <w:bookmarkEnd w:id="18"/>
      <w:bookmarkEnd w:id="21"/>
    </w:p>
    <w:p w14:paraId="53D40938" w14:textId="52696AA9" w:rsidR="00AA7689" w:rsidRDefault="00AA7689">
      <w:pPr>
        <w:spacing w:before="0" w:after="0" w:line="240" w:lineRule="auto"/>
        <w:ind w:left="0" w:right="0"/>
        <w:jc w:val="left"/>
        <w:rPr>
          <w:lang w:eastAsia="ja-JP"/>
        </w:rPr>
      </w:pPr>
      <w:r>
        <w:rPr>
          <w:lang w:eastAsia="ja-JP"/>
        </w:rPr>
        <w:br w:type="page"/>
      </w:r>
    </w:p>
    <w:p w14:paraId="312DB993" w14:textId="77777777" w:rsidR="001217CA" w:rsidRPr="001217CA" w:rsidRDefault="001217CA" w:rsidP="001217CA">
      <w:pPr>
        <w:ind w:left="0"/>
        <w:rPr>
          <w:lang w:eastAsia="ja-JP"/>
        </w:rPr>
      </w:pPr>
    </w:p>
    <w:p w14:paraId="7C343CBA" w14:textId="68D7F65A" w:rsidR="00FE6A76" w:rsidRPr="006A4C93" w:rsidRDefault="00B8162A" w:rsidP="00837006">
      <w:pPr>
        <w:pStyle w:val="Heading1"/>
        <w:shd w:val="clear" w:color="auto" w:fill="FFFFFF" w:themeFill="background1"/>
      </w:pPr>
      <w:bookmarkStart w:id="22" w:name="_Toc526593113"/>
      <w:bookmarkEnd w:id="19"/>
      <w:bookmarkEnd w:id="20"/>
      <w:r w:rsidRPr="006A4C93">
        <w:t>Overview</w:t>
      </w:r>
      <w:bookmarkEnd w:id="22"/>
    </w:p>
    <w:p w14:paraId="7D2FBE36" w14:textId="5F1DEEF6" w:rsidR="007A6867" w:rsidRPr="006A4C93" w:rsidRDefault="007A6867" w:rsidP="00837006">
      <w:pPr>
        <w:shd w:val="clear" w:color="auto" w:fill="FFFFFF" w:themeFill="background1"/>
      </w:pPr>
      <w:r w:rsidRPr="006A4C93">
        <w:t>The purpose of this capitalisation report is, above all, to provide a solid basis of data and methodologies to facilitate decision making in relation to the action plans of the BRIDGES project regional partners.</w:t>
      </w:r>
    </w:p>
    <w:p w14:paraId="34223C97" w14:textId="5CF5C137" w:rsidR="00E67232" w:rsidRPr="006A4C93" w:rsidRDefault="001B67D0" w:rsidP="00837006">
      <w:pPr>
        <w:shd w:val="clear" w:color="auto" w:fill="FFFFFF" w:themeFill="background1"/>
      </w:pPr>
      <w:r w:rsidRPr="006A4C93">
        <w:t>The</w:t>
      </w:r>
      <w:r w:rsidR="00B8162A" w:rsidRPr="006A4C93">
        <w:t xml:space="preserve"> report </w:t>
      </w:r>
      <w:r w:rsidRPr="006A4C93">
        <w:t xml:space="preserve">smmarises </w:t>
      </w:r>
      <w:r w:rsidR="00B8162A" w:rsidRPr="006A4C93">
        <w:t>the six innovation maps</w:t>
      </w:r>
      <w:r w:rsidR="00E67232" w:rsidRPr="006A4C93">
        <w:t>,</w:t>
      </w:r>
      <w:r w:rsidR="00B8162A" w:rsidRPr="006A4C93">
        <w:t xml:space="preserve"> </w:t>
      </w:r>
      <w:r w:rsidR="00E67232" w:rsidRPr="006A4C93">
        <w:t>makes</w:t>
      </w:r>
      <w:r w:rsidR="00B8162A" w:rsidRPr="006A4C93">
        <w:t xml:space="preserve"> recommendations</w:t>
      </w:r>
      <w:r w:rsidR="00E67232" w:rsidRPr="006A4C93">
        <w:t xml:space="preserve"> for the regional action plans prioritising</w:t>
      </w:r>
      <w:r w:rsidRPr="006A4C93">
        <w:t xml:space="preserve"> types of</w:t>
      </w:r>
      <w:r w:rsidR="00E67232" w:rsidRPr="006A4C93">
        <w:t xml:space="preserve"> technological connectivity between less and more advanced innovation regions, and draws conclusions regarding technological connectivities beyond locational proximities. </w:t>
      </w:r>
    </w:p>
    <w:p w14:paraId="4635D9BF" w14:textId="77777777" w:rsidR="00B8162A" w:rsidRPr="006A4C93" w:rsidRDefault="00B8162A" w:rsidP="00837006">
      <w:pPr>
        <w:pStyle w:val="Heading1"/>
        <w:shd w:val="clear" w:color="auto" w:fill="FFFFFF" w:themeFill="background1"/>
      </w:pPr>
      <w:bookmarkStart w:id="23" w:name="_Toc526593114"/>
      <w:r w:rsidRPr="006A4C93">
        <w:t>Introduction</w:t>
      </w:r>
      <w:bookmarkEnd w:id="23"/>
    </w:p>
    <w:p w14:paraId="12875C3D" w14:textId="27C4A0AD" w:rsidR="00526645" w:rsidRPr="006A4C93" w:rsidRDefault="00526645" w:rsidP="00837006">
      <w:pPr>
        <w:shd w:val="clear" w:color="auto" w:fill="FFFFFF" w:themeFill="background1"/>
      </w:pPr>
      <w:r w:rsidRPr="006A4C93">
        <w:t xml:space="preserve">The objective of the BRIDGES project is to improve the effectiveness of RIS3 implementation by addressing structural challenges, in this case mismatches between the knowledge and productive bases of non-innovation leader regions. The project argument is that such challenges can be remedied by strategically and operationally linking RIS3 priority industries in less advanced regions with the knowledge base available in another region, as a way towards faster and upscale growth while, at the same time, enhancing the embeddedness of the missing knowledge through good practice transfer on at least three fronts: innovation infrastructures, methodologies for </w:t>
      </w:r>
      <w:r w:rsidR="001B67D0" w:rsidRPr="006A4C93">
        <w:t>rese</w:t>
      </w:r>
      <w:r w:rsidR="00991713" w:rsidRPr="006A4C93">
        <w:t>a</w:t>
      </w:r>
      <w:r w:rsidR="001B67D0" w:rsidRPr="006A4C93">
        <w:t xml:space="preserve">rch/university to industry </w:t>
      </w:r>
      <w:r w:rsidRPr="006A4C93">
        <w:t xml:space="preserve">partnerships, and funding approaches. </w:t>
      </w:r>
    </w:p>
    <w:p w14:paraId="6FE8C885" w14:textId="77777777" w:rsidR="006017CD" w:rsidRPr="006A4C93" w:rsidRDefault="00526645" w:rsidP="00837006">
      <w:pPr>
        <w:shd w:val="clear" w:color="auto" w:fill="FFFFFF" w:themeFill="background1"/>
      </w:pPr>
      <w:r w:rsidRPr="006A4C93">
        <w:t>Linking productive and knowledge/technology bases across EU borders requires,</w:t>
      </w:r>
      <w:r w:rsidR="001B67D0" w:rsidRPr="006A4C93">
        <w:t xml:space="preserve"> in the first place, that i) </w:t>
      </w:r>
      <w:r w:rsidRPr="006A4C93">
        <w:t>advanced regions are willing to share knowledge</w:t>
      </w:r>
      <w:r w:rsidR="001B67D0" w:rsidRPr="006A4C93">
        <w:t xml:space="preserve"> </w:t>
      </w:r>
      <w:r w:rsidRPr="006A4C93">
        <w:t>with the rest of the regions and look at the conditions under which th</w:t>
      </w:r>
      <w:r w:rsidR="001B67D0" w:rsidRPr="006A4C93">
        <w:t xml:space="preserve">is would be probable and ii) </w:t>
      </w:r>
      <w:r w:rsidRPr="006A4C93">
        <w:t xml:space="preserve">less advanced regions have the understanding, </w:t>
      </w:r>
      <w:r w:rsidR="001B67D0" w:rsidRPr="006A4C93">
        <w:t xml:space="preserve">absorptiveness capacity, </w:t>
      </w:r>
      <w:r w:rsidRPr="006A4C93">
        <w:t>and willingness to invest in R&amp;D outside the</w:t>
      </w:r>
      <w:r w:rsidR="001B67D0" w:rsidRPr="006A4C93">
        <w:t>ir</w:t>
      </w:r>
      <w:r w:rsidRPr="006A4C93">
        <w:t xml:space="preserve"> ESIF prog</w:t>
      </w:r>
      <w:r w:rsidR="001B67D0" w:rsidRPr="006A4C93">
        <w:t xml:space="preserve">ramme area. </w:t>
      </w:r>
    </w:p>
    <w:p w14:paraId="6DEA3CBD" w14:textId="4CA3A5F8" w:rsidR="00526645" w:rsidRDefault="001B67D0" w:rsidP="00837006">
      <w:pPr>
        <w:shd w:val="clear" w:color="auto" w:fill="FFFFFF" w:themeFill="background1"/>
      </w:pPr>
      <w:r w:rsidRPr="006A4C93">
        <w:t xml:space="preserve">To address these </w:t>
      </w:r>
      <w:r w:rsidR="00526645" w:rsidRPr="006A4C93">
        <w:t>precondition</w:t>
      </w:r>
      <w:r w:rsidRPr="006A4C93">
        <w:t>s</w:t>
      </w:r>
      <w:r w:rsidR="00526645" w:rsidRPr="006A4C93">
        <w:t xml:space="preserve"> we </w:t>
      </w:r>
      <w:r w:rsidRPr="006A4C93">
        <w:t xml:space="preserve">brought together six regions, one innovation advanced region and five less advanced, </w:t>
      </w:r>
      <w:r w:rsidR="00526645" w:rsidRPr="006A4C93">
        <w:t>sharing three types of proximities: production base proximities (even if at very different levels</w:t>
      </w:r>
      <w:r w:rsidRPr="006A4C93">
        <w:t xml:space="preserve"> of competitiveness –biobased industries as </w:t>
      </w:r>
      <w:r w:rsidR="00526645" w:rsidRPr="006A4C93">
        <w:t>RIS3 theme), technological proximities (at least a common understanding of), and relational proximities (Basile 2011</w:t>
      </w:r>
      <w:r w:rsidR="00526645" w:rsidRPr="006A4C93">
        <w:rPr>
          <w:rStyle w:val="FootnoteReference"/>
          <w:color w:val="021B2B" w:themeColor="background2" w:themeShade="1A"/>
        </w:rPr>
        <w:footnoteReference w:id="1"/>
      </w:r>
      <w:r w:rsidR="00526645" w:rsidRPr="006A4C93">
        <w:t xml:space="preserve">, the EU-wide application of the ESIF and and the RIS3 strategies); </w:t>
      </w:r>
      <w:r w:rsidRPr="006A4C93">
        <w:t xml:space="preserve">in addition, the research strategy of the innovation advanced region, includes </w:t>
      </w:r>
      <w:r w:rsidR="00526645" w:rsidRPr="006A4C93">
        <w:t xml:space="preserve">internationalisation of its research </w:t>
      </w:r>
      <w:r w:rsidRPr="006A4C93">
        <w:t xml:space="preserve">outputs </w:t>
      </w:r>
      <w:r w:rsidR="00526645" w:rsidRPr="006A4C93">
        <w:t>(Uusimaa, FI</w:t>
      </w:r>
      <w:r w:rsidR="00526645" w:rsidRPr="006A4C93">
        <w:rPr>
          <w:rStyle w:val="FootnoteReference"/>
          <w:color w:val="021B2B" w:themeColor="background2" w:themeShade="1A"/>
        </w:rPr>
        <w:footnoteReference w:id="2"/>
      </w:r>
      <w:r w:rsidR="00526645" w:rsidRPr="006A4C93">
        <w:t>)</w:t>
      </w:r>
      <w:r w:rsidRPr="006A4C93">
        <w:t xml:space="preserve"> among its objectives</w:t>
      </w:r>
      <w:r w:rsidR="00526645" w:rsidRPr="006A4C93">
        <w:t>.  The profile of the BRIDGES partnership is outlined in Table 1.</w:t>
      </w:r>
    </w:p>
    <w:p w14:paraId="3BF5A4FB" w14:textId="655C1F42" w:rsidR="00837006" w:rsidRPr="006A4C93" w:rsidRDefault="00E22464" w:rsidP="00E22464">
      <w:pPr>
        <w:pStyle w:val="Caption"/>
        <w:numPr>
          <w:ilvl w:val="0"/>
          <w:numId w:val="0"/>
        </w:numPr>
      </w:pPr>
      <w:bookmarkStart w:id="24" w:name="_Ref502662623"/>
      <w:bookmarkStart w:id="25" w:name="_Ref356055666"/>
      <w:bookmarkStart w:id="26" w:name="_Ref356055958"/>
      <w:bookmarkStart w:id="27" w:name="_Toc502665494"/>
      <w:r>
        <w:lastRenderedPageBreak/>
        <w:t xml:space="preserve">       </w:t>
      </w:r>
      <w:bookmarkStart w:id="28" w:name="_Toc526593323"/>
      <w:r w:rsidR="00837006" w:rsidRPr="006A4C93">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1</w:t>
      </w:r>
      <w:r w:rsidR="00F01E0F">
        <w:rPr>
          <w:noProof/>
        </w:rPr>
        <w:fldChar w:fldCharType="end"/>
      </w:r>
      <w:bookmarkEnd w:id="24"/>
      <w:r w:rsidR="00837006" w:rsidRPr="006A4C93">
        <w:t xml:space="preserve">   Key information of the BRIDGES project regions</w:t>
      </w:r>
      <w:bookmarkEnd w:id="25"/>
      <w:bookmarkEnd w:id="26"/>
      <w:bookmarkEnd w:id="27"/>
      <w:bookmarkEnd w:id="28"/>
    </w:p>
    <w:tbl>
      <w:tblPr>
        <w:tblW w:w="8647" w:type="dxa"/>
        <w:tblInd w:w="39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dotted" w:sz="2" w:space="0" w:color="FBE5B2" w:themeColor="accent5" w:themeTint="66"/>
          <w:insideV w:val="single" w:sz="2" w:space="0" w:color="7F7F7F" w:themeColor="text1" w:themeTint="80"/>
        </w:tblBorders>
        <w:tblLayout w:type="fixed"/>
        <w:tblLook w:val="04A0" w:firstRow="1" w:lastRow="0" w:firstColumn="1" w:lastColumn="0" w:noHBand="0" w:noVBand="1"/>
      </w:tblPr>
      <w:tblGrid>
        <w:gridCol w:w="2410"/>
        <w:gridCol w:w="1275"/>
        <w:gridCol w:w="1560"/>
        <w:gridCol w:w="1417"/>
        <w:gridCol w:w="1985"/>
      </w:tblGrid>
      <w:tr w:rsidR="00526645" w:rsidRPr="00E22464" w14:paraId="120D0161" w14:textId="77777777" w:rsidTr="009F1929">
        <w:trPr>
          <w:tblHeader/>
        </w:trPr>
        <w:tc>
          <w:tcPr>
            <w:tcW w:w="2410" w:type="dxa"/>
            <w:shd w:val="clear" w:color="auto" w:fill="F2F2F2" w:themeFill="background1" w:themeFillShade="F2"/>
          </w:tcPr>
          <w:p w14:paraId="266B899C" w14:textId="77777777" w:rsidR="00526645" w:rsidRPr="00E22464" w:rsidRDefault="00526645" w:rsidP="0027228E">
            <w:pPr>
              <w:pStyle w:val="Body3"/>
              <w:rPr>
                <w:b/>
                <w:szCs w:val="18"/>
              </w:rPr>
            </w:pPr>
            <w:r w:rsidRPr="00E22464">
              <w:rPr>
                <w:b/>
                <w:szCs w:val="18"/>
              </w:rPr>
              <w:t>Region</w:t>
            </w:r>
          </w:p>
        </w:tc>
        <w:tc>
          <w:tcPr>
            <w:tcW w:w="1275" w:type="dxa"/>
            <w:shd w:val="clear" w:color="auto" w:fill="F2F2F2" w:themeFill="background1" w:themeFillShade="F2"/>
          </w:tcPr>
          <w:p w14:paraId="068ADBEC" w14:textId="77777777" w:rsidR="00526645" w:rsidRPr="00E22464" w:rsidRDefault="00526645" w:rsidP="0027228E">
            <w:pPr>
              <w:pStyle w:val="Body3"/>
              <w:rPr>
                <w:b/>
                <w:szCs w:val="18"/>
              </w:rPr>
            </w:pPr>
            <w:r w:rsidRPr="00E22464">
              <w:rPr>
                <w:b/>
                <w:szCs w:val="18"/>
              </w:rPr>
              <w:t>Area(km2)</w:t>
            </w:r>
          </w:p>
        </w:tc>
        <w:tc>
          <w:tcPr>
            <w:tcW w:w="1560" w:type="dxa"/>
            <w:shd w:val="clear" w:color="auto" w:fill="F2F2F2" w:themeFill="background1" w:themeFillShade="F2"/>
          </w:tcPr>
          <w:p w14:paraId="1823B3B2" w14:textId="77777777" w:rsidR="00526645" w:rsidRPr="00E22464" w:rsidRDefault="00526645" w:rsidP="0027228E">
            <w:pPr>
              <w:pStyle w:val="Body3"/>
              <w:rPr>
                <w:b/>
                <w:szCs w:val="18"/>
              </w:rPr>
            </w:pPr>
            <w:r w:rsidRPr="00E22464">
              <w:rPr>
                <w:b/>
                <w:szCs w:val="18"/>
              </w:rPr>
              <w:t>Population</w:t>
            </w:r>
          </w:p>
        </w:tc>
        <w:tc>
          <w:tcPr>
            <w:tcW w:w="1417" w:type="dxa"/>
            <w:shd w:val="clear" w:color="auto" w:fill="F2F2F2" w:themeFill="background1" w:themeFillShade="F2"/>
          </w:tcPr>
          <w:p w14:paraId="2CB167AA" w14:textId="77777777" w:rsidR="00526645" w:rsidRPr="00E22464" w:rsidRDefault="00526645" w:rsidP="0027228E">
            <w:pPr>
              <w:pStyle w:val="Body3"/>
              <w:rPr>
                <w:b/>
                <w:szCs w:val="18"/>
              </w:rPr>
            </w:pPr>
            <w:r w:rsidRPr="00E22464">
              <w:rPr>
                <w:b/>
                <w:szCs w:val="18"/>
              </w:rPr>
              <w:t>Income (€/capita)</w:t>
            </w:r>
          </w:p>
        </w:tc>
        <w:tc>
          <w:tcPr>
            <w:tcW w:w="1985" w:type="dxa"/>
            <w:shd w:val="clear" w:color="auto" w:fill="F2F2F2" w:themeFill="background1" w:themeFillShade="F2"/>
          </w:tcPr>
          <w:p w14:paraId="2CE2C0D9" w14:textId="77777777" w:rsidR="00526645" w:rsidRPr="00E22464" w:rsidRDefault="00526645" w:rsidP="0027228E">
            <w:pPr>
              <w:pStyle w:val="Body3"/>
              <w:rPr>
                <w:b/>
                <w:szCs w:val="18"/>
              </w:rPr>
            </w:pPr>
            <w:r w:rsidRPr="00E22464">
              <w:rPr>
                <w:b/>
                <w:szCs w:val="18"/>
              </w:rPr>
              <w:t>IUS</w:t>
            </w:r>
            <w:r w:rsidRPr="00E22464">
              <w:rPr>
                <w:b/>
                <w:szCs w:val="18"/>
              </w:rPr>
              <w:footnoteReference w:id="3"/>
            </w:r>
            <w:r w:rsidRPr="00E22464">
              <w:rPr>
                <w:b/>
                <w:szCs w:val="18"/>
              </w:rPr>
              <w:t xml:space="preserve"> (2014 or 2015)</w:t>
            </w:r>
          </w:p>
        </w:tc>
      </w:tr>
      <w:tr w:rsidR="00526645" w:rsidRPr="006A4C93" w14:paraId="1E23C2F3" w14:textId="77777777" w:rsidTr="00911E59">
        <w:tc>
          <w:tcPr>
            <w:tcW w:w="2410" w:type="dxa"/>
          </w:tcPr>
          <w:p w14:paraId="17FA90BA" w14:textId="77777777" w:rsidR="00526645" w:rsidRPr="0027228E" w:rsidRDefault="00526645" w:rsidP="0027228E">
            <w:pPr>
              <w:pStyle w:val="Body3"/>
            </w:pPr>
            <w:r w:rsidRPr="0027228E">
              <w:t>Kainuu, FI</w:t>
            </w:r>
          </w:p>
        </w:tc>
        <w:tc>
          <w:tcPr>
            <w:tcW w:w="1275" w:type="dxa"/>
          </w:tcPr>
          <w:p w14:paraId="028EE2AD" w14:textId="77777777" w:rsidR="00526645" w:rsidRPr="0027228E" w:rsidRDefault="00526645" w:rsidP="0027228E">
            <w:pPr>
              <w:pStyle w:val="Body3"/>
            </w:pPr>
            <w:r w:rsidRPr="0027228E">
              <w:t>22,687</w:t>
            </w:r>
          </w:p>
        </w:tc>
        <w:tc>
          <w:tcPr>
            <w:tcW w:w="1560" w:type="dxa"/>
          </w:tcPr>
          <w:p w14:paraId="3E9AB5AE" w14:textId="77777777" w:rsidR="00526645" w:rsidRPr="0027228E" w:rsidRDefault="00526645" w:rsidP="0027228E">
            <w:pPr>
              <w:pStyle w:val="Body3"/>
            </w:pPr>
            <w:r w:rsidRPr="0027228E">
              <w:t>75,324</w:t>
            </w:r>
            <w:r w:rsidRPr="0027228E">
              <w:rPr>
                <w:rStyle w:val="FootnoteReference"/>
                <w:b w:val="0"/>
                <w:color w:val="000A11"/>
                <w:vertAlign w:val="baseline"/>
                <w:lang w:val="en-US"/>
              </w:rPr>
              <w:footnoteReference w:id="4"/>
            </w:r>
          </w:p>
        </w:tc>
        <w:tc>
          <w:tcPr>
            <w:tcW w:w="1417" w:type="dxa"/>
          </w:tcPr>
          <w:p w14:paraId="50389BD8" w14:textId="77777777" w:rsidR="00526645" w:rsidRPr="0027228E" w:rsidRDefault="00526645" w:rsidP="0027228E">
            <w:pPr>
              <w:pStyle w:val="Body3"/>
            </w:pPr>
            <w:r w:rsidRPr="0027228E">
              <w:t>27,468</w:t>
            </w:r>
          </w:p>
        </w:tc>
        <w:tc>
          <w:tcPr>
            <w:tcW w:w="1985" w:type="dxa"/>
          </w:tcPr>
          <w:p w14:paraId="26BF90D3" w14:textId="77777777" w:rsidR="00526645" w:rsidRPr="0027228E" w:rsidRDefault="00526645" w:rsidP="0027228E">
            <w:pPr>
              <w:pStyle w:val="Body3"/>
            </w:pPr>
            <w:r w:rsidRPr="0027228E">
              <w:t>Innovation follower</w:t>
            </w:r>
          </w:p>
        </w:tc>
      </w:tr>
      <w:tr w:rsidR="00526645" w:rsidRPr="006A4C93" w14:paraId="2DAE711F" w14:textId="77777777" w:rsidTr="00911E59">
        <w:tc>
          <w:tcPr>
            <w:tcW w:w="2410" w:type="dxa"/>
          </w:tcPr>
          <w:p w14:paraId="5CFAA504" w14:textId="77777777" w:rsidR="00526645" w:rsidRPr="0027228E" w:rsidRDefault="00526645" w:rsidP="0027228E">
            <w:pPr>
              <w:pStyle w:val="Body3"/>
            </w:pPr>
            <w:r w:rsidRPr="0027228E">
              <w:t>Lubelskie, PL</w:t>
            </w:r>
          </w:p>
        </w:tc>
        <w:tc>
          <w:tcPr>
            <w:tcW w:w="1275" w:type="dxa"/>
          </w:tcPr>
          <w:p w14:paraId="169961E6" w14:textId="77777777" w:rsidR="00526645" w:rsidRPr="0027228E" w:rsidRDefault="00526645" w:rsidP="0027228E">
            <w:pPr>
              <w:pStyle w:val="Body3"/>
            </w:pPr>
            <w:r w:rsidRPr="0027228E">
              <w:t>25,122</w:t>
            </w:r>
          </w:p>
        </w:tc>
        <w:tc>
          <w:tcPr>
            <w:tcW w:w="1560" w:type="dxa"/>
          </w:tcPr>
          <w:p w14:paraId="154D670F" w14:textId="77777777" w:rsidR="00526645" w:rsidRPr="0027228E" w:rsidRDefault="00526645" w:rsidP="0027228E">
            <w:pPr>
              <w:pStyle w:val="Body3"/>
            </w:pPr>
            <w:r w:rsidRPr="0027228E">
              <w:t>2,139,726</w:t>
            </w:r>
          </w:p>
        </w:tc>
        <w:tc>
          <w:tcPr>
            <w:tcW w:w="1417" w:type="dxa"/>
          </w:tcPr>
          <w:p w14:paraId="55776E42" w14:textId="77777777" w:rsidR="00526645" w:rsidRPr="0027228E" w:rsidRDefault="00526645" w:rsidP="0027228E">
            <w:pPr>
              <w:pStyle w:val="Body3"/>
            </w:pPr>
            <w:r w:rsidRPr="0027228E">
              <w:t>10,172</w:t>
            </w:r>
          </w:p>
        </w:tc>
        <w:tc>
          <w:tcPr>
            <w:tcW w:w="1985" w:type="dxa"/>
          </w:tcPr>
          <w:p w14:paraId="61CDC293" w14:textId="77777777" w:rsidR="00526645" w:rsidRPr="0027228E" w:rsidRDefault="00526645" w:rsidP="0027228E">
            <w:pPr>
              <w:pStyle w:val="Body3"/>
            </w:pPr>
            <w:r w:rsidRPr="0027228E">
              <w:t>Modest innovator</w:t>
            </w:r>
          </w:p>
        </w:tc>
      </w:tr>
      <w:tr w:rsidR="00526645" w:rsidRPr="006A4C93" w14:paraId="7EDD7E8C" w14:textId="77777777" w:rsidTr="00911E59">
        <w:tc>
          <w:tcPr>
            <w:tcW w:w="2410" w:type="dxa"/>
          </w:tcPr>
          <w:p w14:paraId="1836856F" w14:textId="77777777" w:rsidR="00526645" w:rsidRPr="0027228E" w:rsidRDefault="00526645" w:rsidP="0027228E">
            <w:pPr>
              <w:pStyle w:val="Body3"/>
            </w:pPr>
            <w:r w:rsidRPr="0027228E">
              <w:t>Helsinki-Uusimaa, FI</w:t>
            </w:r>
          </w:p>
        </w:tc>
        <w:tc>
          <w:tcPr>
            <w:tcW w:w="1275" w:type="dxa"/>
          </w:tcPr>
          <w:p w14:paraId="7EA9BEA0" w14:textId="77777777" w:rsidR="00526645" w:rsidRPr="0027228E" w:rsidRDefault="00526645" w:rsidP="0027228E">
            <w:pPr>
              <w:pStyle w:val="Body3"/>
            </w:pPr>
            <w:r w:rsidRPr="0027228E">
              <w:t>9,097</w:t>
            </w:r>
          </w:p>
        </w:tc>
        <w:tc>
          <w:tcPr>
            <w:tcW w:w="1560" w:type="dxa"/>
          </w:tcPr>
          <w:p w14:paraId="5102EF05" w14:textId="77777777" w:rsidR="00526645" w:rsidRPr="0027228E" w:rsidRDefault="00526645" w:rsidP="0027228E">
            <w:pPr>
              <w:pStyle w:val="Body3"/>
            </w:pPr>
            <w:r w:rsidRPr="0027228E">
              <w:t>1,620,261</w:t>
            </w:r>
            <w:r w:rsidRPr="0027228E">
              <w:rPr>
                <w:rStyle w:val="FootnoteReference"/>
                <w:b w:val="0"/>
                <w:color w:val="000A11"/>
                <w:vertAlign w:val="baseline"/>
                <w:lang w:val="en-US"/>
              </w:rPr>
              <w:footnoteReference w:id="5"/>
            </w:r>
          </w:p>
        </w:tc>
        <w:tc>
          <w:tcPr>
            <w:tcW w:w="1417" w:type="dxa"/>
          </w:tcPr>
          <w:p w14:paraId="7898660F" w14:textId="77777777" w:rsidR="00526645" w:rsidRPr="0027228E" w:rsidRDefault="00526645" w:rsidP="0027228E">
            <w:pPr>
              <w:pStyle w:val="Body3"/>
            </w:pPr>
            <w:r w:rsidRPr="0027228E">
              <w:t>47, 830</w:t>
            </w:r>
          </w:p>
        </w:tc>
        <w:tc>
          <w:tcPr>
            <w:tcW w:w="1985" w:type="dxa"/>
          </w:tcPr>
          <w:p w14:paraId="09904616" w14:textId="77777777" w:rsidR="00526645" w:rsidRPr="0027228E" w:rsidRDefault="00526645" w:rsidP="0027228E">
            <w:pPr>
              <w:pStyle w:val="Body3"/>
            </w:pPr>
            <w:r w:rsidRPr="0027228E">
              <w:t>Innovation leader</w:t>
            </w:r>
          </w:p>
        </w:tc>
      </w:tr>
      <w:tr w:rsidR="00526645" w:rsidRPr="006A4C93" w14:paraId="23790AEC" w14:textId="77777777" w:rsidTr="00911E59">
        <w:tc>
          <w:tcPr>
            <w:tcW w:w="2410" w:type="dxa"/>
          </w:tcPr>
          <w:p w14:paraId="124CC8C8" w14:textId="77777777" w:rsidR="00526645" w:rsidRPr="0027228E" w:rsidRDefault="00526645" w:rsidP="0027228E">
            <w:pPr>
              <w:pStyle w:val="Body3"/>
            </w:pPr>
            <w:r w:rsidRPr="0027228E">
              <w:t>Western Macedonia, GR</w:t>
            </w:r>
          </w:p>
        </w:tc>
        <w:tc>
          <w:tcPr>
            <w:tcW w:w="1275" w:type="dxa"/>
          </w:tcPr>
          <w:p w14:paraId="26BF6751" w14:textId="77777777" w:rsidR="00526645" w:rsidRPr="0027228E" w:rsidRDefault="00526645" w:rsidP="0027228E">
            <w:pPr>
              <w:pStyle w:val="Body3"/>
            </w:pPr>
            <w:r w:rsidRPr="0027228E">
              <w:t>9,451</w:t>
            </w:r>
          </w:p>
        </w:tc>
        <w:tc>
          <w:tcPr>
            <w:tcW w:w="1560" w:type="dxa"/>
          </w:tcPr>
          <w:p w14:paraId="17EB4CEB" w14:textId="77777777" w:rsidR="00526645" w:rsidRPr="0027228E" w:rsidRDefault="00526645" w:rsidP="0027228E">
            <w:pPr>
              <w:pStyle w:val="Body3"/>
            </w:pPr>
            <w:r w:rsidRPr="0027228E">
              <w:t>291,731</w:t>
            </w:r>
          </w:p>
        </w:tc>
        <w:tc>
          <w:tcPr>
            <w:tcW w:w="1417" w:type="dxa"/>
          </w:tcPr>
          <w:p w14:paraId="38F29994" w14:textId="77777777" w:rsidR="00526645" w:rsidRPr="0027228E" w:rsidRDefault="00526645" w:rsidP="0027228E">
            <w:pPr>
              <w:pStyle w:val="Body3"/>
            </w:pPr>
            <w:r w:rsidRPr="0027228E">
              <w:t>18,100</w:t>
            </w:r>
          </w:p>
        </w:tc>
        <w:tc>
          <w:tcPr>
            <w:tcW w:w="1985" w:type="dxa"/>
          </w:tcPr>
          <w:p w14:paraId="4DFAA42C" w14:textId="77777777" w:rsidR="00526645" w:rsidRPr="0027228E" w:rsidRDefault="00526645" w:rsidP="0027228E">
            <w:pPr>
              <w:pStyle w:val="Body3"/>
            </w:pPr>
            <w:r w:rsidRPr="0027228E">
              <w:t>Modest innovator</w:t>
            </w:r>
          </w:p>
        </w:tc>
      </w:tr>
      <w:tr w:rsidR="00526645" w:rsidRPr="006A4C93" w14:paraId="56CE64A1" w14:textId="77777777" w:rsidTr="00911E59">
        <w:tc>
          <w:tcPr>
            <w:tcW w:w="2410" w:type="dxa"/>
          </w:tcPr>
          <w:p w14:paraId="75A4B887" w14:textId="56139098" w:rsidR="00526645" w:rsidRPr="0027228E" w:rsidRDefault="00BB107D" w:rsidP="0027228E">
            <w:pPr>
              <w:pStyle w:val="Body3"/>
            </w:pPr>
            <w:r w:rsidRPr="0027228E">
              <w:t>Goriška</w:t>
            </w:r>
            <w:r w:rsidR="00526645" w:rsidRPr="0027228E">
              <w:t>, SI</w:t>
            </w:r>
          </w:p>
        </w:tc>
        <w:tc>
          <w:tcPr>
            <w:tcW w:w="1275" w:type="dxa"/>
          </w:tcPr>
          <w:p w14:paraId="4B48071B" w14:textId="77777777" w:rsidR="00526645" w:rsidRPr="0027228E" w:rsidRDefault="00526645" w:rsidP="0027228E">
            <w:pPr>
              <w:pStyle w:val="Body3"/>
            </w:pPr>
            <w:r w:rsidRPr="0027228E">
              <w:t>8,061</w:t>
            </w:r>
          </w:p>
        </w:tc>
        <w:tc>
          <w:tcPr>
            <w:tcW w:w="1560" w:type="dxa"/>
          </w:tcPr>
          <w:p w14:paraId="25457E96" w14:textId="77777777" w:rsidR="00526645" w:rsidRPr="0027228E" w:rsidRDefault="00526645" w:rsidP="0027228E">
            <w:pPr>
              <w:pStyle w:val="Body3"/>
            </w:pPr>
            <w:r w:rsidRPr="0027228E">
              <w:t>971,995</w:t>
            </w:r>
          </w:p>
        </w:tc>
        <w:tc>
          <w:tcPr>
            <w:tcW w:w="1417" w:type="dxa"/>
          </w:tcPr>
          <w:p w14:paraId="761609EB" w14:textId="77777777" w:rsidR="00526645" w:rsidRPr="0027228E" w:rsidRDefault="00526645" w:rsidP="0027228E">
            <w:pPr>
              <w:pStyle w:val="Body3"/>
            </w:pPr>
            <w:r w:rsidRPr="0027228E">
              <w:t xml:space="preserve">21,399 </w:t>
            </w:r>
          </w:p>
        </w:tc>
        <w:tc>
          <w:tcPr>
            <w:tcW w:w="1985" w:type="dxa"/>
          </w:tcPr>
          <w:p w14:paraId="46877CDF" w14:textId="77777777" w:rsidR="00526645" w:rsidRPr="0027228E" w:rsidRDefault="00526645" w:rsidP="0027228E">
            <w:pPr>
              <w:pStyle w:val="Body3"/>
            </w:pPr>
            <w:r w:rsidRPr="0027228E">
              <w:t>Moderate innovator</w:t>
            </w:r>
          </w:p>
        </w:tc>
      </w:tr>
      <w:tr w:rsidR="00526645" w:rsidRPr="006A4C93" w14:paraId="6E55162E" w14:textId="77777777" w:rsidTr="00911E59">
        <w:tc>
          <w:tcPr>
            <w:tcW w:w="2410" w:type="dxa"/>
          </w:tcPr>
          <w:p w14:paraId="46F76ABA" w14:textId="77777777" w:rsidR="00526645" w:rsidRPr="0027228E" w:rsidRDefault="00526645" w:rsidP="0027228E">
            <w:pPr>
              <w:pStyle w:val="Body3"/>
            </w:pPr>
            <w:r w:rsidRPr="0027228E">
              <w:t>Western Transdanubia, HU</w:t>
            </w:r>
          </w:p>
        </w:tc>
        <w:tc>
          <w:tcPr>
            <w:tcW w:w="1275" w:type="dxa"/>
          </w:tcPr>
          <w:p w14:paraId="1CC62D2D" w14:textId="77777777" w:rsidR="00526645" w:rsidRPr="006A4C93" w:rsidRDefault="00526645" w:rsidP="00837006">
            <w:pPr>
              <w:pStyle w:val="font5"/>
              <w:shd w:val="clear" w:color="auto" w:fill="FFFFFF" w:themeFill="background1"/>
              <w:spacing w:before="0" w:after="0" w:line="276" w:lineRule="auto"/>
              <w:rPr>
                <w:color w:val="021B2B" w:themeColor="background2" w:themeShade="1A"/>
              </w:rPr>
            </w:pPr>
            <w:r w:rsidRPr="006A4C93">
              <w:rPr>
                <w:color w:val="021B2B" w:themeColor="background2" w:themeShade="1A"/>
              </w:rPr>
              <w:t>11,209</w:t>
            </w:r>
          </w:p>
        </w:tc>
        <w:tc>
          <w:tcPr>
            <w:tcW w:w="1560" w:type="dxa"/>
          </w:tcPr>
          <w:p w14:paraId="79BFD563" w14:textId="77777777" w:rsidR="00526645" w:rsidRPr="006A4C93" w:rsidRDefault="00526645" w:rsidP="00837006">
            <w:pPr>
              <w:pStyle w:val="font5"/>
              <w:shd w:val="clear" w:color="auto" w:fill="FFFFFF" w:themeFill="background1"/>
              <w:spacing w:before="0" w:after="0" w:line="276" w:lineRule="auto"/>
              <w:rPr>
                <w:color w:val="021B2B" w:themeColor="background2" w:themeShade="1A"/>
              </w:rPr>
            </w:pPr>
            <w:r w:rsidRPr="006A4C93">
              <w:rPr>
                <w:color w:val="021B2B" w:themeColor="background2" w:themeShade="1A"/>
              </w:rPr>
              <w:t>997,939</w:t>
            </w:r>
          </w:p>
        </w:tc>
        <w:tc>
          <w:tcPr>
            <w:tcW w:w="1417" w:type="dxa"/>
          </w:tcPr>
          <w:p w14:paraId="4F6A2017" w14:textId="77777777" w:rsidR="00526645" w:rsidRPr="006A4C93" w:rsidRDefault="00526645" w:rsidP="00837006">
            <w:pPr>
              <w:pStyle w:val="font5"/>
              <w:shd w:val="clear" w:color="auto" w:fill="FFFFFF" w:themeFill="background1"/>
              <w:spacing w:before="0" w:after="0" w:line="276" w:lineRule="auto"/>
              <w:rPr>
                <w:color w:val="021B2B" w:themeColor="background2" w:themeShade="1A"/>
              </w:rPr>
            </w:pPr>
            <w:r w:rsidRPr="006A4C93">
              <w:rPr>
                <w:color w:val="021B2B" w:themeColor="background2" w:themeShade="1A"/>
              </w:rPr>
              <w:t>16,920</w:t>
            </w:r>
            <w:r w:rsidRPr="006A4C93">
              <w:rPr>
                <w:rStyle w:val="FootnoteReference"/>
                <w:color w:val="021B2B" w:themeColor="background2" w:themeShade="1A"/>
              </w:rPr>
              <w:footnoteReference w:id="6"/>
            </w:r>
          </w:p>
        </w:tc>
        <w:tc>
          <w:tcPr>
            <w:tcW w:w="1985" w:type="dxa"/>
          </w:tcPr>
          <w:p w14:paraId="355DE634" w14:textId="77777777" w:rsidR="00526645" w:rsidRPr="006A4C93" w:rsidRDefault="00526645" w:rsidP="00837006">
            <w:pPr>
              <w:pStyle w:val="font5"/>
              <w:keepNext/>
              <w:shd w:val="clear" w:color="auto" w:fill="FFFFFF" w:themeFill="background1"/>
              <w:spacing w:before="0" w:after="0" w:line="276" w:lineRule="auto"/>
              <w:rPr>
                <w:color w:val="021B2B" w:themeColor="background2" w:themeShade="1A"/>
              </w:rPr>
            </w:pPr>
            <w:r w:rsidRPr="006A4C93">
              <w:rPr>
                <w:color w:val="021B2B" w:themeColor="background2" w:themeShade="1A"/>
              </w:rPr>
              <w:t>Moderate innovator</w:t>
            </w:r>
          </w:p>
        </w:tc>
      </w:tr>
    </w:tbl>
    <w:p w14:paraId="72BFFF83" w14:textId="77777777" w:rsidR="00837006" w:rsidRDefault="00837006" w:rsidP="00837006">
      <w:pPr>
        <w:shd w:val="clear" w:color="auto" w:fill="FFFFFF" w:themeFill="background1"/>
      </w:pPr>
    </w:p>
    <w:p w14:paraId="300A70C3" w14:textId="5D914DC8" w:rsidR="006017CD" w:rsidRPr="006A4C93" w:rsidRDefault="006017CD" w:rsidP="00837006">
      <w:pPr>
        <w:shd w:val="clear" w:color="auto" w:fill="FFFFFF" w:themeFill="background1"/>
      </w:pPr>
      <w:r w:rsidRPr="006A4C93">
        <w:t xml:space="preserve">To be able to implement these objectives, the </w:t>
      </w:r>
      <w:r w:rsidR="0068169C">
        <w:t xml:space="preserve">approved BRIDGES </w:t>
      </w:r>
      <w:r w:rsidRPr="006A4C93">
        <w:t>proposal turns to two sources: 1) the notion of technological connectivity and critical mass as discussed in the RIS3 literature</w:t>
      </w:r>
      <w:r w:rsidRPr="0068169C">
        <w:rPr>
          <w:rStyle w:val="FootnoteReference"/>
        </w:rPr>
        <w:footnoteReference w:id="7"/>
      </w:r>
      <w:r w:rsidRPr="006A4C93">
        <w:t>, and 2)</w:t>
      </w:r>
      <w:r w:rsidR="00526645" w:rsidRPr="006A4C93">
        <w:t>the provisions of Article 70</w:t>
      </w:r>
      <w:r w:rsidRPr="006A4C93">
        <w:t xml:space="preserve"> of the CPR  “</w:t>
      </w:r>
      <w:r w:rsidR="009434E0" w:rsidRPr="006A4C93">
        <w:t>b</w:t>
      </w:r>
      <w:r w:rsidRPr="006A4C93">
        <w:t>y promoting interregional actions BRIDGES invests in the potential of Article 2 of the European Territorial Cooperation (ETC) 1299/2013 stipulating that «...the ERDF may also support the sharing of facilities and human resources, and all types of infrastructure across borders in all regions» &amp; of Articles 70.2 and 96.d of the CPR</w:t>
      </w:r>
      <w:r w:rsidR="009434E0" w:rsidRPr="006A4C93">
        <w:rPr>
          <w:rStyle w:val="FootnoteReference"/>
          <w:color w:val="021B2B" w:themeColor="background2" w:themeShade="1A"/>
        </w:rPr>
        <w:footnoteReference w:id="8"/>
      </w:r>
      <w:r w:rsidRPr="006A4C93">
        <w:t xml:space="preserve"> (CPR­Regulation (EU) No 1303/2013), that foresee using ESIF beyond</w:t>
      </w:r>
      <w:r w:rsidR="009434E0" w:rsidRPr="006A4C93">
        <w:t xml:space="preserve"> the programme areas for up to </w:t>
      </w:r>
      <w:r w:rsidR="00C60EEC" w:rsidRPr="006A4C93">
        <w:t>1</w:t>
      </w:r>
      <w:r w:rsidRPr="006A4C93">
        <w:t>5%</w:t>
      </w:r>
      <w:r w:rsidR="009434E0" w:rsidRPr="006A4C93">
        <w:rPr>
          <w:rStyle w:val="FootnoteReference"/>
          <w:color w:val="021B2B" w:themeColor="background2" w:themeShade="1A"/>
        </w:rPr>
        <w:footnoteReference w:id="9"/>
      </w:r>
      <w:r w:rsidR="009434E0" w:rsidRPr="006A4C93">
        <w:t>”.</w:t>
      </w:r>
      <w:r w:rsidR="009434E0" w:rsidRPr="006A4C93">
        <w:rPr>
          <w:rStyle w:val="FootnoteReference"/>
          <w:color w:val="021B2B" w:themeColor="background2" w:themeShade="1A"/>
        </w:rPr>
        <w:t xml:space="preserve"> </w:t>
      </w:r>
      <w:r w:rsidR="009434E0" w:rsidRPr="006A4C93">
        <w:t xml:space="preserve">Reference to article 70 of the CPR is in fact part of the innovative character of the project: </w:t>
      </w:r>
      <w:r w:rsidRPr="006A4C93">
        <w:t xml:space="preserve"> </w:t>
      </w:r>
      <w:r w:rsidR="009434E0" w:rsidRPr="006A4C93">
        <w:t>“It… (2) systematically explores ecosystem options to address critical structural &amp; mass challenges of imperfect regional innovation systems, especially present in diversification regions. It thus also activates article 70.2 of the CPR, a new provision…</w:t>
      </w:r>
      <w:r w:rsidR="009434E0" w:rsidRPr="006A4C93">
        <w:rPr>
          <w:rStyle w:val="FootnoteReference"/>
          <w:rFonts w:eastAsiaTheme="minorEastAsia" w:cs="Arial"/>
          <w:noProof w:val="0"/>
          <w:color w:val="021B2B" w:themeColor="background2" w:themeShade="1A"/>
          <w:szCs w:val="16"/>
          <w:lang w:eastAsia="ja-JP"/>
        </w:rPr>
        <w:footnoteReference w:id="10"/>
      </w:r>
      <w:r w:rsidR="009434E0" w:rsidRPr="006A4C93">
        <w:rPr>
          <w:rFonts w:ascii="Arial" w:eastAsiaTheme="minorEastAsia" w:hAnsi="Arial" w:cs="Arial"/>
          <w:noProof w:val="0"/>
          <w:sz w:val="16"/>
          <w:szCs w:val="16"/>
          <w:lang w:val="en-US" w:eastAsia="ja-JP"/>
        </w:rPr>
        <w:t>”.</w:t>
      </w:r>
      <w:r w:rsidR="00806E39" w:rsidRPr="006A4C93">
        <w:rPr>
          <w:rFonts w:ascii="Arial" w:eastAsiaTheme="minorEastAsia" w:hAnsi="Arial" w:cs="Arial"/>
          <w:noProof w:val="0"/>
          <w:sz w:val="16"/>
          <w:szCs w:val="16"/>
          <w:lang w:val="en-US" w:eastAsia="ja-JP"/>
        </w:rPr>
        <w:t xml:space="preserve"> </w:t>
      </w:r>
      <w:r w:rsidR="00806E39" w:rsidRPr="006A4C93">
        <w:t xml:space="preserve">In the project plan, Article 70 of the CPR is processed </w:t>
      </w:r>
      <w:r w:rsidR="00806E39" w:rsidRPr="006A4C93">
        <w:lastRenderedPageBreak/>
        <w:t>through the interregional working group 2 (IWG2</w:t>
      </w:r>
      <w:r w:rsidR="00806E39" w:rsidRPr="0068169C">
        <w:rPr>
          <w:rStyle w:val="FootnoteReference"/>
        </w:rPr>
        <w:footnoteReference w:id="11"/>
      </w:r>
      <w:r w:rsidR="00806E39" w:rsidRPr="006A4C93">
        <w:t>)</w:t>
      </w:r>
      <w:r w:rsidR="00576FBB" w:rsidRPr="006A4C93">
        <w:t xml:space="preserve"> and in</w:t>
      </w:r>
      <w:r w:rsidR="00E91C98" w:rsidRPr="006A4C93">
        <w:t xml:space="preserve"> one of the components of the foreseen regional action plans (A</w:t>
      </w:r>
      <w:r w:rsidR="00ED3E86" w:rsidRPr="006A4C93">
        <w:t>C3</w:t>
      </w:r>
      <w:r w:rsidR="00ED3E86" w:rsidRPr="0068169C">
        <w:rPr>
          <w:rStyle w:val="FootnoteReference"/>
        </w:rPr>
        <w:footnoteReference w:id="12"/>
      </w:r>
      <w:r w:rsidR="0084669C" w:rsidRPr="006A4C93">
        <w:t>)</w:t>
      </w:r>
      <w:r w:rsidR="00806E39" w:rsidRPr="006A4C93">
        <w:t xml:space="preserve">. </w:t>
      </w:r>
      <w:r w:rsidR="00576FBB" w:rsidRPr="006A4C93">
        <w:t xml:space="preserve">This has been the starting point of the project. </w:t>
      </w:r>
    </w:p>
    <w:p w14:paraId="3909D3DF" w14:textId="73F184B6" w:rsidR="00526645" w:rsidRDefault="00526645" w:rsidP="00837006">
      <w:pPr>
        <w:shd w:val="clear" w:color="auto" w:fill="FFFFFF" w:themeFill="background1"/>
      </w:pPr>
      <w:r w:rsidRPr="006A4C93">
        <w:t xml:space="preserve">The target indicators of the linkages were self defined and are part of the BRIDGES project deliverables, ‘numbers of enterprises cooperating with research institutions’ except for the innovation advanced region that defiend the indicator as ‘number of research institutions cooperating with businesses outside Uusimaa’, </w:t>
      </w:r>
      <w:r w:rsidR="000F05F2">
        <w:fldChar w:fldCharType="begin"/>
      </w:r>
      <w:r w:rsidR="000F05F2">
        <w:instrText xml:space="preserve"> REF _Ref502694721 \h </w:instrText>
      </w:r>
      <w:r w:rsidR="000F05F2">
        <w:fldChar w:fldCharType="separate"/>
      </w:r>
      <w:r w:rsidR="00BA7AA6">
        <w:t>Table 2</w:t>
      </w:r>
      <w:r w:rsidR="000F05F2">
        <w:fldChar w:fldCharType="end"/>
      </w:r>
      <w:r w:rsidRPr="006A4C93">
        <w:t xml:space="preserve">. </w:t>
      </w:r>
    </w:p>
    <w:p w14:paraId="29F91D8D" w14:textId="61A34474" w:rsidR="00837006" w:rsidRPr="006A4C93" w:rsidRDefault="00837006" w:rsidP="00E22464">
      <w:pPr>
        <w:pStyle w:val="Caption"/>
        <w:numPr>
          <w:ilvl w:val="0"/>
          <w:numId w:val="0"/>
        </w:numPr>
        <w:ind w:left="720"/>
      </w:pPr>
      <w:bookmarkStart w:id="29" w:name="_Ref502694721"/>
      <w:bookmarkStart w:id="30" w:name="_Toc502665495"/>
      <w:bookmarkStart w:id="31" w:name="_Ref502694770"/>
      <w:bookmarkStart w:id="32" w:name="_Toc526593324"/>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2</w:t>
      </w:r>
      <w:r w:rsidR="00F01E0F">
        <w:rPr>
          <w:noProof/>
        </w:rPr>
        <w:fldChar w:fldCharType="end"/>
      </w:r>
      <w:bookmarkEnd w:id="29"/>
      <w:r>
        <w:t xml:space="preserve"> </w:t>
      </w:r>
      <w:r w:rsidRPr="006A4C93">
        <w:t>Self defined indicator per project partner</w:t>
      </w:r>
      <w:bookmarkEnd w:id="30"/>
      <w:bookmarkEnd w:id="31"/>
      <w:bookmarkEnd w:id="32"/>
    </w:p>
    <w:tbl>
      <w:tblPr>
        <w:tblW w:w="8788" w:type="dxa"/>
        <w:tblInd w:w="39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dotted" w:sz="4" w:space="0" w:color="F9D98C" w:themeColor="accent5" w:themeTint="99"/>
          <w:insideV w:val="single" w:sz="2" w:space="0" w:color="7F7F7F" w:themeColor="text1" w:themeTint="80"/>
        </w:tblBorders>
        <w:tblLayout w:type="fixed"/>
        <w:tblLook w:val="04A0" w:firstRow="1" w:lastRow="0" w:firstColumn="1" w:lastColumn="0" w:noHBand="0" w:noVBand="1"/>
      </w:tblPr>
      <w:tblGrid>
        <w:gridCol w:w="7938"/>
        <w:gridCol w:w="850"/>
      </w:tblGrid>
      <w:tr w:rsidR="00526645" w:rsidRPr="006A4C93" w14:paraId="09B608FF" w14:textId="77777777" w:rsidTr="00526645">
        <w:tc>
          <w:tcPr>
            <w:tcW w:w="7938" w:type="dxa"/>
          </w:tcPr>
          <w:p w14:paraId="35433336" w14:textId="502A9AEF" w:rsidR="00526645" w:rsidRPr="0027228E" w:rsidRDefault="00526645" w:rsidP="0027228E">
            <w:pPr>
              <w:pStyle w:val="Body3"/>
            </w:pPr>
            <w:r w:rsidRPr="0027228E">
              <w:t>Number of enterprises cooperating with research institutions, Kainuu, FI</w:t>
            </w:r>
          </w:p>
        </w:tc>
        <w:tc>
          <w:tcPr>
            <w:tcW w:w="850" w:type="dxa"/>
          </w:tcPr>
          <w:p w14:paraId="6E107DC6" w14:textId="77777777" w:rsidR="00526645" w:rsidRPr="0027228E" w:rsidRDefault="00526645" w:rsidP="0027228E">
            <w:pPr>
              <w:pStyle w:val="Body3"/>
            </w:pPr>
            <w:r w:rsidRPr="0027228E">
              <w:t>30</w:t>
            </w:r>
          </w:p>
        </w:tc>
      </w:tr>
      <w:tr w:rsidR="00526645" w:rsidRPr="006A4C93" w14:paraId="223FDE4F" w14:textId="77777777" w:rsidTr="00526645">
        <w:tc>
          <w:tcPr>
            <w:tcW w:w="7938" w:type="dxa"/>
          </w:tcPr>
          <w:p w14:paraId="2783E00D" w14:textId="77777777" w:rsidR="00526645" w:rsidRPr="0027228E" w:rsidRDefault="00526645" w:rsidP="0027228E">
            <w:pPr>
              <w:pStyle w:val="Body3"/>
            </w:pPr>
            <w:r w:rsidRPr="0027228E">
              <w:t>Number of enterprises cooperating with research institutions, Lubelskie, PL</w:t>
            </w:r>
          </w:p>
        </w:tc>
        <w:tc>
          <w:tcPr>
            <w:tcW w:w="850" w:type="dxa"/>
          </w:tcPr>
          <w:p w14:paraId="09371C28" w14:textId="77777777" w:rsidR="00526645" w:rsidRPr="0027228E" w:rsidRDefault="00526645" w:rsidP="0027228E">
            <w:pPr>
              <w:pStyle w:val="Body3"/>
            </w:pPr>
            <w:r w:rsidRPr="0027228E">
              <w:t>60</w:t>
            </w:r>
          </w:p>
        </w:tc>
      </w:tr>
      <w:tr w:rsidR="00526645" w:rsidRPr="006A4C93" w14:paraId="07B56274" w14:textId="77777777" w:rsidTr="00526645">
        <w:tc>
          <w:tcPr>
            <w:tcW w:w="7938" w:type="dxa"/>
          </w:tcPr>
          <w:p w14:paraId="074043E3" w14:textId="77777777" w:rsidR="00526645" w:rsidRPr="0027228E" w:rsidRDefault="00526645" w:rsidP="0027228E">
            <w:pPr>
              <w:pStyle w:val="Body3"/>
            </w:pPr>
            <w:r w:rsidRPr="0027228E">
              <w:t xml:space="preserve">Number of research institutions cooperating with businesses outside Uusimaa, Uusimaa, FI </w:t>
            </w:r>
          </w:p>
        </w:tc>
        <w:tc>
          <w:tcPr>
            <w:tcW w:w="850" w:type="dxa"/>
          </w:tcPr>
          <w:p w14:paraId="4778FE02" w14:textId="77777777" w:rsidR="00526645" w:rsidRPr="0027228E" w:rsidRDefault="00526645" w:rsidP="0027228E">
            <w:pPr>
              <w:pStyle w:val="Body3"/>
            </w:pPr>
            <w:r w:rsidRPr="0027228E">
              <w:t>5</w:t>
            </w:r>
          </w:p>
        </w:tc>
      </w:tr>
      <w:tr w:rsidR="00526645" w:rsidRPr="006A4C93" w14:paraId="43CE570F" w14:textId="77777777" w:rsidTr="00526645">
        <w:tc>
          <w:tcPr>
            <w:tcW w:w="7938" w:type="dxa"/>
          </w:tcPr>
          <w:p w14:paraId="548EB9CE" w14:textId="2033DEBF" w:rsidR="00526645" w:rsidRPr="0027228E" w:rsidRDefault="007A6867" w:rsidP="0027228E">
            <w:pPr>
              <w:pStyle w:val="Body3"/>
            </w:pPr>
            <w:r w:rsidRPr="0027228E">
              <w:t>Number of enterprises coope</w:t>
            </w:r>
            <w:r w:rsidR="00526645" w:rsidRPr="0027228E">
              <w:t>r</w:t>
            </w:r>
            <w:r w:rsidRPr="0027228E">
              <w:t>a</w:t>
            </w:r>
            <w:r w:rsidR="00526645" w:rsidRPr="0027228E">
              <w:t>ting with research institutions, Western Macedonia, GR</w:t>
            </w:r>
          </w:p>
        </w:tc>
        <w:tc>
          <w:tcPr>
            <w:tcW w:w="850" w:type="dxa"/>
          </w:tcPr>
          <w:p w14:paraId="027B007C" w14:textId="77777777" w:rsidR="00526645" w:rsidRPr="0027228E" w:rsidRDefault="00526645" w:rsidP="0027228E">
            <w:pPr>
              <w:pStyle w:val="Body3"/>
            </w:pPr>
            <w:r w:rsidRPr="0027228E">
              <w:t>40</w:t>
            </w:r>
          </w:p>
        </w:tc>
      </w:tr>
      <w:tr w:rsidR="00526645" w:rsidRPr="006A4C93" w14:paraId="639695D9" w14:textId="77777777" w:rsidTr="00526645">
        <w:tc>
          <w:tcPr>
            <w:tcW w:w="7938" w:type="dxa"/>
          </w:tcPr>
          <w:p w14:paraId="5DEEB543" w14:textId="324C3CF4" w:rsidR="00526645" w:rsidRPr="0027228E" w:rsidRDefault="00526645" w:rsidP="0027228E">
            <w:pPr>
              <w:pStyle w:val="Body3"/>
            </w:pPr>
            <w:r w:rsidRPr="0027228E">
              <w:t xml:space="preserve">Number of enterprises cooperating with research institutions, </w:t>
            </w:r>
            <w:r w:rsidR="00BB107D" w:rsidRPr="0027228E">
              <w:t>Goriška</w:t>
            </w:r>
            <w:r w:rsidRPr="0027228E">
              <w:t>, SI</w:t>
            </w:r>
          </w:p>
        </w:tc>
        <w:tc>
          <w:tcPr>
            <w:tcW w:w="850" w:type="dxa"/>
          </w:tcPr>
          <w:p w14:paraId="29ACC1E1" w14:textId="77777777" w:rsidR="00526645" w:rsidRPr="0027228E" w:rsidRDefault="00526645" w:rsidP="0027228E">
            <w:pPr>
              <w:pStyle w:val="Body3"/>
            </w:pPr>
            <w:r w:rsidRPr="0027228E">
              <w:t>40</w:t>
            </w:r>
          </w:p>
        </w:tc>
      </w:tr>
      <w:tr w:rsidR="00526645" w:rsidRPr="006A4C93" w14:paraId="141EE195" w14:textId="77777777" w:rsidTr="00526645">
        <w:tc>
          <w:tcPr>
            <w:tcW w:w="7938" w:type="dxa"/>
          </w:tcPr>
          <w:p w14:paraId="22FFA01E" w14:textId="02C91B61" w:rsidR="00526645" w:rsidRPr="0027228E" w:rsidRDefault="00526645" w:rsidP="0027228E">
            <w:pPr>
              <w:pStyle w:val="Body3"/>
            </w:pPr>
            <w:r w:rsidRPr="0027228E">
              <w:t>Number of enterprises cooper</w:t>
            </w:r>
            <w:r w:rsidR="00F02A39" w:rsidRPr="0027228E">
              <w:t>a</w:t>
            </w:r>
            <w:r w:rsidRPr="0027228E">
              <w:t>ting with research institutions, Western Trandanubia, HU</w:t>
            </w:r>
          </w:p>
        </w:tc>
        <w:tc>
          <w:tcPr>
            <w:tcW w:w="850" w:type="dxa"/>
          </w:tcPr>
          <w:p w14:paraId="43AE6329" w14:textId="77777777" w:rsidR="00526645" w:rsidRPr="0027228E" w:rsidRDefault="00526645" w:rsidP="0027228E">
            <w:pPr>
              <w:pStyle w:val="Body3"/>
            </w:pPr>
            <w:r w:rsidRPr="0027228E">
              <w:t>60</w:t>
            </w:r>
          </w:p>
        </w:tc>
      </w:tr>
    </w:tbl>
    <w:p w14:paraId="20D604E6" w14:textId="77777777" w:rsidR="00526645" w:rsidRPr="006A4C93" w:rsidRDefault="00526645" w:rsidP="00837006">
      <w:pPr>
        <w:shd w:val="clear" w:color="auto" w:fill="FFFFFF" w:themeFill="background1"/>
      </w:pPr>
      <w:r w:rsidRPr="006A4C93">
        <w:t>According to the project plan, these indicators will be reached during Phase 2 and beyond, by implementing the action plans formulated and approved (by ESIF managing authorities (MAs) and / or intermediate bodies (IBs)) during Phase 1. The action plans include also funding provisions, i.e the partner regios have committed to minimal levels of financing of the action plans. The total commitments in the BRIDGES project are 3 600 000€, with highest contribution 900 000€ by Lubleksie and lowest by Uusimaa 150 000€, reflecting the different needs but also the dramatic differences in available structural funds for the respective partner regions.</w:t>
      </w:r>
    </w:p>
    <w:p w14:paraId="40F742EC" w14:textId="09B33870" w:rsidR="00526645" w:rsidRPr="006A4C93" w:rsidRDefault="00526645" w:rsidP="00837006">
      <w:pPr>
        <w:widowControl w:val="0"/>
        <w:shd w:val="clear" w:color="auto" w:fill="FFFFFF" w:themeFill="background1"/>
      </w:pPr>
      <w:r w:rsidRPr="006A4C93">
        <w:t>To achieve these results, BRIDGES applies eight tools: i) the innovation maps; ii) good practice identification and transfer; iii) involvement of regional stakeholder groups (RSKs -which include also representatives of MAs and IBs); iv) interregional policy learning (IPL); v) mediation between the advanced and less advanced regions through additional activities facilitated by the advisory team; vi) external peer review; vii) endorsed action plans; and viii) implement</w:t>
      </w:r>
      <w:r w:rsidR="00B266F0" w:rsidRPr="006A4C93">
        <w:t xml:space="preserve">ed and monitored action plans. </w:t>
      </w:r>
      <w:r w:rsidRPr="006A4C93">
        <w:t>If successful, the results of the project will enable</w:t>
      </w:r>
      <w:r w:rsidR="00F02A39" w:rsidRPr="006A4C93">
        <w:rPr>
          <w:rStyle w:val="FootnoteReference"/>
          <w:color w:val="021B2B" w:themeColor="background2" w:themeShade="1A"/>
        </w:rPr>
        <w:footnoteReference w:id="13"/>
      </w:r>
      <w:r w:rsidRPr="006A4C93">
        <w:t xml:space="preserve">: </w:t>
      </w:r>
    </w:p>
    <w:p w14:paraId="68CF3637" w14:textId="77777777" w:rsidR="00526645" w:rsidRPr="006A4C93" w:rsidRDefault="00526645" w:rsidP="00837006">
      <w:pPr>
        <w:pStyle w:val="ListParagraph"/>
        <w:shd w:val="clear" w:color="auto" w:fill="FFFFFF" w:themeFill="background1"/>
      </w:pPr>
      <w:r w:rsidRPr="006A4C93">
        <w:t>The implementation of a framework for research / universities and businesses interactions, focusing on technological connectivity, between advanced and less advanced regions.</w:t>
      </w:r>
    </w:p>
    <w:p w14:paraId="705FDE0E" w14:textId="77777777" w:rsidR="00526645" w:rsidRPr="006A4C93" w:rsidRDefault="00526645" w:rsidP="00837006">
      <w:pPr>
        <w:pStyle w:val="ListParagraph"/>
        <w:shd w:val="clear" w:color="auto" w:fill="FFFFFF" w:themeFill="background1"/>
      </w:pPr>
      <w:r w:rsidRPr="006A4C93">
        <w:t>Rationalisation and clarification of the funding of such interactions, modelling transferrable win-win types of cooperations between advanced and less advanced regions.</w:t>
      </w:r>
    </w:p>
    <w:p w14:paraId="28D6A584" w14:textId="77777777" w:rsidR="00526645" w:rsidRPr="006A4C93" w:rsidRDefault="00526645" w:rsidP="00837006">
      <w:pPr>
        <w:pStyle w:val="ListParagraph"/>
        <w:shd w:val="clear" w:color="auto" w:fill="FFFFFF" w:themeFill="background1"/>
      </w:pPr>
      <w:r w:rsidRPr="006A4C93">
        <w:t>Strengthening of industry-related expertise in the regions.</w:t>
      </w:r>
    </w:p>
    <w:p w14:paraId="4D98781E" w14:textId="77777777" w:rsidR="00526645" w:rsidRPr="006A4C93" w:rsidRDefault="00526645" w:rsidP="00837006">
      <w:pPr>
        <w:pStyle w:val="ListParagraph"/>
        <w:shd w:val="clear" w:color="auto" w:fill="FFFFFF" w:themeFill="background1"/>
      </w:pPr>
      <w:r w:rsidRPr="006A4C93">
        <w:t xml:space="preserve">Strengthening of the integration of peripheral regions into the knowledge – based economy by </w:t>
      </w:r>
      <w:r w:rsidRPr="006A4C93">
        <w:lastRenderedPageBreak/>
        <w:t xml:space="preserve">strengthening the technological connectivity to knowledge centres. </w:t>
      </w:r>
    </w:p>
    <w:p w14:paraId="6D44F575" w14:textId="77777777" w:rsidR="00526645" w:rsidRPr="006A4C93" w:rsidRDefault="00526645" w:rsidP="00837006">
      <w:pPr>
        <w:pStyle w:val="ListParagraph"/>
        <w:shd w:val="clear" w:color="auto" w:fill="FFFFFF" w:themeFill="background1"/>
      </w:pPr>
      <w:r w:rsidRPr="006A4C93">
        <w:t xml:space="preserve">Contributions to economies of scale and commercialisation of research of the advanced innovation region. </w:t>
      </w:r>
    </w:p>
    <w:p w14:paraId="37A64F3F" w14:textId="3929AD74" w:rsidR="008D2426" w:rsidRPr="006A4C93" w:rsidRDefault="00F02A39" w:rsidP="00837006">
      <w:pPr>
        <w:shd w:val="clear" w:color="auto" w:fill="FFFFFF" w:themeFill="background1"/>
      </w:pPr>
      <w:r w:rsidRPr="006A4C93">
        <w:t xml:space="preserve">The </w:t>
      </w:r>
      <w:r w:rsidR="008D2426" w:rsidRPr="006A4C93">
        <w:t xml:space="preserve">BRIDGES project regional partners have all RIS3 strategies which include bioeconomy </w:t>
      </w:r>
      <w:r w:rsidR="008D2426" w:rsidRPr="006A4C93">
        <w:rPr>
          <w:rFonts w:eastAsia="HGPMinchoE"/>
          <w:bCs/>
          <w:snapToGrid w:val="0"/>
          <w:szCs w:val="16"/>
          <w:lang w:eastAsia="fi-FI"/>
        </w:rPr>
        <w:t>industries. For these industries to speed up their innovation and growth potential, regions should</w:t>
      </w:r>
      <w:r w:rsidR="008D2426" w:rsidRPr="006A4C93">
        <w:t xml:space="preserve"> encourage (inter alia) those segments of the industries that have the highest potential to absorb innova</w:t>
      </w:r>
      <w:r w:rsidR="00B266F0" w:rsidRPr="006A4C93">
        <w:t>tion and invest in it. BRIDGES </w:t>
      </w:r>
      <w:r w:rsidR="008D2426" w:rsidRPr="006A4C93">
        <w:t xml:space="preserve">project focuses on this type of businesses. We expect to identify, within </w:t>
      </w:r>
      <w:r w:rsidR="00E66028" w:rsidRPr="006A4C93">
        <w:t>the BRIDGES partnership, some 13</w:t>
      </w:r>
      <w:r w:rsidR="008D2426" w:rsidRPr="006A4C93">
        <w:t>0 businesses in total</w:t>
      </w:r>
      <w:r w:rsidR="00E66028" w:rsidRPr="006A4C93">
        <w:t xml:space="preserve"> </w:t>
      </w:r>
      <w:r w:rsidR="008D2426" w:rsidRPr="006A4C93">
        <w:t xml:space="preserve">depending on the size of the regional economies and the regional population. The regional </w:t>
      </w:r>
      <w:r w:rsidR="00A74004">
        <w:t xml:space="preserve">innovation </w:t>
      </w:r>
      <w:r w:rsidR="008D2426" w:rsidRPr="006A4C93">
        <w:t xml:space="preserve">maps </w:t>
      </w:r>
      <w:r w:rsidR="00B266F0" w:rsidRPr="006A4C93">
        <w:t xml:space="preserve">were planned to </w:t>
      </w:r>
      <w:r w:rsidR="008D2426" w:rsidRPr="006A4C93">
        <w:t xml:space="preserve">reveal the level and type of innovation that can </w:t>
      </w:r>
      <w:r w:rsidR="00A74004">
        <w:t>be best absorbed by the regions, the resources that are available locally and those missing.</w:t>
      </w:r>
    </w:p>
    <w:p w14:paraId="023AE5FA" w14:textId="6AE9EE68" w:rsidR="008D2426" w:rsidRPr="006A4C93" w:rsidRDefault="008D2426" w:rsidP="00837006">
      <w:pPr>
        <w:shd w:val="clear" w:color="auto" w:fill="FFFFFF" w:themeFill="background1"/>
      </w:pPr>
      <w:r w:rsidRPr="006A4C93">
        <w:t xml:space="preserve">The innovation absorption potential of these companies </w:t>
      </w:r>
      <w:r w:rsidR="00B266F0" w:rsidRPr="006A4C93">
        <w:t xml:space="preserve">is </w:t>
      </w:r>
      <w:r w:rsidRPr="006A4C93">
        <w:t>analysed, based on the reports produced in each region, by the Bi</w:t>
      </w:r>
      <w:r w:rsidR="00B266F0" w:rsidRPr="006A4C93">
        <w:t>o-based economy expert, matched to</w:t>
      </w:r>
      <w:r w:rsidRPr="006A4C93">
        <w:t xml:space="preserve"> research option</w:t>
      </w:r>
      <w:r w:rsidR="00B266F0" w:rsidRPr="006A4C93">
        <w:t xml:space="preserve">s that can lead to investments, proposed, discussed and agreed with each one of the regional partners.  This processs </w:t>
      </w:r>
      <w:r w:rsidRPr="006A4C93">
        <w:t xml:space="preserve">will clarify 1) what type of innovations to prioritise in the region and therefre 2) what type of projects should be generated and 3) which one(s) of these projects whould be seleced to be part of the field </w:t>
      </w:r>
      <w:r w:rsidR="00B266F0" w:rsidRPr="006A4C93">
        <w:t xml:space="preserve">&amp; policy impact of the action plans. </w:t>
      </w:r>
    </w:p>
    <w:p w14:paraId="011B11E1" w14:textId="364AF7B5" w:rsidR="008D2426" w:rsidRPr="006A4C93" w:rsidRDefault="008D2426" w:rsidP="00837006">
      <w:pPr>
        <w:pStyle w:val="Heading2"/>
      </w:pPr>
      <w:bookmarkStart w:id="33" w:name="_Toc526593115"/>
      <w:r w:rsidRPr="006A4C93">
        <w:t xml:space="preserve">Why </w:t>
      </w:r>
      <w:r w:rsidR="007E0386" w:rsidRPr="006A4C93">
        <w:t>the innovation maps</w:t>
      </w:r>
      <w:bookmarkEnd w:id="33"/>
      <w:r w:rsidR="007E0386" w:rsidRPr="006A4C93">
        <w:t xml:space="preserve"> </w:t>
      </w:r>
    </w:p>
    <w:p w14:paraId="42FA4779" w14:textId="1C4D7A12" w:rsidR="009143BA" w:rsidRPr="006A4C93" w:rsidRDefault="008D2426" w:rsidP="00837006">
      <w:pPr>
        <w:shd w:val="clear" w:color="auto" w:fill="FFFFFF" w:themeFill="background1"/>
      </w:pPr>
      <w:r w:rsidRPr="006A4C93">
        <w:t>The issue of firms’ innovation absorptiveness capacity is equivalent to the discussion on firms’ absorptiveness capacity of external information. The issue has been disucssed since 1950s, and the connection to innovation since the late 1980s. The term ‘absorptive capacity’ was introduced in 1990 by Cohen and Levinthal</w:t>
      </w:r>
      <w:r w:rsidRPr="00B63D31">
        <w:rPr>
          <w:rStyle w:val="FootnoteReference"/>
          <w:lang w:eastAsia="en-GB"/>
        </w:rPr>
        <w:footnoteReference w:id="14"/>
      </w:r>
      <w:r w:rsidRPr="006A4C93">
        <w:t xml:space="preserve">: “The ability of a firm to recognize the value of new, external </w:t>
      </w:r>
      <w:r w:rsidR="00B53FCB" w:rsidRPr="006A4C93">
        <w:t>in</w:t>
      </w:r>
      <w:r w:rsidRPr="006A4C93">
        <w:t>formation, assimilate it, and apply it to commercial ends is critical to its innovative capabilities. We label this capability a firm's absorptive capacity and suggest that it is largely a function of the firm's level of prior related knowledge</w:t>
      </w:r>
      <w:r w:rsidRPr="006A4C93">
        <w:rPr>
          <w:rFonts w:ascii="Helvetica" w:hAnsi="Helvetica"/>
          <w:lang w:eastAsia="en-GB"/>
        </w:rPr>
        <w:t xml:space="preserve">”. </w:t>
      </w:r>
      <w:r w:rsidR="009143BA" w:rsidRPr="006A4C93">
        <w:t xml:space="preserve">Absorptive capacity is related to the knowledge spillover theory </w:t>
      </w:r>
      <w:r w:rsidR="0048334B">
        <w:t xml:space="preserve">in </w:t>
      </w:r>
      <w:r w:rsidR="004375BD">
        <w:t>the sense that k</w:t>
      </w:r>
      <w:r w:rsidR="009143BA" w:rsidRPr="006A4C93">
        <w:t xml:space="preserve">nowledge spillovers can happen iff a firm can appreciate / grasp good practices, successful patterns of </w:t>
      </w:r>
      <w:r w:rsidR="004375BD">
        <w:t>“behaviour” of other firms</w:t>
      </w:r>
      <w:r w:rsidR="009143BA" w:rsidRPr="006A4C93">
        <w:t xml:space="preserve">. </w:t>
      </w:r>
    </w:p>
    <w:p w14:paraId="4FD765C6" w14:textId="404EB0A0" w:rsidR="008D2426" w:rsidRPr="006A4C93" w:rsidRDefault="009143BA" w:rsidP="00837006">
      <w:pPr>
        <w:shd w:val="clear" w:color="auto" w:fill="FFFFFF" w:themeFill="background1"/>
      </w:pPr>
      <w:r w:rsidRPr="006A4C93">
        <w:t>Knowledge spillover and innovation absor</w:t>
      </w:r>
      <w:r w:rsidR="0031592E" w:rsidRPr="006A4C93">
        <w:t xml:space="preserve">ptiveness literature stress </w:t>
      </w:r>
      <w:r w:rsidRPr="006A4C93">
        <w:t xml:space="preserve">cumulativeness of knowledge as a value and precondition of absorptive capacity. Thus, </w:t>
      </w:r>
      <w:r w:rsidR="0031592E" w:rsidRPr="006A4C93">
        <w:t xml:space="preserve">cumulative </w:t>
      </w:r>
      <w:r w:rsidRPr="006A4C93">
        <w:t>a</w:t>
      </w:r>
      <w:r w:rsidR="008D2426" w:rsidRPr="006A4C93">
        <w:t>bsorptive capacities are used to explain technology transfer among nations (interregional parnershps are such examples) and the success of strategic alliances for innovation</w:t>
      </w:r>
      <w:r w:rsidR="008D2426" w:rsidRPr="0068169C">
        <w:rPr>
          <w:rStyle w:val="FootnoteReference"/>
        </w:rPr>
        <w:footnoteReference w:id="15"/>
      </w:r>
      <w:r w:rsidR="008D2426" w:rsidRPr="006A4C93">
        <w:t xml:space="preserve">. </w:t>
      </w:r>
      <w:r w:rsidR="00B53FCB" w:rsidRPr="006A4C93">
        <w:t>Maximising knowledge spillover results (in terms of technological connectivity and good practice tran</w:t>
      </w:r>
      <w:r w:rsidR="0031592E" w:rsidRPr="006A4C93">
        <w:t xml:space="preserve">sfer) requires understanding </w:t>
      </w:r>
      <w:r w:rsidR="00B53FCB" w:rsidRPr="006A4C93">
        <w:t>the absorptiveness capacity of the BR</w:t>
      </w:r>
      <w:r w:rsidR="0031592E" w:rsidRPr="006A4C93">
        <w:t>I</w:t>
      </w:r>
      <w:r w:rsidR="00B53FCB" w:rsidRPr="006A4C93">
        <w:t>DGES prioject regions</w:t>
      </w:r>
      <w:r w:rsidR="0031592E" w:rsidRPr="006A4C93">
        <w:t>’</w:t>
      </w:r>
      <w:r w:rsidR="00B53FCB" w:rsidRPr="006A4C93">
        <w:t xml:space="preserve"> RIS3 industrie</w:t>
      </w:r>
      <w:r w:rsidR="0055032C" w:rsidRPr="006A4C93">
        <w:t xml:space="preserve">s </w:t>
      </w:r>
      <w:r w:rsidR="006B7A39" w:rsidRPr="006A4C93">
        <w:t xml:space="preserve">included into the proejct (“RIS3 sub-industries”) matched with the relevant research availability </w:t>
      </w:r>
      <w:r w:rsidR="006B7A39" w:rsidRPr="006A4C93">
        <w:lastRenderedPageBreak/>
        <w:t>of the innovation advanced region</w:t>
      </w:r>
      <w:r w:rsidR="0031592E" w:rsidRPr="006A4C93">
        <w:t xml:space="preserve">. </w:t>
      </w:r>
      <w:r w:rsidRPr="006A4C93">
        <w:t>M</w:t>
      </w:r>
      <w:r w:rsidR="008D2426" w:rsidRPr="006A4C93">
        <w:t>easurements of innovation potential include, patents by businesses and patent families, IPR, resources devoted to research and development, technology balance of payments and international t</w:t>
      </w:r>
      <w:r w:rsidR="00B63D31">
        <w:t>rade in R&amp;D-intensive industr</w:t>
      </w:r>
      <w:r w:rsidR="00175535">
        <w:t>y</w:t>
      </w:r>
      <w:r w:rsidR="008D2426" w:rsidRPr="00B63D31">
        <w:rPr>
          <w:b/>
          <w:color w:val="FF0000"/>
          <w:vertAlign w:val="superscript"/>
        </w:rPr>
        <w:footnoteReference w:id="16"/>
      </w:r>
      <w:r w:rsidR="006B7A39" w:rsidRPr="006A4C93">
        <w:t>.</w:t>
      </w:r>
      <w:r w:rsidR="005F2D8F" w:rsidRPr="006A4C93">
        <w:t xml:space="preserve"> </w:t>
      </w:r>
      <w:r w:rsidR="00A1354A" w:rsidRPr="006A4C93">
        <w:t>In the BRIDGES project, the criteria for mapping innovation absorptivnss capacity potential, are partially inspired by these parametres, but also take into account that often businesses do not patent or IPR their innovations. Thus, t</w:t>
      </w:r>
      <w:r w:rsidR="00DD555D" w:rsidRPr="006A4C93">
        <w:t>o map</w:t>
      </w:r>
      <w:r w:rsidR="00EF3E01" w:rsidRPr="006A4C93">
        <w:t xml:space="preserve"> these </w:t>
      </w:r>
      <w:r w:rsidR="00AC4BE5" w:rsidRPr="006A4C93">
        <w:t xml:space="preserve">actors, six </w:t>
      </w:r>
      <w:r w:rsidR="00EF3E01" w:rsidRPr="006A4C93">
        <w:t>criteria were agreed</w:t>
      </w:r>
      <w:r w:rsidR="006B7A39" w:rsidRPr="006A4C93">
        <w:t>, fiv</w:t>
      </w:r>
      <w:r w:rsidR="00A1354A" w:rsidRPr="006A4C93">
        <w:t>e for identifying</w:t>
      </w:r>
      <w:r w:rsidR="00AC4BE5" w:rsidRPr="006A4C93">
        <w:t xml:space="preserve"> the innovation absorptiveness capacity of RIS3 sub-industries and one for mapping the related research availabiltiy in the innovation advanced region</w:t>
      </w:r>
      <w:r w:rsidR="00FB57AC" w:rsidRPr="006A4C93">
        <w:t>.</w:t>
      </w:r>
    </w:p>
    <w:p w14:paraId="7B12CC81" w14:textId="01BC83AC" w:rsidR="001179B7" w:rsidRPr="00837006" w:rsidRDefault="001179B7" w:rsidP="00837006">
      <w:pPr>
        <w:pStyle w:val="Heading2"/>
      </w:pPr>
      <w:bookmarkStart w:id="34" w:name="_Toc526593116"/>
      <w:r w:rsidRPr="00837006">
        <w:t xml:space="preserve">The </w:t>
      </w:r>
      <w:r w:rsidR="0069621A" w:rsidRPr="00837006">
        <w:t xml:space="preserve">criteria of </w:t>
      </w:r>
      <w:r w:rsidRPr="00837006">
        <w:t>the innovation maps</w:t>
      </w:r>
      <w:bookmarkEnd w:id="34"/>
    </w:p>
    <w:p w14:paraId="7DD8FC3F" w14:textId="58BC27C8" w:rsidR="00D27519" w:rsidRPr="00837006" w:rsidRDefault="00A1354A" w:rsidP="00837006">
      <w:pPr>
        <w:pStyle w:val="Heading3"/>
      </w:pPr>
      <w:bookmarkStart w:id="35" w:name="_Toc526593117"/>
      <w:r w:rsidRPr="00837006">
        <w:t xml:space="preserve">Innovation absorptiveness capacity </w:t>
      </w:r>
      <w:r w:rsidR="00D27519" w:rsidRPr="00837006">
        <w:t>potential PP2/1, PP3, PP5, PP6, PP7</w:t>
      </w:r>
      <w:bookmarkEnd w:id="35"/>
    </w:p>
    <w:p w14:paraId="01A93085" w14:textId="75EB9444" w:rsidR="008D2426" w:rsidRPr="006A4C93" w:rsidRDefault="008D2426" w:rsidP="00AA37F6">
      <w:pPr>
        <w:pStyle w:val="ListParagraph"/>
      </w:pPr>
      <w:r w:rsidRPr="006A4C93">
        <w:t>Bio-economy businesses that have received public support (as appliers or part of a partnership) for innovative products development and which have invested for the product development during the last 3 years. (Input</w:t>
      </w:r>
      <w:r w:rsidR="006B7A39" w:rsidRPr="006A4C93">
        <w:t xml:space="preserve"> &amp; performance </w:t>
      </w:r>
      <w:r w:rsidRPr="006A4C93">
        <w:t>indicator)</w:t>
      </w:r>
    </w:p>
    <w:p w14:paraId="52B700DC" w14:textId="77777777" w:rsidR="008D2426" w:rsidRPr="006A4C93" w:rsidRDefault="008D2426" w:rsidP="00AA37F6">
      <w:pPr>
        <w:pStyle w:val="ListParagraph"/>
      </w:pPr>
      <w:r w:rsidRPr="006A4C93">
        <w:t>Bio-economy businesses that have utilised advanced research services (e.g. material research measurements) during the last 3 years; single, short term cooperation. (Output indicator)</w:t>
      </w:r>
    </w:p>
    <w:p w14:paraId="51A8C7A5" w14:textId="77777777" w:rsidR="008D2426" w:rsidRPr="006A4C93" w:rsidRDefault="008D2426" w:rsidP="00AA37F6">
      <w:pPr>
        <w:pStyle w:val="ListParagraph"/>
      </w:pPr>
      <w:r w:rsidRPr="006A4C93">
        <w:t>Bio-economy businesses that have been developing products through Research2Business innovation partnerships during the last 3 years; long term, comprehensive cooperation. (Output indicator)</w:t>
      </w:r>
    </w:p>
    <w:p w14:paraId="52FFF46F" w14:textId="77777777" w:rsidR="008D2426" w:rsidRPr="006A4C93" w:rsidRDefault="008D2426" w:rsidP="00AA37F6">
      <w:pPr>
        <w:pStyle w:val="ListParagraph"/>
      </w:pPr>
      <w:r w:rsidRPr="006A4C93">
        <w:t xml:space="preserve">Bio-economy businesses that have applied for patents (biotechnology) and /or IPR during the last 3 years. (Output indicator) </w:t>
      </w:r>
    </w:p>
    <w:p w14:paraId="40512AF4" w14:textId="038F05D3" w:rsidR="008D2426" w:rsidRPr="006A4C93" w:rsidRDefault="008D2426" w:rsidP="00AA37F6">
      <w:pPr>
        <w:pStyle w:val="ListParagraph"/>
      </w:pPr>
      <w:r w:rsidRPr="006A4C93">
        <w:t>Bio-economy businesses that have applied for Phase 1 SME or Phase 2 SME Instrument (TRL 6 and h</w:t>
      </w:r>
      <w:r w:rsidR="00BA6593" w:rsidRPr="006A4C93">
        <w:t>igher). (Performance indicator)</w:t>
      </w:r>
    </w:p>
    <w:p w14:paraId="1F6709CF" w14:textId="06DE9B00" w:rsidR="00D27519" w:rsidRPr="00837006" w:rsidRDefault="00D27519" w:rsidP="00837006">
      <w:pPr>
        <w:pStyle w:val="Heading3"/>
      </w:pPr>
      <w:bookmarkStart w:id="36" w:name="_Toc526593118"/>
      <w:r w:rsidRPr="00837006">
        <w:t>Research potential, PP4</w:t>
      </w:r>
      <w:bookmarkEnd w:id="36"/>
    </w:p>
    <w:p w14:paraId="4EF0186C" w14:textId="6BD01DAC" w:rsidR="00D27519" w:rsidRPr="00AA37F6" w:rsidRDefault="00D27519" w:rsidP="00837006">
      <w:pPr>
        <w:pStyle w:val="List"/>
        <w:shd w:val="clear" w:color="auto" w:fill="FFFFFF" w:themeFill="background1"/>
        <w:rPr>
          <w:szCs w:val="20"/>
          <w:lang w:val="en-GB" w:eastAsia="en-US"/>
        </w:rPr>
      </w:pPr>
      <w:r w:rsidRPr="00AA37F6">
        <w:rPr>
          <w:szCs w:val="20"/>
          <w:lang w:val="en-GB" w:eastAsia="en-US"/>
        </w:rPr>
        <w:t>Mapping research infrastructures specialising in bio-based industries, associated technology transfer offices, and intrerntionalisation interests</w:t>
      </w:r>
    </w:p>
    <w:p w14:paraId="4FB7B67F" w14:textId="740D621C" w:rsidR="00D27519" w:rsidRPr="00837006" w:rsidRDefault="00D27519" w:rsidP="00837006">
      <w:pPr>
        <w:pStyle w:val="Heading3"/>
      </w:pPr>
      <w:bookmarkStart w:id="37" w:name="_Toc526593119"/>
      <w:r w:rsidRPr="00837006">
        <w:t>Connectivity potential</w:t>
      </w:r>
      <w:bookmarkEnd w:id="37"/>
    </w:p>
    <w:p w14:paraId="55E1054B" w14:textId="0AD1C51F" w:rsidR="00D27519" w:rsidRPr="006A4C93" w:rsidRDefault="008752F4" w:rsidP="00837006">
      <w:pPr>
        <w:shd w:val="clear" w:color="auto" w:fill="FFFFFF" w:themeFill="background1"/>
        <w:spacing w:before="0" w:after="0" w:line="240" w:lineRule="auto"/>
        <w:ind w:left="0" w:right="0"/>
        <w:jc w:val="left"/>
      </w:pPr>
      <w:r w:rsidRPr="006A4C93">
        <w:rPr>
          <w:rFonts w:eastAsia="Times New Roman" w:cs="Tahoma"/>
          <w:i/>
          <w:iCs/>
          <w:noProof w:val="0"/>
          <w:sz w:val="28"/>
          <w:szCs w:val="28"/>
          <w:lang w:val="en-US" w:eastAsia="fi-FI"/>
        </w:rPr>
        <w:t>∫</w:t>
      </w:r>
      <w:r w:rsidR="00D27519" w:rsidRPr="006A4C93">
        <w:t xml:space="preserve"> </w:t>
      </w:r>
      <w:r w:rsidR="00C41AE7" w:rsidRPr="006A4C93">
        <w:rPr>
          <w:rFonts w:ascii="Times New Roman" w:eastAsia="Times New Roman" w:hAnsi="Times New Roman"/>
          <w:i/>
          <w:iCs/>
          <w:sz w:val="28"/>
          <w:szCs w:val="28"/>
        </w:rPr>
        <w:t>f</w:t>
      </w:r>
      <w:r w:rsidR="00C41AE7" w:rsidRPr="006A4C93">
        <w:t xml:space="preserve"> </w:t>
      </w:r>
      <w:r w:rsidR="00D27519" w:rsidRPr="006A4C93">
        <w:t xml:space="preserve">((PPi (i=1/2,3,5,6,7) </w:t>
      </w:r>
      <w:r w:rsidR="00F01E0F">
        <w:rPr>
          <w:position w:val="-8"/>
          <w:szCs w:val="18"/>
        </w:rPr>
        <w:drawing>
          <wp:inline distT="0" distB="0" distL="0" distR="0" wp14:anchorId="7E1788A5" wp14:editId="50DC741B">
            <wp:extent cx="139700" cy="2159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sidR="00D27519" w:rsidRPr="006A4C93">
        <w:rPr>
          <w:szCs w:val="18"/>
        </w:rPr>
        <w:t xml:space="preserve"> </w:t>
      </w:r>
      <w:r w:rsidR="00D27519" w:rsidRPr="006A4C93">
        <w:t xml:space="preserve">PP4) * </w:t>
      </w:r>
      <w:r w:rsidR="00C41AE7" w:rsidRPr="006A4C93">
        <w:t xml:space="preserve">connectivity options (schemes, </w:t>
      </w:r>
      <w:r w:rsidR="006E56F8" w:rsidRPr="006A4C93">
        <w:t>funding)</w:t>
      </w:r>
      <w:r w:rsidR="00C41AE7" w:rsidRPr="006A4C93">
        <w:t>)</w:t>
      </w:r>
    </w:p>
    <w:p w14:paraId="617F030B" w14:textId="6816D8CF" w:rsidR="001179B7" w:rsidRPr="00983B54" w:rsidRDefault="001179B7" w:rsidP="00983B54">
      <w:pPr>
        <w:pStyle w:val="Heading3"/>
      </w:pPr>
      <w:bookmarkStart w:id="38" w:name="_Toc526593120"/>
      <w:r w:rsidRPr="00983B54">
        <w:t>Timetable</w:t>
      </w:r>
      <w:bookmarkEnd w:id="38"/>
      <w:r w:rsidRPr="00983B54">
        <w:t xml:space="preserve"> </w:t>
      </w:r>
    </w:p>
    <w:p w14:paraId="3FB60751" w14:textId="7DC93A60" w:rsidR="001179B7" w:rsidRDefault="00AD6546" w:rsidP="00837006">
      <w:pPr>
        <w:shd w:val="clear" w:color="auto" w:fill="FFFFFF" w:themeFill="background1"/>
      </w:pPr>
      <w:r w:rsidRPr="006A4C93">
        <w:t>D</w:t>
      </w:r>
      <w:r w:rsidR="001179B7" w:rsidRPr="006A4C93">
        <w:t>efinition of and agreement on the mapping criteria</w:t>
      </w:r>
      <w:r w:rsidRPr="006A4C93">
        <w:t xml:space="preserve"> &amp; drawing of the innovation maps,</w:t>
      </w:r>
      <w:r w:rsidR="001179B7" w:rsidRPr="006A4C93">
        <w:t xml:space="preserve"> required the first two semesters of the BRIDGES project operation, 9.2.2016 – 31.3.2017.  The process was completed by the end of the 2</w:t>
      </w:r>
      <w:r w:rsidR="001179B7" w:rsidRPr="006A4C93">
        <w:rPr>
          <w:vertAlign w:val="superscript"/>
        </w:rPr>
        <w:t>nd</w:t>
      </w:r>
      <w:r w:rsidR="001179B7" w:rsidRPr="006A4C93">
        <w:t xml:space="preserve"> semester (31.3.2017)</w:t>
      </w:r>
      <w:r w:rsidRPr="006A4C93">
        <w:t>;</w:t>
      </w:r>
      <w:r w:rsidR="001179B7" w:rsidRPr="006A4C93">
        <w:t xml:space="preserve"> six innovat</w:t>
      </w:r>
      <w:r w:rsidRPr="006A4C93">
        <w:t>i</w:t>
      </w:r>
      <w:r w:rsidR="001179B7" w:rsidRPr="006A4C93">
        <w:t>on mapping repo</w:t>
      </w:r>
      <w:r w:rsidRPr="006A4C93">
        <w:t>r</w:t>
      </w:r>
      <w:r w:rsidR="001179B7" w:rsidRPr="006A4C93">
        <w:t xml:space="preserve">ts </w:t>
      </w:r>
      <w:r w:rsidRPr="006A4C93">
        <w:t xml:space="preserve">were delivered: </w:t>
      </w:r>
      <w:r w:rsidR="001179B7" w:rsidRPr="006A4C93">
        <w:t>Kainuu</w:t>
      </w:r>
      <w:r w:rsidR="00CF79EC" w:rsidRPr="006A4C93">
        <w:t>,FI</w:t>
      </w:r>
      <w:r w:rsidR="001179B7" w:rsidRPr="006A4C93">
        <w:t xml:space="preserve"> (PP2/PP1), Lubelskie</w:t>
      </w:r>
      <w:r w:rsidR="00CF79EC" w:rsidRPr="006A4C93">
        <w:t>,PL</w:t>
      </w:r>
      <w:r w:rsidR="001179B7" w:rsidRPr="006A4C93">
        <w:t xml:space="preserve"> (PP3), Uusimaa</w:t>
      </w:r>
      <w:r w:rsidR="00CF79EC" w:rsidRPr="006A4C93">
        <w:t>,FI</w:t>
      </w:r>
      <w:r w:rsidR="001179B7" w:rsidRPr="006A4C93">
        <w:t xml:space="preserve"> (PP4), W</w:t>
      </w:r>
      <w:r w:rsidR="00BA6593" w:rsidRPr="006A4C93">
        <w:t>estern Macedonia</w:t>
      </w:r>
      <w:r w:rsidR="00CF79EC" w:rsidRPr="006A4C93">
        <w:t>,GR</w:t>
      </w:r>
      <w:r w:rsidR="00BA6593" w:rsidRPr="006A4C93">
        <w:t xml:space="preserve"> (PP5), Gor</w:t>
      </w:r>
      <w:r w:rsidR="001179B7" w:rsidRPr="006A4C93">
        <w:t>i</w:t>
      </w:r>
      <w:r w:rsidR="00BA6593" w:rsidRPr="006A4C93">
        <w:t>t</w:t>
      </w:r>
      <w:r w:rsidR="00CF79EC" w:rsidRPr="006A4C93">
        <w:t>za,SI</w:t>
      </w:r>
      <w:r w:rsidR="001179B7" w:rsidRPr="006A4C93">
        <w:t xml:space="preserve"> (PP6) and Western Transdanubia</w:t>
      </w:r>
      <w:r w:rsidR="00CF79EC" w:rsidRPr="006A4C93">
        <w:t>,HU</w:t>
      </w:r>
      <w:r w:rsidR="001179B7" w:rsidRPr="006A4C93">
        <w:t xml:space="preserve"> (PP7).</w:t>
      </w:r>
    </w:p>
    <w:p w14:paraId="25C92401" w14:textId="3DB99B32" w:rsidR="008D2426" w:rsidRPr="006A4C93" w:rsidRDefault="000F05F2" w:rsidP="00837006">
      <w:pPr>
        <w:pStyle w:val="Heading1"/>
        <w:shd w:val="clear" w:color="auto" w:fill="FFFFFF" w:themeFill="background1"/>
      </w:pPr>
      <w:bookmarkStart w:id="39" w:name="_Toc526593121"/>
      <w:r>
        <w:lastRenderedPageBreak/>
        <w:t xml:space="preserve">Innovation maps </w:t>
      </w:r>
      <w:r w:rsidR="000D2A7F">
        <w:t>summary and insights</w:t>
      </w:r>
      <w:bookmarkEnd w:id="39"/>
      <w:r w:rsidR="001179B7" w:rsidRPr="006A4C93">
        <w:tab/>
      </w:r>
    </w:p>
    <w:p w14:paraId="285F2FA1" w14:textId="50BCF47A" w:rsidR="00A14238" w:rsidRPr="006A4C93" w:rsidRDefault="00A14238" w:rsidP="00837006">
      <w:pPr>
        <w:shd w:val="clear" w:color="auto" w:fill="FFFFFF" w:themeFill="background1"/>
      </w:pPr>
      <w:r w:rsidRPr="006A4C93">
        <w:t xml:space="preserve">The discussion </w:t>
      </w:r>
      <w:r w:rsidR="00DD57E3" w:rsidRPr="006A4C93">
        <w:t>in this sesction is organised in t</w:t>
      </w:r>
      <w:r w:rsidR="00F36F00" w:rsidRPr="006A4C93">
        <w:t>wo</w:t>
      </w:r>
      <w:r w:rsidR="00C7746F" w:rsidRPr="006A4C93">
        <w:t xml:space="preserve"> parts:</w:t>
      </w:r>
      <w:r w:rsidR="00F36F00" w:rsidRPr="006A4C93">
        <w:t xml:space="preserve"> comparative </w:t>
      </w:r>
      <w:r w:rsidR="00DD57E3" w:rsidRPr="006A4C93">
        <w:t xml:space="preserve">summary of the </w:t>
      </w:r>
      <w:r w:rsidR="00F36F00" w:rsidRPr="006A4C93">
        <w:t xml:space="preserve">innovation maps of the BRIDGES regions, and Insights &amp; recommendations. </w:t>
      </w:r>
      <w:r w:rsidR="00A22E6F" w:rsidRPr="006A4C93">
        <w:t xml:space="preserve"> At the end of this section (an dpart of the project) there is available all the background informaiton needed to proceed to the “2</w:t>
      </w:r>
      <w:r w:rsidR="00A22E6F" w:rsidRPr="006A4C93">
        <w:rPr>
          <w:vertAlign w:val="superscript"/>
        </w:rPr>
        <w:t>nd</w:t>
      </w:r>
      <w:r w:rsidR="00A22E6F" w:rsidRPr="006A4C93">
        <w:t xml:space="preserve"> reading</w:t>
      </w:r>
      <w:r w:rsidR="00566458" w:rsidRPr="006A4C93">
        <w:t xml:space="preserve"> of regional potential and interregional technological connectivities</w:t>
      </w:r>
      <w:r w:rsidR="00A22E6F" w:rsidRPr="006A4C93">
        <w:t>” of Kainuu/Lub</w:t>
      </w:r>
      <w:r w:rsidR="00566458" w:rsidRPr="006A4C93">
        <w:t>elskie/Western Macedonia/Goriška /Western Transdanubia, and based on the result of these readings ti proceed to collaborative concepts with Uusumaa research resources.</w:t>
      </w:r>
    </w:p>
    <w:p w14:paraId="1E6DA2BC" w14:textId="620E2162" w:rsidR="00100A54" w:rsidRPr="006A4C93" w:rsidRDefault="00566458" w:rsidP="00837006">
      <w:pPr>
        <w:shd w:val="clear" w:color="auto" w:fill="FFFFFF" w:themeFill="background1"/>
      </w:pPr>
      <w:r w:rsidRPr="006A4C93">
        <w:t xml:space="preserve">The </w:t>
      </w:r>
      <w:r w:rsidRPr="006A4C93">
        <w:rPr>
          <w:i/>
        </w:rPr>
        <w:t xml:space="preserve">comparative </w:t>
      </w:r>
      <w:r w:rsidRPr="006A4C93">
        <w:t xml:space="preserve"> section is org</w:t>
      </w:r>
      <w:r w:rsidR="0069621A" w:rsidRPr="006A4C93">
        <w:t>an</w:t>
      </w:r>
      <w:r w:rsidRPr="006A4C93">
        <w:t xml:space="preserve">ised into five (5) </w:t>
      </w:r>
      <w:r w:rsidR="00A77328" w:rsidRPr="006A4C93">
        <w:t>sections (</w:t>
      </w:r>
      <w:r w:rsidRPr="006A4C93">
        <w:t>tables</w:t>
      </w:r>
      <w:r w:rsidR="00A77328" w:rsidRPr="006A4C93">
        <w:t xml:space="preserve"> &amp; comments)</w:t>
      </w:r>
      <w:r w:rsidRPr="006A4C93">
        <w:t xml:space="preserve">, summarising innovation </w:t>
      </w:r>
      <w:r w:rsidR="00AC028F" w:rsidRPr="006A4C93">
        <w:t>absorptiveness capacity (Table 3</w:t>
      </w:r>
      <w:r w:rsidR="00206A08" w:rsidRPr="006A4C93">
        <w:t>), knowledge bases (Table 4</w:t>
      </w:r>
      <w:r w:rsidRPr="006A4C93">
        <w:t>), meth</w:t>
      </w:r>
      <w:r w:rsidR="00206A08" w:rsidRPr="006A4C93">
        <w:t>odologies and processes (Table 5</w:t>
      </w:r>
      <w:r w:rsidRPr="006A4C93">
        <w:t>), RIS</w:t>
      </w:r>
      <w:r w:rsidR="00206A08" w:rsidRPr="006A4C93">
        <w:t>3 funding state of play (Table 6) and suggestions (Table 7</w:t>
      </w:r>
      <w:r w:rsidRPr="006A4C93">
        <w:t xml:space="preserve">). </w:t>
      </w:r>
    </w:p>
    <w:p w14:paraId="7211E045" w14:textId="56EBD18B" w:rsidR="00100A54" w:rsidRPr="006A4C93" w:rsidRDefault="00983B54" w:rsidP="00837006">
      <w:pPr>
        <w:pStyle w:val="ListParagraph"/>
        <w:shd w:val="clear" w:color="auto" w:fill="FFFFFF" w:themeFill="background1"/>
      </w:pPr>
      <w:r>
        <w:fldChar w:fldCharType="begin"/>
      </w:r>
      <w:r>
        <w:instrText xml:space="preserve"> REF _Ref502662623 \h </w:instrText>
      </w:r>
      <w:r>
        <w:fldChar w:fldCharType="separate"/>
      </w:r>
      <w:r w:rsidR="00BA7AA6" w:rsidRPr="006A4C93">
        <w:t xml:space="preserve">Table </w:t>
      </w:r>
      <w:r w:rsidR="00BA7AA6">
        <w:t>1</w:t>
      </w:r>
      <w:r>
        <w:fldChar w:fldCharType="end"/>
      </w:r>
      <w:r w:rsidR="00AC028F" w:rsidRPr="006A4C93">
        <w:t xml:space="preserve"> refers</w:t>
      </w:r>
      <w:r w:rsidR="00100A54" w:rsidRPr="006A4C93">
        <w:t xml:space="preserve"> to the identified indust</w:t>
      </w:r>
      <w:r w:rsidR="00AC028F" w:rsidRPr="006A4C93">
        <w:t xml:space="preserve">ries through NACE codes. </w:t>
      </w:r>
      <w:r w:rsidR="00100A54" w:rsidRPr="006A4C93">
        <w:t>NACE references were requested to possibly ide</w:t>
      </w:r>
      <w:r w:rsidR="00AC028F" w:rsidRPr="006A4C93">
        <w:t>ntify possible related variety patterns</w:t>
      </w:r>
      <w:r w:rsidR="00100A54" w:rsidRPr="006A4C93">
        <w:t xml:space="preserve"> based on statistical proximities</w:t>
      </w:r>
      <w:r w:rsidR="00100A54" w:rsidRPr="000F05F2">
        <w:rPr>
          <w:rStyle w:val="FootnoteReference"/>
        </w:rPr>
        <w:footnoteReference w:id="17"/>
      </w:r>
      <w:r w:rsidR="00221761" w:rsidRPr="006A4C93">
        <w:t>, opened up in Table 8</w:t>
      </w:r>
      <w:r w:rsidR="00100A54" w:rsidRPr="006A4C93">
        <w:t>.</w:t>
      </w:r>
      <w:r w:rsidR="00A77328" w:rsidRPr="006A4C93">
        <w:t xml:space="preserve"> </w:t>
      </w:r>
    </w:p>
    <w:p w14:paraId="2AE4D981" w14:textId="79BC2E14" w:rsidR="00100A54" w:rsidRPr="006A4C93" w:rsidRDefault="000F05F2" w:rsidP="00837006">
      <w:pPr>
        <w:pStyle w:val="ListParagraph"/>
        <w:shd w:val="clear" w:color="auto" w:fill="FFFFFF" w:themeFill="background1"/>
      </w:pPr>
      <w:r>
        <w:fldChar w:fldCharType="begin"/>
      </w:r>
      <w:r>
        <w:instrText xml:space="preserve"> REF _Ref502695094 \h </w:instrText>
      </w:r>
      <w:r>
        <w:fldChar w:fldCharType="separate"/>
      </w:r>
      <w:r w:rsidR="00BA7AA6">
        <w:t>Table 7  Suggestions</w:t>
      </w:r>
      <w:r>
        <w:fldChar w:fldCharType="end"/>
      </w:r>
      <w:r>
        <w:t xml:space="preserve"> </w:t>
      </w:r>
      <w:r w:rsidR="00566458" w:rsidRPr="006A4C93">
        <w:t>summarises the suggestions made by each partner’s expert who wrote the capitalisation report, except for the case of PP6 Goriška, where the suggestions are coming from PP9 CERTH.</w:t>
      </w:r>
      <w:r w:rsidR="00027C5B" w:rsidRPr="006A4C93">
        <w:t xml:space="preserve"> </w:t>
      </w:r>
    </w:p>
    <w:p w14:paraId="44B4822E" w14:textId="58873FCA" w:rsidR="00A1354A" w:rsidRPr="006A4C93" w:rsidRDefault="00027C5B" w:rsidP="00837006">
      <w:pPr>
        <w:pStyle w:val="ListParagraph"/>
        <w:shd w:val="clear" w:color="auto" w:fill="FFFFFF" w:themeFill="background1"/>
      </w:pPr>
      <w:r w:rsidRPr="006A4C93">
        <w:t>Each one of</w:t>
      </w:r>
      <w:r w:rsidR="000F05F2">
        <w:t xml:space="preserve"> </w:t>
      </w:r>
      <w:r w:rsidR="000F05F2">
        <w:fldChar w:fldCharType="begin"/>
      </w:r>
      <w:r w:rsidR="000F05F2">
        <w:instrText xml:space="preserve"> REF _Ref502694944 \h </w:instrText>
      </w:r>
      <w:r w:rsidR="000F05F2">
        <w:fldChar w:fldCharType="separate"/>
      </w:r>
      <w:r w:rsidR="00BA7AA6">
        <w:t xml:space="preserve">Table 3 </w:t>
      </w:r>
      <w:r w:rsidR="00BA7AA6" w:rsidRPr="006A4C93">
        <w:t>RIS3 sub industries &amp; research potential</w:t>
      </w:r>
      <w:r w:rsidR="000F05F2">
        <w:fldChar w:fldCharType="end"/>
      </w:r>
      <w:r w:rsidR="000F05F2">
        <w:t>,</w:t>
      </w:r>
      <w:r w:rsidRPr="006A4C93">
        <w:t xml:space="preserve"> </w:t>
      </w:r>
      <w:r w:rsidR="000F05F2">
        <w:fldChar w:fldCharType="begin"/>
      </w:r>
      <w:r w:rsidR="000F05F2">
        <w:instrText xml:space="preserve"> REF _Ref502694971 \h </w:instrText>
      </w:r>
      <w:r w:rsidR="000F05F2">
        <w:fldChar w:fldCharType="separate"/>
      </w:r>
      <w:r w:rsidR="00BA7AA6">
        <w:t xml:space="preserve">Table 4 </w:t>
      </w:r>
      <w:r w:rsidR="00BA7AA6" w:rsidRPr="006A4C93">
        <w:t>Knowledge base</w:t>
      </w:r>
      <w:r w:rsidR="000F05F2">
        <w:fldChar w:fldCharType="end"/>
      </w:r>
      <w:r w:rsidR="000F05F2">
        <w:t xml:space="preserve">, </w:t>
      </w:r>
      <w:r w:rsidR="000F05F2">
        <w:fldChar w:fldCharType="begin"/>
      </w:r>
      <w:r w:rsidR="000F05F2">
        <w:instrText xml:space="preserve"> REF _Ref502694990 \h </w:instrText>
      </w:r>
      <w:r w:rsidR="000F05F2">
        <w:fldChar w:fldCharType="separate"/>
      </w:r>
      <w:r w:rsidR="00BA7AA6">
        <w:t xml:space="preserve">Table 5 </w:t>
      </w:r>
      <w:r w:rsidR="00BA7AA6" w:rsidRPr="006A4C93">
        <w:t>Function of the regional triple helix</w:t>
      </w:r>
      <w:r w:rsidR="000F05F2">
        <w:fldChar w:fldCharType="end"/>
      </w:r>
      <w:r w:rsidR="000F05F2">
        <w:t xml:space="preserve">, </w:t>
      </w:r>
      <w:r w:rsidR="000F05F2">
        <w:fldChar w:fldCharType="begin"/>
      </w:r>
      <w:r w:rsidR="000F05F2">
        <w:instrText xml:space="preserve"> REF _Ref502695000 \h </w:instrText>
      </w:r>
      <w:r w:rsidR="000F05F2">
        <w:fldChar w:fldCharType="separate"/>
      </w:r>
      <w:r w:rsidR="00BA7AA6">
        <w:t xml:space="preserve">Table 6 </w:t>
      </w:r>
      <w:r w:rsidR="00BA7AA6" w:rsidRPr="006A4C93">
        <w:t>RIS3 funding and financing references</w:t>
      </w:r>
      <w:r w:rsidR="000F05F2">
        <w:fldChar w:fldCharType="end"/>
      </w:r>
      <w:r w:rsidR="000F05F2">
        <w:t xml:space="preserve"> </w:t>
      </w:r>
      <w:r w:rsidRPr="006A4C93">
        <w:t>is organised so as to both incl</w:t>
      </w:r>
      <w:r w:rsidR="000F05F2">
        <w:t xml:space="preserve">ude </w:t>
      </w:r>
      <w:r w:rsidR="0069621A" w:rsidRPr="006A4C93">
        <w:t>information from the innov</w:t>
      </w:r>
      <w:r w:rsidRPr="006A4C93">
        <w:t xml:space="preserve">ation maps as well as to include a column for comments. The </w:t>
      </w:r>
      <w:r w:rsidRPr="006A4C93">
        <w:rPr>
          <w:i/>
        </w:rPr>
        <w:t xml:space="preserve">Comments </w:t>
      </w:r>
      <w:r w:rsidR="00A1354A" w:rsidRPr="006A4C93">
        <w:t xml:space="preserve"> columns are</w:t>
      </w:r>
      <w:r w:rsidRPr="006A4C93">
        <w:t xml:space="preserve"> </w:t>
      </w:r>
      <w:r w:rsidR="0069621A" w:rsidRPr="006A4C93">
        <w:t>critical appraisal</w:t>
      </w:r>
      <w:r w:rsidR="00A1354A" w:rsidRPr="006A4C93">
        <w:t>s</w:t>
      </w:r>
      <w:r w:rsidR="0069621A" w:rsidRPr="006A4C93">
        <w:t xml:space="preserve"> of the situa</w:t>
      </w:r>
      <w:r w:rsidRPr="006A4C93">
        <w:t>t</w:t>
      </w:r>
      <w:r w:rsidR="0069621A" w:rsidRPr="006A4C93">
        <w:t>i</w:t>
      </w:r>
      <w:r w:rsidRPr="006A4C93">
        <w:t>on in the regions</w:t>
      </w:r>
      <w:r w:rsidR="000F05F2">
        <w:t>. They have been filled in followi</w:t>
      </w:r>
      <w:r w:rsidR="00A1354A" w:rsidRPr="006A4C93">
        <w:t>n</w:t>
      </w:r>
      <w:r w:rsidR="000F05F2">
        <w:t>g</w:t>
      </w:r>
      <w:r w:rsidR="00A1354A" w:rsidRPr="006A4C93">
        <w:t xml:space="preserve"> discussions with the partners, towards identifying gaps –especially in their knowledhe and methodological bases. All references to individual regions have been discussed and approved by the relevant partners.  </w:t>
      </w:r>
    </w:p>
    <w:p w14:paraId="0F712FC6" w14:textId="5BF2F374" w:rsidR="00566458" w:rsidRPr="006A4C93" w:rsidRDefault="00566458" w:rsidP="00837006">
      <w:pPr>
        <w:pStyle w:val="ListParagraph"/>
        <w:shd w:val="clear" w:color="auto" w:fill="FFFFFF" w:themeFill="background1"/>
      </w:pPr>
      <w:r w:rsidRPr="006A4C93">
        <w:t xml:space="preserve">The </w:t>
      </w:r>
      <w:r w:rsidRPr="006A4C93">
        <w:rPr>
          <w:i/>
        </w:rPr>
        <w:t>insights</w:t>
      </w:r>
      <w:r w:rsidRPr="006A4C93">
        <w:t xml:space="preserve"> section </w:t>
      </w:r>
      <w:r w:rsidR="00C41AE7" w:rsidRPr="006A4C93">
        <w:t xml:space="preserve">is about understanding better the inovation </w:t>
      </w:r>
      <w:r w:rsidR="00AC4BE5" w:rsidRPr="006A4C93">
        <w:t xml:space="preserve">maps, their implications especially in </w:t>
      </w:r>
      <w:r w:rsidR="00AC4BE5" w:rsidRPr="006A4C93">
        <w:lastRenderedPageBreak/>
        <w:t>relation to technological</w:t>
      </w:r>
      <w:r w:rsidR="00C41AE7" w:rsidRPr="006A4C93">
        <w:t xml:space="preserve"> connectivity and </w:t>
      </w:r>
      <w:r w:rsidR="005E4590" w:rsidRPr="006A4C93">
        <w:t>the  2</w:t>
      </w:r>
      <w:r w:rsidR="005E4590" w:rsidRPr="006A4C93">
        <w:rPr>
          <w:vertAlign w:val="superscript"/>
        </w:rPr>
        <w:t>nd</w:t>
      </w:r>
      <w:r w:rsidR="005E4590" w:rsidRPr="006A4C93">
        <w:t xml:space="preserve"> reading.</w:t>
      </w:r>
    </w:p>
    <w:p w14:paraId="7E8DFBDB" w14:textId="64490B6D" w:rsidR="00A14238" w:rsidRPr="006A4C93" w:rsidRDefault="009539DF" w:rsidP="000D2A7F">
      <w:pPr>
        <w:pStyle w:val="Heading2"/>
      </w:pPr>
      <w:bookmarkStart w:id="40" w:name="_Toc526593122"/>
      <w:r w:rsidRPr="006A4C93">
        <w:t>RIS</w:t>
      </w:r>
      <w:r w:rsidR="00A00953" w:rsidRPr="006A4C93">
        <w:t>3 sub industries</w:t>
      </w:r>
      <w:bookmarkEnd w:id="40"/>
      <w:r w:rsidR="00A00953" w:rsidRPr="006A4C93">
        <w:t xml:space="preserve"> </w:t>
      </w:r>
    </w:p>
    <w:p w14:paraId="736E5A1E" w14:textId="360CC2CB" w:rsidR="00206A08" w:rsidRDefault="00F1181E" w:rsidP="00837006">
      <w:pPr>
        <w:shd w:val="clear" w:color="auto" w:fill="FFFFFF" w:themeFill="background1"/>
      </w:pPr>
      <w:r w:rsidRPr="006A4C93">
        <w:t>Th</w:t>
      </w:r>
      <w:r w:rsidR="00F10D15" w:rsidRPr="006A4C93">
        <w:t>is section summarises the direct findi</w:t>
      </w:r>
      <w:r w:rsidRPr="006A4C93">
        <w:t>n</w:t>
      </w:r>
      <w:r w:rsidR="00F10D15" w:rsidRPr="006A4C93">
        <w:t>gs from the</w:t>
      </w:r>
      <w:r w:rsidRPr="006A4C93">
        <w:t xml:space="preserve"> innovation mapping criteria. </w:t>
      </w:r>
    </w:p>
    <w:p w14:paraId="6A568C04" w14:textId="31D44BB5" w:rsidR="00983B54" w:rsidRPr="006A4C93" w:rsidRDefault="00983B54" w:rsidP="00E22464">
      <w:pPr>
        <w:pStyle w:val="Caption"/>
        <w:numPr>
          <w:ilvl w:val="0"/>
          <w:numId w:val="0"/>
        </w:numPr>
        <w:ind w:left="720"/>
      </w:pPr>
      <w:bookmarkStart w:id="41" w:name="_Toc502665496"/>
      <w:bookmarkStart w:id="42" w:name="_Ref502694944"/>
      <w:bookmarkStart w:id="43" w:name="_Toc526593325"/>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3</w:t>
      </w:r>
      <w:r w:rsidR="00F01E0F">
        <w:rPr>
          <w:noProof/>
        </w:rPr>
        <w:fldChar w:fldCharType="end"/>
      </w:r>
      <w:r>
        <w:t xml:space="preserve"> </w:t>
      </w:r>
      <w:r w:rsidRPr="006A4C93">
        <w:t xml:space="preserve">RIS3 sub industries &amp; research </w:t>
      </w:r>
      <w:r w:rsidR="00582BE6">
        <w:t xml:space="preserve">absorptiveness </w:t>
      </w:r>
      <w:r w:rsidRPr="006A4C93">
        <w:t>potential</w:t>
      </w:r>
      <w:bookmarkEnd w:id="41"/>
      <w:bookmarkEnd w:id="42"/>
      <w:bookmarkEnd w:id="43"/>
    </w:p>
    <w:tbl>
      <w:tblPr>
        <w:tblW w:w="9072" w:type="dxa"/>
        <w:tblLayout w:type="fixed"/>
        <w:tblLook w:val="04A0" w:firstRow="1" w:lastRow="0" w:firstColumn="1" w:lastColumn="0" w:noHBand="0" w:noVBand="1"/>
      </w:tblPr>
      <w:tblGrid>
        <w:gridCol w:w="3096"/>
        <w:gridCol w:w="5976"/>
      </w:tblGrid>
      <w:tr w:rsidR="00983B54" w:rsidRPr="00983B54" w14:paraId="6D2CEA9A" w14:textId="77777777" w:rsidTr="00983B54">
        <w:trPr>
          <w:tblHeader/>
        </w:trPr>
        <w:tc>
          <w:tcPr>
            <w:tcW w:w="3096" w:type="dxa"/>
            <w:tcBorders>
              <w:top w:val="single" w:sz="2" w:space="0" w:color="000A11"/>
              <w:left w:val="single" w:sz="2" w:space="0" w:color="000A11"/>
              <w:bottom w:val="dotted" w:sz="2" w:space="0" w:color="FBE5B2" w:themeColor="accent5" w:themeTint="66"/>
              <w:right w:val="single" w:sz="2" w:space="0" w:color="7F7F7F" w:themeColor="text1" w:themeTint="80"/>
            </w:tcBorders>
            <w:shd w:val="clear" w:color="auto" w:fill="F2F2F2" w:themeFill="background1" w:themeFillShade="F2"/>
          </w:tcPr>
          <w:p w14:paraId="5FAB4118" w14:textId="189D7CD0" w:rsidR="00573EFC" w:rsidRPr="000B0B91" w:rsidRDefault="00A25D45" w:rsidP="000D2A7F">
            <w:pPr>
              <w:spacing w:line="276" w:lineRule="auto"/>
              <w:rPr>
                <w:b/>
                <w:szCs w:val="18"/>
              </w:rPr>
            </w:pPr>
            <w:r w:rsidRPr="000B0B91">
              <w:rPr>
                <w:b/>
                <w:szCs w:val="18"/>
              </w:rPr>
              <w:t xml:space="preserve">Innovation map </w:t>
            </w:r>
            <w:r w:rsidR="009A51B3" w:rsidRPr="000B0B91">
              <w:rPr>
                <w:b/>
                <w:szCs w:val="18"/>
              </w:rPr>
              <w:t>questions</w:t>
            </w:r>
          </w:p>
        </w:tc>
        <w:tc>
          <w:tcPr>
            <w:tcW w:w="5976" w:type="dxa"/>
            <w:tcBorders>
              <w:top w:val="single" w:sz="2" w:space="0" w:color="000A11"/>
              <w:left w:val="single" w:sz="2" w:space="0" w:color="7F7F7F" w:themeColor="text1" w:themeTint="80"/>
              <w:bottom w:val="dotted" w:sz="2" w:space="0" w:color="FBE5B2" w:themeColor="accent5" w:themeTint="66"/>
              <w:right w:val="single" w:sz="2" w:space="0" w:color="000A11"/>
            </w:tcBorders>
            <w:shd w:val="clear" w:color="auto" w:fill="F2F2F2" w:themeFill="background1" w:themeFillShade="F2"/>
          </w:tcPr>
          <w:p w14:paraId="47ED1434" w14:textId="1DB3C729" w:rsidR="00573EFC" w:rsidRPr="000B0B91" w:rsidRDefault="00AC6D0D" w:rsidP="000D2A7F">
            <w:pPr>
              <w:spacing w:line="276" w:lineRule="auto"/>
              <w:rPr>
                <w:b/>
                <w:szCs w:val="18"/>
              </w:rPr>
            </w:pPr>
            <w:r w:rsidRPr="000B0B91">
              <w:rPr>
                <w:b/>
                <w:szCs w:val="18"/>
              </w:rPr>
              <w:t>Reg</w:t>
            </w:r>
            <w:r w:rsidR="00A25D45" w:rsidRPr="000B0B91">
              <w:rPr>
                <w:b/>
                <w:szCs w:val="18"/>
              </w:rPr>
              <w:t>ions and industries (NACE codes, industries by name can be found in Tables 1 and 9).</w:t>
            </w:r>
          </w:p>
        </w:tc>
      </w:tr>
      <w:tr w:rsidR="006E0057" w:rsidRPr="006A4C93" w14:paraId="347F19B9" w14:textId="77777777" w:rsidTr="00983B54">
        <w:trPr>
          <w:trHeight w:val="251"/>
        </w:trPr>
        <w:tc>
          <w:tcPr>
            <w:tcW w:w="9072" w:type="dxa"/>
            <w:gridSpan w:val="2"/>
            <w:tcBorders>
              <w:top w:val="dotted" w:sz="2" w:space="0" w:color="F9D98C" w:themeColor="accent5" w:themeTint="99"/>
              <w:left w:val="single" w:sz="2" w:space="0" w:color="000A11"/>
              <w:bottom w:val="dotted" w:sz="2" w:space="0" w:color="F9D98C" w:themeColor="accent5" w:themeTint="99"/>
              <w:right w:val="single" w:sz="2" w:space="0" w:color="000A11"/>
            </w:tcBorders>
            <w:shd w:val="clear" w:color="auto" w:fill="F8F8F8"/>
          </w:tcPr>
          <w:p w14:paraId="2D731F28" w14:textId="69492F56" w:rsidR="006E0057" w:rsidRPr="000B0B91" w:rsidRDefault="00F10D15" w:rsidP="00837006">
            <w:pPr>
              <w:pStyle w:val="SubTitle1"/>
              <w:shd w:val="clear" w:color="auto" w:fill="FFFFFF" w:themeFill="background1"/>
              <w:rPr>
                <w:color w:val="021B2B" w:themeColor="background2" w:themeShade="1A"/>
                <w:szCs w:val="18"/>
              </w:rPr>
            </w:pPr>
            <w:r w:rsidRPr="000B0B91">
              <w:rPr>
                <w:color w:val="021B2B" w:themeColor="background2" w:themeShade="1A"/>
                <w:szCs w:val="18"/>
              </w:rPr>
              <w:t>RIS3 sub-i</w:t>
            </w:r>
            <w:r w:rsidR="006E0057" w:rsidRPr="000B0B91">
              <w:rPr>
                <w:color w:val="021B2B" w:themeColor="background2" w:themeShade="1A"/>
                <w:szCs w:val="18"/>
              </w:rPr>
              <w:t>ndustries</w:t>
            </w:r>
          </w:p>
        </w:tc>
      </w:tr>
      <w:tr w:rsidR="00573EFC" w:rsidRPr="006A4C93" w14:paraId="4E6E5DAE" w14:textId="77777777" w:rsidTr="00983B54">
        <w:trPr>
          <w:trHeight w:val="1439"/>
        </w:trPr>
        <w:tc>
          <w:tcPr>
            <w:tcW w:w="3096" w:type="dxa"/>
            <w:vMerge w:val="restart"/>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76779444" w14:textId="77777777" w:rsidR="00573EFC" w:rsidRPr="000B0B91" w:rsidRDefault="00573EFC" w:rsidP="0027228E">
            <w:pPr>
              <w:pStyle w:val="Body3"/>
              <w:rPr>
                <w:szCs w:val="18"/>
              </w:rPr>
            </w:pPr>
            <w:r w:rsidRPr="000B0B91">
              <w:rPr>
                <w:szCs w:val="18"/>
              </w:rPr>
              <w:t>(1)</w:t>
            </w:r>
            <w:r w:rsidRPr="000B0B91">
              <w:rPr>
                <w:szCs w:val="18"/>
              </w:rPr>
              <w:tab/>
              <w:t xml:space="preserve">Bio-based economy businesses that have received public support </w:t>
            </w: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3BE3BF62" w14:textId="36BE2BE9" w:rsidR="00C71625" w:rsidRPr="000B0B91" w:rsidRDefault="006E0057" w:rsidP="00837006">
            <w:pPr>
              <w:pStyle w:val="Heading7"/>
              <w:shd w:val="clear" w:color="auto" w:fill="FFFFFF" w:themeFill="background1"/>
              <w:rPr>
                <w:szCs w:val="18"/>
              </w:rPr>
            </w:pPr>
            <w:r w:rsidRPr="000B0B91">
              <w:rPr>
                <w:szCs w:val="18"/>
              </w:rPr>
              <w:t>Kainuu</w:t>
            </w:r>
          </w:p>
          <w:p w14:paraId="647FDE5A" w14:textId="38A76462" w:rsidR="00573EFC" w:rsidRPr="000B0B91" w:rsidRDefault="00C71625" w:rsidP="0027228E">
            <w:pPr>
              <w:pStyle w:val="Body3"/>
              <w:rPr>
                <w:szCs w:val="18"/>
              </w:rPr>
            </w:pPr>
            <w:r w:rsidRPr="000B0B91">
              <w:rPr>
                <w:szCs w:val="18"/>
              </w:rPr>
              <w:t xml:space="preserve">Industries: </w:t>
            </w:r>
            <w:r w:rsidR="00573EFC" w:rsidRPr="000B0B91">
              <w:rPr>
                <w:szCs w:val="18"/>
              </w:rPr>
              <w:t>74 C73, 94 ENERGYP, 21 C21, 19 C20; 1) Forest berries and other non-wood forest plants. Enrichment of ingredients from berries (e.g. lingonberry, cloudberry and bilberry) and side streams from berry industry.   (2) Forest biofuels (forest chips, bio-oil, bioethanol). (3) Refining forest biomass for pulp and bioproducts (Bio-product factory). (4) Wood Constructions.  </w:t>
            </w:r>
          </w:p>
          <w:p w14:paraId="18820108" w14:textId="60D68B91" w:rsidR="00A5353D" w:rsidRPr="000B0B91" w:rsidRDefault="00573EFC" w:rsidP="0027228E">
            <w:pPr>
              <w:pStyle w:val="Body3"/>
              <w:rPr>
                <w:szCs w:val="18"/>
              </w:rPr>
            </w:pPr>
            <w:r w:rsidRPr="000B0B91">
              <w:rPr>
                <w:szCs w:val="18"/>
              </w:rPr>
              <w:t>Number of businesses: 4</w:t>
            </w:r>
            <w:r w:rsidR="006E0057" w:rsidRPr="000B0B91">
              <w:rPr>
                <w:szCs w:val="18"/>
              </w:rPr>
              <w:t xml:space="preserve">. </w:t>
            </w:r>
          </w:p>
        </w:tc>
      </w:tr>
      <w:tr w:rsidR="00573EFC" w:rsidRPr="006A4C93" w14:paraId="65BE0AE4" w14:textId="77777777" w:rsidTr="00983B54">
        <w:trPr>
          <w:trHeight w:val="446"/>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7B0CCAE0"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14717815" w14:textId="77BA355F" w:rsidR="00C71625" w:rsidRPr="000B0B91" w:rsidRDefault="006E0057" w:rsidP="00837006">
            <w:pPr>
              <w:pStyle w:val="Heading7"/>
              <w:shd w:val="clear" w:color="auto" w:fill="FFFFFF" w:themeFill="background1"/>
              <w:rPr>
                <w:szCs w:val="18"/>
              </w:rPr>
            </w:pPr>
            <w:r w:rsidRPr="000B0B91">
              <w:rPr>
                <w:szCs w:val="18"/>
              </w:rPr>
              <w:t>Lubelskie</w:t>
            </w:r>
            <w:r w:rsidR="009A51B3" w:rsidRPr="000B0B91">
              <w:rPr>
                <w:rStyle w:val="FootnoteReference"/>
                <w:szCs w:val="18"/>
              </w:rPr>
              <w:footnoteReference w:id="18"/>
            </w:r>
          </w:p>
          <w:p w14:paraId="48D3BDF4" w14:textId="22CB4205" w:rsidR="00EA4461" w:rsidRPr="000B0B91" w:rsidRDefault="00C71625" w:rsidP="0027228E">
            <w:pPr>
              <w:pStyle w:val="Body3"/>
              <w:rPr>
                <w:szCs w:val="18"/>
              </w:rPr>
            </w:pPr>
            <w:r w:rsidRPr="000B0B91">
              <w:rPr>
                <w:szCs w:val="18"/>
              </w:rPr>
              <w:t>Industries</w:t>
            </w:r>
            <w:r w:rsidR="00573EFC" w:rsidRPr="000B0B91">
              <w:rPr>
                <w:szCs w:val="18"/>
              </w:rPr>
              <w:t xml:space="preserve"> </w:t>
            </w:r>
            <w:r w:rsidR="00EA4461" w:rsidRPr="000B0B91">
              <w:rPr>
                <w:szCs w:val="18"/>
              </w:rPr>
              <w:t>01.11, 10.39, 10.41, 10.51, 10.71, 10.73, 10.89, 11.05, 20.15, 21.10, 21.20, 35.30, 43.22, 46.22, 46.31, 46.75, 47.21, 72.11</w:t>
            </w:r>
          </w:p>
          <w:p w14:paraId="693D0A39" w14:textId="7ABC558B" w:rsidR="00C71625" w:rsidRPr="000B0B91" w:rsidRDefault="00573EFC" w:rsidP="0027228E">
            <w:pPr>
              <w:pStyle w:val="Body3"/>
              <w:rPr>
                <w:szCs w:val="18"/>
              </w:rPr>
            </w:pPr>
            <w:r w:rsidRPr="000B0B91">
              <w:rPr>
                <w:szCs w:val="18"/>
              </w:rPr>
              <w:t>Number of businesses: 28</w:t>
            </w:r>
            <w:r w:rsidR="009A51B3" w:rsidRPr="000B0B91">
              <w:rPr>
                <w:szCs w:val="18"/>
              </w:rPr>
              <w:t xml:space="preserve">. </w:t>
            </w:r>
          </w:p>
        </w:tc>
      </w:tr>
      <w:tr w:rsidR="00573EFC" w:rsidRPr="006A4C93" w14:paraId="5D0AC665" w14:textId="77777777" w:rsidTr="00983B54">
        <w:trPr>
          <w:trHeight w:val="446"/>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46B4B308"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328E8C07" w14:textId="5E3E6D31" w:rsidR="003D6C6A" w:rsidRPr="000B0B91" w:rsidRDefault="006E0057" w:rsidP="0027228E">
            <w:pPr>
              <w:pStyle w:val="Body3"/>
              <w:rPr>
                <w:szCs w:val="18"/>
              </w:rPr>
            </w:pPr>
            <w:r w:rsidRPr="000B0B91">
              <w:rPr>
                <w:rStyle w:val="Heading7Char"/>
                <w:b w:val="0"/>
                <w:bCs/>
                <w:color w:val="000A11"/>
                <w:szCs w:val="18"/>
              </w:rPr>
              <w:t>Western Macedonia</w:t>
            </w:r>
            <w:r w:rsidR="00573EFC" w:rsidRPr="000B0B91">
              <w:rPr>
                <w:szCs w:val="18"/>
              </w:rPr>
              <w:t xml:space="preserve"> </w:t>
            </w:r>
          </w:p>
          <w:p w14:paraId="1D450A75" w14:textId="6A80FFD8" w:rsidR="00573EFC" w:rsidRPr="000B0B91" w:rsidRDefault="003D6C6A" w:rsidP="0027228E">
            <w:pPr>
              <w:pStyle w:val="Body3"/>
              <w:rPr>
                <w:szCs w:val="18"/>
              </w:rPr>
            </w:pPr>
            <w:r w:rsidRPr="000B0B91">
              <w:rPr>
                <w:szCs w:val="18"/>
              </w:rPr>
              <w:t xml:space="preserve">Industries: </w:t>
            </w:r>
            <w:r w:rsidR="00573EFC" w:rsidRPr="000B0B91">
              <w:rPr>
                <w:szCs w:val="18"/>
              </w:rPr>
              <w:t>(10.39) (10.51) (10.61) (10.72) (10.84) (10.86) (11.02) (21.20)</w:t>
            </w:r>
          </w:p>
          <w:p w14:paraId="7CAEE817" w14:textId="77777777" w:rsidR="00573EFC" w:rsidRPr="000B0B91" w:rsidRDefault="00573EFC" w:rsidP="0027228E">
            <w:pPr>
              <w:pStyle w:val="Body3"/>
              <w:rPr>
                <w:szCs w:val="18"/>
              </w:rPr>
            </w:pPr>
            <w:r w:rsidRPr="000B0B91">
              <w:rPr>
                <w:szCs w:val="18"/>
              </w:rPr>
              <w:t>Number of businesses: 13</w:t>
            </w:r>
          </w:p>
        </w:tc>
      </w:tr>
      <w:tr w:rsidR="00573EFC" w:rsidRPr="006A4C93" w14:paraId="03176E6B" w14:textId="77777777" w:rsidTr="00983B54">
        <w:trPr>
          <w:trHeight w:val="446"/>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0169FD44"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4F4FA120" w14:textId="5AB3ECD7" w:rsidR="003D6C6A" w:rsidRPr="000B0B91" w:rsidRDefault="006E0057" w:rsidP="0027228E">
            <w:pPr>
              <w:pStyle w:val="Body3"/>
              <w:rPr>
                <w:rStyle w:val="Heading7Char"/>
                <w:b w:val="0"/>
                <w:bCs/>
                <w:color w:val="000A11"/>
                <w:szCs w:val="18"/>
              </w:rPr>
            </w:pPr>
            <w:r w:rsidRPr="000B0B91">
              <w:rPr>
                <w:szCs w:val="18"/>
              </w:rPr>
              <w:t>G</w:t>
            </w:r>
            <w:r w:rsidRPr="000B0B91">
              <w:rPr>
                <w:rStyle w:val="Heading7Char"/>
                <w:b w:val="0"/>
                <w:bCs/>
                <w:color w:val="000A11"/>
                <w:szCs w:val="18"/>
              </w:rPr>
              <w:t>oritza/</w:t>
            </w:r>
            <w:r w:rsidR="00BB107D" w:rsidRPr="000B0B91">
              <w:rPr>
                <w:rStyle w:val="Heading7Char"/>
                <w:b w:val="0"/>
                <w:bCs/>
                <w:color w:val="000A11"/>
                <w:szCs w:val="18"/>
              </w:rPr>
              <w:t>Goriška</w:t>
            </w:r>
          </w:p>
          <w:p w14:paraId="5A25D4BF" w14:textId="405EDEC3" w:rsidR="00573EFC" w:rsidRPr="000B0B91" w:rsidRDefault="003D6C6A" w:rsidP="0027228E">
            <w:pPr>
              <w:pStyle w:val="Body3"/>
              <w:rPr>
                <w:szCs w:val="18"/>
              </w:rPr>
            </w:pPr>
            <w:r w:rsidRPr="000B0B91">
              <w:rPr>
                <w:szCs w:val="18"/>
              </w:rPr>
              <w:t xml:space="preserve">Industries: </w:t>
            </w:r>
            <w:r w:rsidR="00573EFC" w:rsidRPr="000B0B91">
              <w:rPr>
                <w:szCs w:val="18"/>
              </w:rPr>
              <w:t xml:space="preserve"> 1.21, 3.12, 10.11, 10.13, 10.52, 10.71</w:t>
            </w:r>
          </w:p>
          <w:p w14:paraId="785F8252" w14:textId="77777777" w:rsidR="00573EFC" w:rsidRPr="000B0B91" w:rsidRDefault="00573EFC" w:rsidP="0027228E">
            <w:pPr>
              <w:pStyle w:val="Body3"/>
              <w:rPr>
                <w:szCs w:val="18"/>
              </w:rPr>
            </w:pPr>
            <w:r w:rsidRPr="000B0B91">
              <w:rPr>
                <w:szCs w:val="18"/>
              </w:rPr>
              <w:t>Number of businesses: 6</w:t>
            </w:r>
          </w:p>
        </w:tc>
      </w:tr>
      <w:tr w:rsidR="00573EFC" w:rsidRPr="006A4C93" w14:paraId="7D2EC14B" w14:textId="77777777" w:rsidTr="00983B54">
        <w:trPr>
          <w:trHeight w:val="446"/>
        </w:trPr>
        <w:tc>
          <w:tcPr>
            <w:tcW w:w="3096" w:type="dxa"/>
            <w:vMerge/>
            <w:tcBorders>
              <w:top w:val="dotted" w:sz="2" w:space="0" w:color="F9D98C" w:themeColor="accent5" w:themeTint="99"/>
              <w:left w:val="single" w:sz="2" w:space="0" w:color="000A11"/>
              <w:bottom w:val="dotted" w:sz="2" w:space="0" w:color="2861A9" w:themeColor="accent2" w:themeShade="BF"/>
              <w:right w:val="single" w:sz="2" w:space="0" w:color="7F7F7F" w:themeColor="text1" w:themeTint="80"/>
            </w:tcBorders>
          </w:tcPr>
          <w:p w14:paraId="34F39E44"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2861A9" w:themeColor="accent2" w:themeShade="BF"/>
              <w:right w:val="single" w:sz="2" w:space="0" w:color="000A11"/>
            </w:tcBorders>
          </w:tcPr>
          <w:p w14:paraId="18AEF2CB" w14:textId="77777777" w:rsidR="00C71625" w:rsidRPr="000B0B91" w:rsidRDefault="006E0057" w:rsidP="00837006">
            <w:pPr>
              <w:pStyle w:val="Heading7"/>
              <w:shd w:val="clear" w:color="auto" w:fill="FFFFFF" w:themeFill="background1"/>
              <w:rPr>
                <w:szCs w:val="18"/>
              </w:rPr>
            </w:pPr>
            <w:r w:rsidRPr="000B0B91">
              <w:rPr>
                <w:szCs w:val="18"/>
              </w:rPr>
              <w:t>Western Transdanubia</w:t>
            </w:r>
          </w:p>
          <w:p w14:paraId="010B74AB" w14:textId="7C92B102" w:rsidR="00573EFC" w:rsidRPr="000B0B91" w:rsidRDefault="00C71625" w:rsidP="0027228E">
            <w:pPr>
              <w:pStyle w:val="Body3"/>
              <w:rPr>
                <w:szCs w:val="18"/>
              </w:rPr>
            </w:pPr>
            <w:r w:rsidRPr="000B0B91">
              <w:rPr>
                <w:szCs w:val="18"/>
              </w:rPr>
              <w:t>Industries:</w:t>
            </w:r>
            <w:r w:rsidR="00573EFC" w:rsidRPr="000B0B91">
              <w:rPr>
                <w:szCs w:val="18"/>
              </w:rPr>
              <w:t xml:space="preserve"> 02.XX - Forestry and logging, 16. XX - Manufacture of wood and of products of wood and cork, except furniture; manufacture, 31.XX - Manufacture of furniture</w:t>
            </w:r>
          </w:p>
          <w:p w14:paraId="2F87860F" w14:textId="5EFF1CDD" w:rsidR="00C71625" w:rsidRPr="000B0B91" w:rsidRDefault="00573EFC" w:rsidP="0027228E">
            <w:pPr>
              <w:pStyle w:val="Body3"/>
              <w:rPr>
                <w:szCs w:val="18"/>
              </w:rPr>
            </w:pPr>
            <w:r w:rsidRPr="000B0B91">
              <w:rPr>
                <w:szCs w:val="18"/>
              </w:rPr>
              <w:t>Number of businesses: 4</w:t>
            </w:r>
          </w:p>
        </w:tc>
      </w:tr>
      <w:tr w:rsidR="00573EFC" w:rsidRPr="006A4C93" w14:paraId="0315C6AB" w14:textId="77777777" w:rsidTr="00983B54">
        <w:trPr>
          <w:trHeight w:val="135"/>
        </w:trPr>
        <w:tc>
          <w:tcPr>
            <w:tcW w:w="3096" w:type="dxa"/>
            <w:vMerge w:val="restart"/>
            <w:tcBorders>
              <w:top w:val="dotted" w:sz="2" w:space="0" w:color="2861A9" w:themeColor="accent2" w:themeShade="BF"/>
              <w:left w:val="single" w:sz="2" w:space="0" w:color="000A11"/>
              <w:bottom w:val="dotted" w:sz="2" w:space="0" w:color="F9D98C" w:themeColor="accent5" w:themeTint="99"/>
              <w:right w:val="single" w:sz="2" w:space="0" w:color="7F7F7F" w:themeColor="text1" w:themeTint="80"/>
            </w:tcBorders>
          </w:tcPr>
          <w:p w14:paraId="05BA4968" w14:textId="77777777" w:rsidR="00573EFC" w:rsidRPr="000B0B91" w:rsidRDefault="00573EFC" w:rsidP="0027228E">
            <w:pPr>
              <w:pStyle w:val="Body3"/>
              <w:rPr>
                <w:szCs w:val="18"/>
              </w:rPr>
            </w:pPr>
            <w:r w:rsidRPr="000B0B91">
              <w:rPr>
                <w:szCs w:val="18"/>
              </w:rPr>
              <w:t>(2)</w:t>
            </w:r>
            <w:r w:rsidRPr="000B0B91">
              <w:rPr>
                <w:szCs w:val="18"/>
              </w:rPr>
              <w:tab/>
              <w:t xml:space="preserve">Bio-based economy businesses that have utilised advanced research services </w:t>
            </w:r>
          </w:p>
        </w:tc>
        <w:tc>
          <w:tcPr>
            <w:tcW w:w="5976" w:type="dxa"/>
            <w:tcBorders>
              <w:top w:val="dotted" w:sz="2" w:space="0" w:color="2861A9" w:themeColor="accent2" w:themeShade="BF"/>
              <w:left w:val="single" w:sz="2" w:space="0" w:color="7F7F7F" w:themeColor="text1" w:themeTint="80"/>
              <w:bottom w:val="dotted" w:sz="2" w:space="0" w:color="F9D98C" w:themeColor="accent5" w:themeTint="99"/>
              <w:right w:val="single" w:sz="2" w:space="0" w:color="000A11"/>
            </w:tcBorders>
          </w:tcPr>
          <w:p w14:paraId="0264491D" w14:textId="77777777" w:rsidR="00C71625" w:rsidRPr="000B0B91" w:rsidRDefault="00B806FA" w:rsidP="00837006">
            <w:pPr>
              <w:pStyle w:val="Heading7"/>
              <w:shd w:val="clear" w:color="auto" w:fill="FFFFFF" w:themeFill="background1"/>
              <w:rPr>
                <w:szCs w:val="18"/>
              </w:rPr>
            </w:pPr>
            <w:r w:rsidRPr="000B0B91">
              <w:rPr>
                <w:szCs w:val="18"/>
              </w:rPr>
              <w:t>Kainuu</w:t>
            </w:r>
          </w:p>
          <w:p w14:paraId="569ECCE8" w14:textId="57A948C8" w:rsidR="00573EFC" w:rsidRPr="000B0B91" w:rsidRDefault="00C71625" w:rsidP="0027228E">
            <w:pPr>
              <w:pStyle w:val="Body3"/>
              <w:rPr>
                <w:szCs w:val="18"/>
              </w:rPr>
            </w:pPr>
            <w:r w:rsidRPr="000B0B91">
              <w:rPr>
                <w:szCs w:val="18"/>
              </w:rPr>
              <w:t>Industries</w:t>
            </w:r>
            <w:r w:rsidR="00573EFC" w:rsidRPr="000B0B91">
              <w:rPr>
                <w:szCs w:val="18"/>
              </w:rPr>
              <w:t>: 74 C73, 94 ENERGYP, 21 C21, 19 C20; (1) Forest berries and plants, (2) forest biofuels, (3) Bioproduct factory, (4) Wood Constructions.</w:t>
            </w:r>
          </w:p>
          <w:p w14:paraId="2527CDFA" w14:textId="77777777" w:rsidR="00573EFC" w:rsidRPr="000B0B91" w:rsidRDefault="00573EFC" w:rsidP="0027228E">
            <w:pPr>
              <w:pStyle w:val="Body3"/>
              <w:rPr>
                <w:szCs w:val="18"/>
              </w:rPr>
            </w:pPr>
            <w:r w:rsidRPr="000B0B91">
              <w:rPr>
                <w:szCs w:val="18"/>
              </w:rPr>
              <w:t>Number of businesses: 4</w:t>
            </w:r>
          </w:p>
        </w:tc>
      </w:tr>
      <w:tr w:rsidR="00573EFC" w:rsidRPr="006A4C93" w14:paraId="4531C235" w14:textId="77777777" w:rsidTr="00983B54">
        <w:trPr>
          <w:trHeight w:val="131"/>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75732F3D"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6C5B9574" w14:textId="77777777" w:rsidR="003D6C6A" w:rsidRPr="000B0B91" w:rsidRDefault="00B806FA" w:rsidP="00837006">
            <w:pPr>
              <w:pStyle w:val="Heading7"/>
              <w:shd w:val="clear" w:color="auto" w:fill="FFFFFF" w:themeFill="background1"/>
              <w:rPr>
                <w:szCs w:val="18"/>
              </w:rPr>
            </w:pPr>
            <w:r w:rsidRPr="000B0B91">
              <w:rPr>
                <w:szCs w:val="18"/>
              </w:rPr>
              <w:t>Lubelskie</w:t>
            </w:r>
          </w:p>
          <w:p w14:paraId="5EE81BF1" w14:textId="5023408C" w:rsidR="00573EFC" w:rsidRPr="000B0B91" w:rsidRDefault="003D6C6A" w:rsidP="0027228E">
            <w:pPr>
              <w:pStyle w:val="Body3"/>
              <w:rPr>
                <w:szCs w:val="18"/>
              </w:rPr>
            </w:pPr>
            <w:r w:rsidRPr="000B0B91">
              <w:rPr>
                <w:szCs w:val="18"/>
              </w:rPr>
              <w:t>Industries:</w:t>
            </w:r>
            <w:r w:rsidR="00573EFC" w:rsidRPr="000B0B91">
              <w:rPr>
                <w:szCs w:val="18"/>
              </w:rPr>
              <w:t xml:space="preserve"> 10.71, 10.73, 20.15, 28,30, 41.20, 71.11, 81.30</w:t>
            </w:r>
          </w:p>
          <w:p w14:paraId="0984C2CC" w14:textId="77777777" w:rsidR="00573EFC" w:rsidRPr="000B0B91" w:rsidRDefault="00573EFC" w:rsidP="0027228E">
            <w:pPr>
              <w:pStyle w:val="Body3"/>
              <w:rPr>
                <w:szCs w:val="18"/>
              </w:rPr>
            </w:pPr>
            <w:r w:rsidRPr="000B0B91">
              <w:rPr>
                <w:szCs w:val="18"/>
              </w:rPr>
              <w:t>Number of businesses: 8</w:t>
            </w:r>
          </w:p>
        </w:tc>
      </w:tr>
      <w:tr w:rsidR="00573EFC" w:rsidRPr="006A4C93" w14:paraId="57C48413" w14:textId="77777777" w:rsidTr="00983B54">
        <w:trPr>
          <w:trHeight w:val="131"/>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20F44AA4"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73701E83" w14:textId="16B2242C" w:rsidR="003D6C6A" w:rsidRPr="000B0B91" w:rsidRDefault="00B806FA" w:rsidP="00837006">
            <w:pPr>
              <w:pStyle w:val="Heading7"/>
              <w:shd w:val="clear" w:color="auto" w:fill="FFFFFF" w:themeFill="background1"/>
              <w:rPr>
                <w:szCs w:val="18"/>
              </w:rPr>
            </w:pPr>
            <w:r w:rsidRPr="000B0B91">
              <w:rPr>
                <w:szCs w:val="18"/>
              </w:rPr>
              <w:t>Western Macedonia</w:t>
            </w:r>
            <w:r w:rsidR="00573EFC" w:rsidRPr="000B0B91">
              <w:rPr>
                <w:szCs w:val="18"/>
              </w:rPr>
              <w:t xml:space="preserve"> </w:t>
            </w:r>
          </w:p>
          <w:p w14:paraId="56E031D2" w14:textId="4B226587" w:rsidR="00573EFC" w:rsidRPr="000B0B91" w:rsidRDefault="003D6C6A" w:rsidP="0027228E">
            <w:pPr>
              <w:pStyle w:val="Body3"/>
              <w:rPr>
                <w:szCs w:val="18"/>
              </w:rPr>
            </w:pPr>
            <w:r w:rsidRPr="000B0B91">
              <w:rPr>
                <w:szCs w:val="18"/>
              </w:rPr>
              <w:t xml:space="preserve">Industries: </w:t>
            </w:r>
            <w:r w:rsidR="0069380F" w:rsidRPr="000B0B91">
              <w:rPr>
                <w:szCs w:val="18"/>
              </w:rPr>
              <w:t>10.39, 10.51, 10.61, 10.72, 10.84, 10.86, 11.02, 21.20.</w:t>
            </w:r>
          </w:p>
          <w:p w14:paraId="71E420A0" w14:textId="77777777" w:rsidR="00573EFC" w:rsidRPr="000B0B91" w:rsidRDefault="00573EFC" w:rsidP="0027228E">
            <w:pPr>
              <w:pStyle w:val="Body3"/>
              <w:rPr>
                <w:szCs w:val="18"/>
              </w:rPr>
            </w:pPr>
            <w:r w:rsidRPr="000B0B91">
              <w:rPr>
                <w:szCs w:val="18"/>
              </w:rPr>
              <w:lastRenderedPageBreak/>
              <w:t>Number of businesses: 14</w:t>
            </w:r>
          </w:p>
        </w:tc>
      </w:tr>
      <w:tr w:rsidR="00573EFC" w:rsidRPr="006A4C93" w14:paraId="0C6CDD18" w14:textId="77777777" w:rsidTr="00983B54">
        <w:trPr>
          <w:trHeight w:val="131"/>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290BA0C0"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019DD911" w14:textId="4BB34D4B" w:rsidR="003D6C6A" w:rsidRPr="000B0B91" w:rsidRDefault="00DD57E3" w:rsidP="00837006">
            <w:pPr>
              <w:pStyle w:val="Heading7"/>
              <w:shd w:val="clear" w:color="auto" w:fill="FFFFFF" w:themeFill="background1"/>
              <w:rPr>
                <w:szCs w:val="18"/>
              </w:rPr>
            </w:pPr>
            <w:r w:rsidRPr="000B0B91">
              <w:rPr>
                <w:szCs w:val="18"/>
              </w:rPr>
              <w:t xml:space="preserve">Goritza/ </w:t>
            </w:r>
            <w:r w:rsidR="00BB107D" w:rsidRPr="000B0B91">
              <w:rPr>
                <w:szCs w:val="18"/>
              </w:rPr>
              <w:t>Goriška</w:t>
            </w:r>
          </w:p>
          <w:p w14:paraId="3E22A30B" w14:textId="69D4A954" w:rsidR="00573EFC" w:rsidRPr="000B0B91" w:rsidRDefault="003D6C6A" w:rsidP="0027228E">
            <w:pPr>
              <w:pStyle w:val="Body3"/>
              <w:rPr>
                <w:szCs w:val="18"/>
              </w:rPr>
            </w:pPr>
            <w:r w:rsidRPr="000B0B91">
              <w:rPr>
                <w:szCs w:val="18"/>
              </w:rPr>
              <w:t>Industries</w:t>
            </w:r>
            <w:r w:rsidR="00573EFC" w:rsidRPr="000B0B91">
              <w:rPr>
                <w:szCs w:val="18"/>
              </w:rPr>
              <w:t>:  1.3, 1.61, 10.13, 10.32</w:t>
            </w:r>
          </w:p>
          <w:p w14:paraId="51D5A6CD" w14:textId="77777777" w:rsidR="00573EFC" w:rsidRPr="000B0B91" w:rsidRDefault="00573EFC" w:rsidP="0027228E">
            <w:pPr>
              <w:pStyle w:val="Body3"/>
              <w:rPr>
                <w:szCs w:val="18"/>
              </w:rPr>
            </w:pPr>
            <w:r w:rsidRPr="000B0B91">
              <w:rPr>
                <w:szCs w:val="18"/>
              </w:rPr>
              <w:t>Number of businesses:  5</w:t>
            </w:r>
          </w:p>
        </w:tc>
      </w:tr>
      <w:tr w:rsidR="00573EFC" w:rsidRPr="006A4C93" w14:paraId="28737325" w14:textId="77777777" w:rsidTr="00983B54">
        <w:trPr>
          <w:trHeight w:val="131"/>
        </w:trPr>
        <w:tc>
          <w:tcPr>
            <w:tcW w:w="3096" w:type="dxa"/>
            <w:vMerge/>
            <w:tcBorders>
              <w:top w:val="dotted" w:sz="2" w:space="0" w:color="F9D98C" w:themeColor="accent5" w:themeTint="99"/>
              <w:left w:val="single" w:sz="2" w:space="0" w:color="000A11"/>
              <w:bottom w:val="dotted" w:sz="2" w:space="0" w:color="2861A9" w:themeColor="accent2" w:themeShade="BF"/>
              <w:right w:val="single" w:sz="2" w:space="0" w:color="7F7F7F" w:themeColor="text1" w:themeTint="80"/>
            </w:tcBorders>
          </w:tcPr>
          <w:p w14:paraId="476A944C"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2861A9" w:themeColor="accent2" w:themeShade="BF"/>
              <w:right w:val="single" w:sz="2" w:space="0" w:color="000A11"/>
            </w:tcBorders>
          </w:tcPr>
          <w:p w14:paraId="1E70E86D" w14:textId="77777777" w:rsidR="003D6C6A" w:rsidRPr="000B0B91" w:rsidRDefault="00DD57E3" w:rsidP="00837006">
            <w:pPr>
              <w:pStyle w:val="Heading7"/>
              <w:shd w:val="clear" w:color="auto" w:fill="FFFFFF" w:themeFill="background1"/>
              <w:rPr>
                <w:szCs w:val="18"/>
              </w:rPr>
            </w:pPr>
            <w:r w:rsidRPr="000B0B91">
              <w:rPr>
                <w:szCs w:val="18"/>
              </w:rPr>
              <w:t>Western Transdanubia</w:t>
            </w:r>
          </w:p>
          <w:p w14:paraId="5EC7F263" w14:textId="20D41590" w:rsidR="00573EFC" w:rsidRPr="000B0B91" w:rsidRDefault="003D6C6A" w:rsidP="0027228E">
            <w:pPr>
              <w:pStyle w:val="Body3"/>
              <w:rPr>
                <w:szCs w:val="18"/>
              </w:rPr>
            </w:pPr>
            <w:r w:rsidRPr="000B0B91">
              <w:rPr>
                <w:szCs w:val="18"/>
              </w:rPr>
              <w:t>Industries</w:t>
            </w:r>
            <w:r w:rsidR="00573EFC" w:rsidRPr="000B0B91">
              <w:rPr>
                <w:szCs w:val="18"/>
              </w:rPr>
              <w:t>: 02.XX - Forestry and logging (1); 16. XX - Manufacture of wood and of products of wood and cork, except furniture; manufacture (1); 31.XX - Manufacture of furniture (2).</w:t>
            </w:r>
          </w:p>
          <w:p w14:paraId="37AAA472" w14:textId="77777777" w:rsidR="00573EFC" w:rsidRPr="000B0B91" w:rsidRDefault="00573EFC" w:rsidP="0027228E">
            <w:pPr>
              <w:pStyle w:val="Body3"/>
              <w:rPr>
                <w:szCs w:val="18"/>
              </w:rPr>
            </w:pPr>
            <w:r w:rsidRPr="000B0B91">
              <w:rPr>
                <w:szCs w:val="18"/>
              </w:rPr>
              <w:t>Number of businesses: 4</w:t>
            </w:r>
          </w:p>
        </w:tc>
      </w:tr>
      <w:tr w:rsidR="00573EFC" w:rsidRPr="006A4C93" w14:paraId="30027D3F" w14:textId="77777777" w:rsidTr="00983B54">
        <w:trPr>
          <w:trHeight w:val="285"/>
        </w:trPr>
        <w:tc>
          <w:tcPr>
            <w:tcW w:w="3096" w:type="dxa"/>
            <w:vMerge w:val="restart"/>
            <w:tcBorders>
              <w:top w:val="dotted" w:sz="2" w:space="0" w:color="2861A9" w:themeColor="accent2" w:themeShade="BF"/>
              <w:left w:val="single" w:sz="2" w:space="0" w:color="000A11"/>
              <w:bottom w:val="dotted" w:sz="2" w:space="0" w:color="F9D98C" w:themeColor="accent5" w:themeTint="99"/>
              <w:right w:val="single" w:sz="2" w:space="0" w:color="7F7F7F" w:themeColor="text1" w:themeTint="80"/>
            </w:tcBorders>
          </w:tcPr>
          <w:p w14:paraId="70152216" w14:textId="77777777" w:rsidR="00573EFC" w:rsidRPr="000B0B91" w:rsidRDefault="00573EFC" w:rsidP="0027228E">
            <w:pPr>
              <w:pStyle w:val="Body3"/>
              <w:rPr>
                <w:szCs w:val="18"/>
              </w:rPr>
            </w:pPr>
            <w:r w:rsidRPr="000B0B91">
              <w:rPr>
                <w:szCs w:val="18"/>
              </w:rPr>
              <w:t>(3)</w:t>
            </w:r>
            <w:r w:rsidRPr="000B0B91">
              <w:rPr>
                <w:szCs w:val="18"/>
              </w:rPr>
              <w:tab/>
              <w:t>Bio-based economy businesses that have been developing products through Research2Business innovation partnerships during the last 3 years; long term, comprehensive cooperation.</w:t>
            </w:r>
          </w:p>
        </w:tc>
        <w:tc>
          <w:tcPr>
            <w:tcW w:w="5976" w:type="dxa"/>
            <w:tcBorders>
              <w:top w:val="dotted" w:sz="2" w:space="0" w:color="2861A9" w:themeColor="accent2" w:themeShade="BF"/>
              <w:left w:val="single" w:sz="2" w:space="0" w:color="7F7F7F" w:themeColor="text1" w:themeTint="80"/>
              <w:bottom w:val="dotted" w:sz="2" w:space="0" w:color="F9D98C" w:themeColor="accent5" w:themeTint="99"/>
              <w:right w:val="single" w:sz="2" w:space="0" w:color="000A11"/>
            </w:tcBorders>
          </w:tcPr>
          <w:p w14:paraId="034C051D" w14:textId="69B31B31" w:rsidR="003D6C6A" w:rsidRPr="000B0B91" w:rsidRDefault="00B806FA" w:rsidP="00837006">
            <w:pPr>
              <w:pStyle w:val="Heading7"/>
              <w:shd w:val="clear" w:color="auto" w:fill="FFFFFF" w:themeFill="background1"/>
              <w:rPr>
                <w:szCs w:val="18"/>
              </w:rPr>
            </w:pPr>
            <w:r w:rsidRPr="000B0B91">
              <w:rPr>
                <w:szCs w:val="18"/>
              </w:rPr>
              <w:t>Kainuu</w:t>
            </w:r>
            <w:r w:rsidR="00573EFC" w:rsidRPr="000B0B91">
              <w:rPr>
                <w:szCs w:val="18"/>
              </w:rPr>
              <w:t xml:space="preserve"> </w:t>
            </w:r>
          </w:p>
          <w:p w14:paraId="75C9A96A" w14:textId="6BF9D025" w:rsidR="00573EFC" w:rsidRPr="000B0B91" w:rsidRDefault="003D6C6A" w:rsidP="0027228E">
            <w:pPr>
              <w:pStyle w:val="Body3"/>
              <w:rPr>
                <w:szCs w:val="18"/>
              </w:rPr>
            </w:pPr>
            <w:r w:rsidRPr="000B0B91">
              <w:rPr>
                <w:szCs w:val="18"/>
              </w:rPr>
              <w:t xml:space="preserve">Industries: </w:t>
            </w:r>
            <w:r w:rsidR="00573EFC" w:rsidRPr="000B0B91">
              <w:rPr>
                <w:szCs w:val="18"/>
              </w:rPr>
              <w:t>74 C73, 94 ENERGYP; (1) Forest berries and plants; (2) forest biofuels.</w:t>
            </w:r>
          </w:p>
          <w:p w14:paraId="5475386D" w14:textId="77777777" w:rsidR="00573EFC" w:rsidRPr="000B0B91" w:rsidRDefault="00573EFC" w:rsidP="0027228E">
            <w:pPr>
              <w:pStyle w:val="Body3"/>
              <w:rPr>
                <w:szCs w:val="18"/>
              </w:rPr>
            </w:pPr>
            <w:r w:rsidRPr="000B0B91">
              <w:rPr>
                <w:szCs w:val="18"/>
              </w:rPr>
              <w:t>Number of businesses: 2</w:t>
            </w:r>
          </w:p>
        </w:tc>
      </w:tr>
      <w:tr w:rsidR="00573EFC" w:rsidRPr="006A4C93" w14:paraId="777086F3" w14:textId="77777777" w:rsidTr="00983B54">
        <w:trPr>
          <w:trHeight w:val="285"/>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6A8BB6F2"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49EC2AAC" w14:textId="77777777" w:rsidR="00434AA6" w:rsidRPr="000B0B91" w:rsidRDefault="00B806FA" w:rsidP="00837006">
            <w:pPr>
              <w:pStyle w:val="Heading7"/>
              <w:shd w:val="clear" w:color="auto" w:fill="FFFFFF" w:themeFill="background1"/>
              <w:rPr>
                <w:szCs w:val="18"/>
              </w:rPr>
            </w:pPr>
            <w:r w:rsidRPr="000B0B91">
              <w:rPr>
                <w:szCs w:val="18"/>
              </w:rPr>
              <w:t>Lubelskie</w:t>
            </w:r>
          </w:p>
          <w:p w14:paraId="0CF652AF" w14:textId="6D17356E" w:rsidR="00573EFC" w:rsidRPr="000B0B91" w:rsidRDefault="00434AA6" w:rsidP="0027228E">
            <w:pPr>
              <w:pStyle w:val="Body3"/>
              <w:rPr>
                <w:szCs w:val="18"/>
              </w:rPr>
            </w:pPr>
            <w:r w:rsidRPr="000B0B91">
              <w:rPr>
                <w:szCs w:val="18"/>
              </w:rPr>
              <w:t>Industries</w:t>
            </w:r>
            <w:r w:rsidR="00573EFC" w:rsidRPr="000B0B91">
              <w:rPr>
                <w:szCs w:val="18"/>
              </w:rPr>
              <w:t>: 10.71, 10.73, 20.15, 28,30, 41.20, 71.11, 81.30, 01.11, 10.39, 10.41, 10.51, 10.71, 10.73, 10.89, 11.05, 20.15, 21.10, 21.20, 35.30, 43.22, 46.22, 46.31, 46.75, 47.21, 72.11</w:t>
            </w:r>
          </w:p>
          <w:p w14:paraId="60CEC536" w14:textId="77777777" w:rsidR="00573EFC" w:rsidRPr="000B0B91" w:rsidRDefault="00573EFC" w:rsidP="0027228E">
            <w:pPr>
              <w:pStyle w:val="Body3"/>
              <w:rPr>
                <w:szCs w:val="18"/>
              </w:rPr>
            </w:pPr>
            <w:r w:rsidRPr="000B0B91">
              <w:rPr>
                <w:szCs w:val="18"/>
              </w:rPr>
              <w:t>Number of businesses: 26</w:t>
            </w:r>
          </w:p>
        </w:tc>
      </w:tr>
      <w:tr w:rsidR="00573EFC" w:rsidRPr="006A4C93" w14:paraId="530B3123" w14:textId="77777777" w:rsidTr="00983B54">
        <w:trPr>
          <w:trHeight w:val="285"/>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32F60C6B"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25467726" w14:textId="77777777" w:rsidR="00434AA6" w:rsidRPr="000B0B91" w:rsidRDefault="00B806FA" w:rsidP="00837006">
            <w:pPr>
              <w:pStyle w:val="Heading7"/>
              <w:shd w:val="clear" w:color="auto" w:fill="FFFFFF" w:themeFill="background1"/>
              <w:rPr>
                <w:szCs w:val="18"/>
              </w:rPr>
            </w:pPr>
            <w:r w:rsidRPr="000B0B91">
              <w:rPr>
                <w:szCs w:val="18"/>
              </w:rPr>
              <w:t>Western Macedonia</w:t>
            </w:r>
          </w:p>
          <w:p w14:paraId="24472D54" w14:textId="44A41A43" w:rsidR="00573EFC" w:rsidRPr="000B0B91" w:rsidRDefault="00434AA6" w:rsidP="0027228E">
            <w:pPr>
              <w:pStyle w:val="Body3"/>
              <w:rPr>
                <w:szCs w:val="18"/>
              </w:rPr>
            </w:pPr>
            <w:r w:rsidRPr="000B0B91">
              <w:rPr>
                <w:szCs w:val="18"/>
              </w:rPr>
              <w:t>Industries</w:t>
            </w:r>
            <w:r w:rsidR="00573EFC" w:rsidRPr="000B0B91">
              <w:rPr>
                <w:szCs w:val="18"/>
              </w:rPr>
              <w:t xml:space="preserve"> </w:t>
            </w:r>
            <w:r w:rsidR="0069380F" w:rsidRPr="000B0B91">
              <w:rPr>
                <w:szCs w:val="18"/>
              </w:rPr>
              <w:t>10.39, 10.51, 10.61, 10.72, 10.84, 10.86, 11.02, 21.20.</w:t>
            </w:r>
          </w:p>
          <w:p w14:paraId="59A2BBCB" w14:textId="77777777" w:rsidR="00573EFC" w:rsidRPr="000B0B91" w:rsidRDefault="00573EFC" w:rsidP="0027228E">
            <w:pPr>
              <w:pStyle w:val="Body3"/>
              <w:rPr>
                <w:szCs w:val="18"/>
              </w:rPr>
            </w:pPr>
            <w:r w:rsidRPr="000B0B91">
              <w:rPr>
                <w:szCs w:val="18"/>
              </w:rPr>
              <w:t>Number of businesses: 10</w:t>
            </w:r>
          </w:p>
        </w:tc>
      </w:tr>
      <w:tr w:rsidR="00573EFC" w:rsidRPr="006A4C93" w14:paraId="2B7EC40F" w14:textId="77777777" w:rsidTr="00983B54">
        <w:trPr>
          <w:trHeight w:val="285"/>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6F68F61C"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478C73CF" w14:textId="485C735B" w:rsidR="00434AA6" w:rsidRPr="000B0B91" w:rsidRDefault="00DD57E3" w:rsidP="00837006">
            <w:pPr>
              <w:pStyle w:val="Heading7"/>
              <w:shd w:val="clear" w:color="auto" w:fill="FFFFFF" w:themeFill="background1"/>
              <w:rPr>
                <w:szCs w:val="18"/>
              </w:rPr>
            </w:pPr>
            <w:r w:rsidRPr="000B0B91">
              <w:rPr>
                <w:szCs w:val="18"/>
              </w:rPr>
              <w:t xml:space="preserve">Goritza/ </w:t>
            </w:r>
            <w:r w:rsidR="00BB107D" w:rsidRPr="000B0B91">
              <w:rPr>
                <w:szCs w:val="18"/>
              </w:rPr>
              <w:t>Goriška</w:t>
            </w:r>
          </w:p>
          <w:p w14:paraId="28B68DAE" w14:textId="28CCB93A" w:rsidR="00573EFC" w:rsidRPr="000B0B91" w:rsidRDefault="00434AA6" w:rsidP="0027228E">
            <w:pPr>
              <w:pStyle w:val="Body3"/>
              <w:rPr>
                <w:szCs w:val="18"/>
              </w:rPr>
            </w:pPr>
            <w:r w:rsidRPr="000B0B91">
              <w:rPr>
                <w:szCs w:val="18"/>
              </w:rPr>
              <w:t>Industries:</w:t>
            </w:r>
            <w:r w:rsidR="00573EFC" w:rsidRPr="000B0B91">
              <w:rPr>
                <w:szCs w:val="18"/>
              </w:rPr>
              <w:t xml:space="preserve"> </w:t>
            </w:r>
            <w:r w:rsidR="0069380F" w:rsidRPr="000B0B91">
              <w:rPr>
                <w:szCs w:val="18"/>
              </w:rPr>
              <w:t>10.32, 10.51, 10.52,10.</w:t>
            </w:r>
            <w:r w:rsidR="00573EFC" w:rsidRPr="000B0B91">
              <w:rPr>
                <w:szCs w:val="18"/>
              </w:rPr>
              <w:t>71, 10.89</w:t>
            </w:r>
          </w:p>
          <w:p w14:paraId="7E660946" w14:textId="77777777" w:rsidR="00573EFC" w:rsidRPr="000B0B91" w:rsidRDefault="00573EFC" w:rsidP="0027228E">
            <w:pPr>
              <w:pStyle w:val="Body3"/>
              <w:rPr>
                <w:szCs w:val="18"/>
              </w:rPr>
            </w:pPr>
            <w:r w:rsidRPr="000B0B91">
              <w:rPr>
                <w:szCs w:val="18"/>
              </w:rPr>
              <w:t>Number of businesses: 6</w:t>
            </w:r>
          </w:p>
        </w:tc>
      </w:tr>
      <w:tr w:rsidR="00573EFC" w:rsidRPr="006A4C93" w14:paraId="7CE8FF5E" w14:textId="77777777" w:rsidTr="00983B54">
        <w:trPr>
          <w:trHeight w:val="285"/>
        </w:trPr>
        <w:tc>
          <w:tcPr>
            <w:tcW w:w="3096" w:type="dxa"/>
            <w:vMerge/>
            <w:tcBorders>
              <w:top w:val="dotted" w:sz="2" w:space="0" w:color="F9D98C" w:themeColor="accent5" w:themeTint="99"/>
              <w:left w:val="single" w:sz="2" w:space="0" w:color="000A11"/>
              <w:bottom w:val="dotted" w:sz="2" w:space="0" w:color="2861A9" w:themeColor="accent2" w:themeShade="BF"/>
              <w:right w:val="single" w:sz="2" w:space="0" w:color="7F7F7F" w:themeColor="text1" w:themeTint="80"/>
            </w:tcBorders>
          </w:tcPr>
          <w:p w14:paraId="39343038"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2861A9" w:themeColor="accent2" w:themeShade="BF"/>
              <w:right w:val="single" w:sz="2" w:space="0" w:color="000A11"/>
            </w:tcBorders>
          </w:tcPr>
          <w:p w14:paraId="50EABDA9" w14:textId="06CA9D12" w:rsidR="00434AA6" w:rsidRPr="000B0B91" w:rsidRDefault="00DD57E3" w:rsidP="00837006">
            <w:pPr>
              <w:pStyle w:val="Heading7"/>
              <w:shd w:val="clear" w:color="auto" w:fill="FFFFFF" w:themeFill="background1"/>
              <w:rPr>
                <w:szCs w:val="18"/>
              </w:rPr>
            </w:pPr>
            <w:r w:rsidRPr="000B0B91">
              <w:rPr>
                <w:szCs w:val="18"/>
              </w:rPr>
              <w:t>Western Transdanubia</w:t>
            </w:r>
            <w:r w:rsidR="00573EFC" w:rsidRPr="000B0B91">
              <w:rPr>
                <w:szCs w:val="18"/>
              </w:rPr>
              <w:t xml:space="preserve"> </w:t>
            </w:r>
          </w:p>
          <w:p w14:paraId="222A93BC" w14:textId="7D6AD718" w:rsidR="00573EFC" w:rsidRPr="000B0B91" w:rsidRDefault="00434AA6" w:rsidP="0027228E">
            <w:pPr>
              <w:pStyle w:val="Body3"/>
              <w:rPr>
                <w:szCs w:val="18"/>
              </w:rPr>
            </w:pPr>
            <w:r w:rsidRPr="000B0B91">
              <w:rPr>
                <w:szCs w:val="18"/>
              </w:rPr>
              <w:t xml:space="preserve">Industries:  </w:t>
            </w:r>
            <w:r w:rsidR="00573EFC" w:rsidRPr="000B0B91">
              <w:rPr>
                <w:szCs w:val="18"/>
              </w:rPr>
              <w:t>02.XX - Forestry and logging (1); 16. XX - Manufacture of wood and of products of wood and cork, except furniture; manufacture (1).</w:t>
            </w:r>
          </w:p>
          <w:p w14:paraId="56726066" w14:textId="77777777" w:rsidR="00573EFC" w:rsidRPr="000B0B91" w:rsidRDefault="00573EFC" w:rsidP="0027228E">
            <w:pPr>
              <w:pStyle w:val="Body3"/>
              <w:rPr>
                <w:szCs w:val="18"/>
              </w:rPr>
            </w:pPr>
            <w:r w:rsidRPr="000B0B91">
              <w:rPr>
                <w:szCs w:val="18"/>
              </w:rPr>
              <w:t>Number of businesses: 2</w:t>
            </w:r>
          </w:p>
        </w:tc>
      </w:tr>
      <w:tr w:rsidR="00573EFC" w:rsidRPr="006A4C93" w14:paraId="5898AE34" w14:textId="77777777" w:rsidTr="00983B54">
        <w:trPr>
          <w:trHeight w:val="277"/>
        </w:trPr>
        <w:tc>
          <w:tcPr>
            <w:tcW w:w="3096" w:type="dxa"/>
            <w:vMerge w:val="restart"/>
            <w:tcBorders>
              <w:top w:val="dotted" w:sz="2" w:space="0" w:color="2861A9" w:themeColor="accent2" w:themeShade="BF"/>
              <w:left w:val="single" w:sz="2" w:space="0" w:color="000A11"/>
              <w:bottom w:val="dotted" w:sz="2" w:space="0" w:color="F9D98C" w:themeColor="accent5" w:themeTint="99"/>
              <w:right w:val="single" w:sz="2" w:space="0" w:color="7F7F7F" w:themeColor="text1" w:themeTint="80"/>
            </w:tcBorders>
          </w:tcPr>
          <w:p w14:paraId="1199C2F2" w14:textId="77777777" w:rsidR="00573EFC" w:rsidRPr="000B0B91" w:rsidRDefault="00573EFC" w:rsidP="0027228E">
            <w:pPr>
              <w:pStyle w:val="Body3"/>
              <w:rPr>
                <w:szCs w:val="18"/>
              </w:rPr>
            </w:pPr>
            <w:r w:rsidRPr="000B0B91">
              <w:rPr>
                <w:szCs w:val="18"/>
              </w:rPr>
              <w:t>(4)</w:t>
            </w:r>
            <w:r w:rsidRPr="000B0B91">
              <w:rPr>
                <w:szCs w:val="18"/>
              </w:rPr>
              <w:tab/>
              <w:t xml:space="preserve">Bio-based economy businesses that have applied for patents (biotechnology) and /or IPR during the last 3 years. </w:t>
            </w:r>
          </w:p>
        </w:tc>
        <w:tc>
          <w:tcPr>
            <w:tcW w:w="5976" w:type="dxa"/>
            <w:tcBorders>
              <w:top w:val="dotted" w:sz="2" w:space="0" w:color="2861A9" w:themeColor="accent2" w:themeShade="BF"/>
              <w:left w:val="single" w:sz="2" w:space="0" w:color="7F7F7F" w:themeColor="text1" w:themeTint="80"/>
              <w:bottom w:val="dotted" w:sz="2" w:space="0" w:color="F9D98C" w:themeColor="accent5" w:themeTint="99"/>
              <w:right w:val="single" w:sz="2" w:space="0" w:color="000A11"/>
            </w:tcBorders>
          </w:tcPr>
          <w:p w14:paraId="25F87E01" w14:textId="1ED86526" w:rsidR="00434AA6" w:rsidRPr="000B0B91" w:rsidRDefault="00B806FA" w:rsidP="00837006">
            <w:pPr>
              <w:pStyle w:val="Heading7"/>
              <w:shd w:val="clear" w:color="auto" w:fill="FFFFFF" w:themeFill="background1"/>
              <w:rPr>
                <w:szCs w:val="18"/>
              </w:rPr>
            </w:pPr>
            <w:r w:rsidRPr="000B0B91">
              <w:rPr>
                <w:szCs w:val="18"/>
              </w:rPr>
              <w:t>Kainuu</w:t>
            </w:r>
            <w:r w:rsidR="00573EFC" w:rsidRPr="000B0B91">
              <w:rPr>
                <w:szCs w:val="18"/>
              </w:rPr>
              <w:t xml:space="preserve"> </w:t>
            </w:r>
          </w:p>
          <w:p w14:paraId="52D872E3" w14:textId="6EAD2F3B" w:rsidR="00573EFC" w:rsidRPr="000B0B91" w:rsidRDefault="00434AA6" w:rsidP="0027228E">
            <w:pPr>
              <w:pStyle w:val="Body3"/>
              <w:rPr>
                <w:szCs w:val="18"/>
              </w:rPr>
            </w:pPr>
            <w:r w:rsidRPr="000B0B91">
              <w:rPr>
                <w:szCs w:val="18"/>
              </w:rPr>
              <w:t xml:space="preserve">Industries: </w:t>
            </w:r>
            <w:r w:rsidR="00573EFC" w:rsidRPr="000B0B91">
              <w:rPr>
                <w:szCs w:val="18"/>
              </w:rPr>
              <w:t xml:space="preserve">74 C73 (1) Forest berries and plants. </w:t>
            </w:r>
          </w:p>
          <w:p w14:paraId="54BC586A" w14:textId="77777777" w:rsidR="00573EFC" w:rsidRPr="000B0B91" w:rsidRDefault="00573EFC" w:rsidP="0027228E">
            <w:pPr>
              <w:pStyle w:val="Body3"/>
              <w:rPr>
                <w:szCs w:val="18"/>
              </w:rPr>
            </w:pPr>
            <w:r w:rsidRPr="000B0B91">
              <w:rPr>
                <w:szCs w:val="18"/>
              </w:rPr>
              <w:t>Number of businesses: 1</w:t>
            </w:r>
          </w:p>
        </w:tc>
      </w:tr>
      <w:tr w:rsidR="00573EFC" w:rsidRPr="006A4C93" w14:paraId="55AD3DF8"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745FD69B"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04F9CEC4" w14:textId="40961E66" w:rsidR="00434AA6" w:rsidRPr="000B0B91" w:rsidRDefault="00B806FA" w:rsidP="00837006">
            <w:pPr>
              <w:pStyle w:val="Heading7"/>
              <w:shd w:val="clear" w:color="auto" w:fill="FFFFFF" w:themeFill="background1"/>
              <w:rPr>
                <w:szCs w:val="18"/>
              </w:rPr>
            </w:pPr>
            <w:r w:rsidRPr="000B0B91">
              <w:rPr>
                <w:szCs w:val="18"/>
              </w:rPr>
              <w:t>Lubelskie</w:t>
            </w:r>
            <w:r w:rsidR="00573EFC" w:rsidRPr="000B0B91">
              <w:rPr>
                <w:szCs w:val="18"/>
              </w:rPr>
              <w:t xml:space="preserve"> </w:t>
            </w:r>
          </w:p>
          <w:p w14:paraId="1BB8F0B9" w14:textId="5A190765" w:rsidR="00573EFC" w:rsidRPr="000B0B91" w:rsidRDefault="00434AA6" w:rsidP="0027228E">
            <w:pPr>
              <w:pStyle w:val="Body3"/>
              <w:rPr>
                <w:szCs w:val="18"/>
              </w:rPr>
            </w:pPr>
            <w:r w:rsidRPr="000B0B91">
              <w:rPr>
                <w:szCs w:val="18"/>
              </w:rPr>
              <w:t xml:space="preserve">Industries: </w:t>
            </w:r>
            <w:r w:rsidR="00573EFC" w:rsidRPr="000B0B91">
              <w:rPr>
                <w:szCs w:val="18"/>
              </w:rPr>
              <w:t>10.73, 20.15, 20.59, 21.20, 25,12, 25.62, 28.30, 28.92, 28.93, 28.99, 35.11, 43.99, 46.90, 58.19, 71.12, 72.11</w:t>
            </w:r>
          </w:p>
          <w:p w14:paraId="20F798CA" w14:textId="77777777" w:rsidR="00573EFC" w:rsidRPr="000B0B91" w:rsidRDefault="00573EFC" w:rsidP="0027228E">
            <w:pPr>
              <w:pStyle w:val="Body3"/>
              <w:rPr>
                <w:szCs w:val="18"/>
              </w:rPr>
            </w:pPr>
            <w:r w:rsidRPr="000B0B91">
              <w:rPr>
                <w:szCs w:val="18"/>
              </w:rPr>
              <w:t>Number of businesses: 20</w:t>
            </w:r>
          </w:p>
        </w:tc>
      </w:tr>
      <w:tr w:rsidR="00573EFC" w:rsidRPr="006A4C93" w14:paraId="72D4EFE1"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722F42F5"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0D3D8D74" w14:textId="77777777" w:rsidR="00434AA6" w:rsidRPr="000B0B91" w:rsidRDefault="00B806FA" w:rsidP="00837006">
            <w:pPr>
              <w:pStyle w:val="Heading7"/>
              <w:shd w:val="clear" w:color="auto" w:fill="FFFFFF" w:themeFill="background1"/>
              <w:rPr>
                <w:szCs w:val="18"/>
              </w:rPr>
            </w:pPr>
            <w:r w:rsidRPr="000B0B91">
              <w:rPr>
                <w:szCs w:val="18"/>
              </w:rPr>
              <w:t>Western Macedonia</w:t>
            </w:r>
          </w:p>
          <w:p w14:paraId="1A28B87A" w14:textId="76660C04" w:rsidR="00573EFC" w:rsidRPr="000B0B91" w:rsidRDefault="00434AA6" w:rsidP="0027228E">
            <w:pPr>
              <w:pStyle w:val="Body3"/>
              <w:rPr>
                <w:szCs w:val="18"/>
              </w:rPr>
            </w:pPr>
            <w:r w:rsidRPr="000B0B91">
              <w:rPr>
                <w:szCs w:val="18"/>
              </w:rPr>
              <w:t xml:space="preserve">Industries: </w:t>
            </w:r>
            <w:r w:rsidR="0069380F" w:rsidRPr="000B0B91">
              <w:rPr>
                <w:szCs w:val="18"/>
              </w:rPr>
              <w:t>10.39, 10.51, 10.61, 10.72, 10.84, 10.86, 11.02, 21.20, 21.20.</w:t>
            </w:r>
          </w:p>
          <w:p w14:paraId="2739E362" w14:textId="77777777" w:rsidR="00573EFC" w:rsidRPr="000B0B91" w:rsidRDefault="00573EFC" w:rsidP="0027228E">
            <w:pPr>
              <w:pStyle w:val="Body3"/>
              <w:rPr>
                <w:szCs w:val="18"/>
              </w:rPr>
            </w:pPr>
            <w:r w:rsidRPr="000B0B91">
              <w:rPr>
                <w:szCs w:val="18"/>
              </w:rPr>
              <w:t>Number of businesses: 9</w:t>
            </w:r>
          </w:p>
        </w:tc>
      </w:tr>
      <w:tr w:rsidR="00573EFC" w:rsidRPr="006A4C93" w14:paraId="27767F2B"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6E037D4D"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068B4558" w14:textId="3F0FF31C" w:rsidR="00F8366C" w:rsidRPr="000B0B91" w:rsidRDefault="00DD57E3" w:rsidP="00837006">
            <w:pPr>
              <w:pStyle w:val="Heading7"/>
              <w:shd w:val="clear" w:color="auto" w:fill="FFFFFF" w:themeFill="background1"/>
              <w:rPr>
                <w:szCs w:val="18"/>
              </w:rPr>
            </w:pPr>
            <w:r w:rsidRPr="000B0B91">
              <w:rPr>
                <w:szCs w:val="18"/>
              </w:rPr>
              <w:t xml:space="preserve">Goritza/ </w:t>
            </w:r>
            <w:r w:rsidR="00BB107D" w:rsidRPr="000B0B91">
              <w:rPr>
                <w:szCs w:val="18"/>
              </w:rPr>
              <w:t>Goriška</w:t>
            </w:r>
            <w:r w:rsidR="00573EFC" w:rsidRPr="000B0B91">
              <w:rPr>
                <w:szCs w:val="18"/>
              </w:rPr>
              <w:t xml:space="preserve"> </w:t>
            </w:r>
          </w:p>
          <w:p w14:paraId="16EAE8D6" w14:textId="65D38FE2" w:rsidR="00573EFC" w:rsidRPr="000B0B91" w:rsidRDefault="00434AA6" w:rsidP="0027228E">
            <w:pPr>
              <w:pStyle w:val="Body3"/>
              <w:rPr>
                <w:szCs w:val="18"/>
              </w:rPr>
            </w:pPr>
            <w:r w:rsidRPr="000B0B91">
              <w:rPr>
                <w:szCs w:val="18"/>
              </w:rPr>
              <w:t xml:space="preserve">Industries: </w:t>
            </w:r>
            <w:r w:rsidR="00573EFC" w:rsidRPr="000B0B91">
              <w:rPr>
                <w:szCs w:val="18"/>
              </w:rPr>
              <w:t>10.13, 10.13, 10.32, 10.51, 10.71, 10.73, 10.85.</w:t>
            </w:r>
          </w:p>
          <w:p w14:paraId="4CF328F1" w14:textId="77777777" w:rsidR="00573EFC" w:rsidRPr="000B0B91" w:rsidRDefault="00573EFC" w:rsidP="0027228E">
            <w:pPr>
              <w:pStyle w:val="Body3"/>
              <w:rPr>
                <w:szCs w:val="18"/>
              </w:rPr>
            </w:pPr>
            <w:r w:rsidRPr="000B0B91">
              <w:rPr>
                <w:szCs w:val="18"/>
              </w:rPr>
              <w:t>Number of businesses: 9</w:t>
            </w:r>
          </w:p>
        </w:tc>
      </w:tr>
      <w:tr w:rsidR="00573EFC" w:rsidRPr="006A4C93" w14:paraId="6FF1053B" w14:textId="77777777" w:rsidTr="00983B54">
        <w:trPr>
          <w:trHeight w:val="208"/>
        </w:trPr>
        <w:tc>
          <w:tcPr>
            <w:tcW w:w="3096" w:type="dxa"/>
            <w:vMerge/>
            <w:tcBorders>
              <w:top w:val="dotted" w:sz="2" w:space="0" w:color="F9D98C" w:themeColor="accent5" w:themeTint="99"/>
              <w:left w:val="single" w:sz="2" w:space="0" w:color="000A11"/>
              <w:bottom w:val="dotted" w:sz="2" w:space="0" w:color="2861A9" w:themeColor="accent2" w:themeShade="BF"/>
              <w:right w:val="single" w:sz="2" w:space="0" w:color="7F7F7F" w:themeColor="text1" w:themeTint="80"/>
            </w:tcBorders>
          </w:tcPr>
          <w:p w14:paraId="07F95164"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2861A9" w:themeColor="accent2" w:themeShade="BF"/>
              <w:right w:val="single" w:sz="2" w:space="0" w:color="000A11"/>
            </w:tcBorders>
          </w:tcPr>
          <w:p w14:paraId="496BB0AA" w14:textId="57F7F409" w:rsidR="00434AA6" w:rsidRPr="000B0B91" w:rsidRDefault="00DD57E3" w:rsidP="00837006">
            <w:pPr>
              <w:pStyle w:val="Heading7"/>
              <w:shd w:val="clear" w:color="auto" w:fill="FFFFFF" w:themeFill="background1"/>
              <w:rPr>
                <w:szCs w:val="18"/>
              </w:rPr>
            </w:pPr>
            <w:r w:rsidRPr="000B0B91">
              <w:rPr>
                <w:szCs w:val="18"/>
              </w:rPr>
              <w:t>Western Transdanubi</w:t>
            </w:r>
            <w:r w:rsidR="00434AA6" w:rsidRPr="000B0B91">
              <w:rPr>
                <w:szCs w:val="18"/>
              </w:rPr>
              <w:t>a</w:t>
            </w:r>
          </w:p>
          <w:p w14:paraId="02B428B9" w14:textId="215779CE" w:rsidR="00573EFC" w:rsidRPr="000B0B91" w:rsidRDefault="00434AA6" w:rsidP="0027228E">
            <w:pPr>
              <w:pStyle w:val="Body3"/>
              <w:rPr>
                <w:szCs w:val="18"/>
              </w:rPr>
            </w:pPr>
            <w:r w:rsidRPr="000B0B91">
              <w:rPr>
                <w:szCs w:val="18"/>
              </w:rPr>
              <w:lastRenderedPageBreak/>
              <w:t xml:space="preserve">Industries: </w:t>
            </w:r>
            <w:r w:rsidR="00573EFC" w:rsidRPr="000B0B91">
              <w:rPr>
                <w:szCs w:val="18"/>
              </w:rPr>
              <w:t>16.XX - Manufacture of wood and of products of wood and cork, except furniture; manufacture (Sopron, 1); 31.XX - Manufacture of furniture (Sopron, 2).</w:t>
            </w:r>
          </w:p>
          <w:p w14:paraId="548AE7F2" w14:textId="77777777" w:rsidR="00573EFC" w:rsidRPr="000B0B91" w:rsidRDefault="00573EFC" w:rsidP="0027228E">
            <w:pPr>
              <w:pStyle w:val="Body3"/>
              <w:rPr>
                <w:szCs w:val="18"/>
              </w:rPr>
            </w:pPr>
            <w:r w:rsidRPr="000B0B91">
              <w:rPr>
                <w:szCs w:val="18"/>
              </w:rPr>
              <w:t>Number of businesses: 3</w:t>
            </w:r>
          </w:p>
        </w:tc>
      </w:tr>
      <w:tr w:rsidR="00573EFC" w:rsidRPr="006A4C93" w14:paraId="3B403204" w14:textId="77777777" w:rsidTr="00983B54">
        <w:trPr>
          <w:trHeight w:val="210"/>
        </w:trPr>
        <w:tc>
          <w:tcPr>
            <w:tcW w:w="3096" w:type="dxa"/>
            <w:vMerge w:val="restart"/>
            <w:tcBorders>
              <w:top w:val="dotted" w:sz="2" w:space="0" w:color="2861A9" w:themeColor="accent2" w:themeShade="BF"/>
              <w:left w:val="single" w:sz="2" w:space="0" w:color="000A11"/>
              <w:bottom w:val="dotted" w:sz="2" w:space="0" w:color="F9D98C" w:themeColor="accent5" w:themeTint="99"/>
              <w:right w:val="single" w:sz="2" w:space="0" w:color="7F7F7F" w:themeColor="text1" w:themeTint="80"/>
            </w:tcBorders>
          </w:tcPr>
          <w:p w14:paraId="0C62A2DF" w14:textId="77777777" w:rsidR="00573EFC" w:rsidRPr="000B0B91" w:rsidRDefault="00573EFC" w:rsidP="0027228E">
            <w:pPr>
              <w:pStyle w:val="Body3"/>
              <w:rPr>
                <w:szCs w:val="18"/>
              </w:rPr>
            </w:pPr>
            <w:r w:rsidRPr="000B0B91">
              <w:rPr>
                <w:szCs w:val="18"/>
              </w:rPr>
              <w:lastRenderedPageBreak/>
              <w:t>(5)</w:t>
            </w:r>
            <w:r w:rsidRPr="000B0B91">
              <w:rPr>
                <w:szCs w:val="18"/>
              </w:rPr>
              <w:tab/>
              <w:t xml:space="preserve">Bio-based economy businesses that have applied for Phase 1 SME or Phase 2 SME Instrument (TRL 6 and higher). </w:t>
            </w:r>
          </w:p>
        </w:tc>
        <w:tc>
          <w:tcPr>
            <w:tcW w:w="5976" w:type="dxa"/>
            <w:tcBorders>
              <w:top w:val="dotted" w:sz="2" w:space="0" w:color="2861A9" w:themeColor="accent2" w:themeShade="BF"/>
              <w:left w:val="single" w:sz="2" w:space="0" w:color="7F7F7F" w:themeColor="text1" w:themeTint="80"/>
              <w:bottom w:val="dotted" w:sz="2" w:space="0" w:color="F9D98C" w:themeColor="accent5" w:themeTint="99"/>
              <w:right w:val="single" w:sz="2" w:space="0" w:color="000A11"/>
            </w:tcBorders>
          </w:tcPr>
          <w:p w14:paraId="0D0F4E1A" w14:textId="77777777" w:rsidR="00434AA6" w:rsidRPr="000B0B91" w:rsidRDefault="00B806FA" w:rsidP="00837006">
            <w:pPr>
              <w:pStyle w:val="Heading7"/>
              <w:shd w:val="clear" w:color="auto" w:fill="FFFFFF" w:themeFill="background1"/>
              <w:rPr>
                <w:szCs w:val="18"/>
              </w:rPr>
            </w:pPr>
            <w:r w:rsidRPr="000B0B91">
              <w:rPr>
                <w:szCs w:val="18"/>
              </w:rPr>
              <w:t>Kainuu</w:t>
            </w:r>
          </w:p>
          <w:p w14:paraId="3F0EF0FF" w14:textId="26A0E290" w:rsidR="00573EFC" w:rsidRPr="000B0B91" w:rsidRDefault="00434AA6" w:rsidP="0027228E">
            <w:pPr>
              <w:pStyle w:val="Body3"/>
              <w:rPr>
                <w:szCs w:val="18"/>
              </w:rPr>
            </w:pPr>
            <w:r w:rsidRPr="000B0B91">
              <w:rPr>
                <w:szCs w:val="18"/>
              </w:rPr>
              <w:t>Industries</w:t>
            </w:r>
            <w:r w:rsidR="00573EFC" w:rsidRPr="000B0B91">
              <w:rPr>
                <w:szCs w:val="18"/>
              </w:rPr>
              <w:t>: no applications</w:t>
            </w:r>
          </w:p>
        </w:tc>
      </w:tr>
      <w:tr w:rsidR="00573EFC" w:rsidRPr="006A4C93" w14:paraId="16B7AA16"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28CB92F4"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01CE249C" w14:textId="2991620F" w:rsidR="00434AA6" w:rsidRPr="000B0B91" w:rsidRDefault="00B806FA" w:rsidP="00837006">
            <w:pPr>
              <w:pStyle w:val="Heading7"/>
              <w:shd w:val="clear" w:color="auto" w:fill="FFFFFF" w:themeFill="background1"/>
              <w:rPr>
                <w:szCs w:val="18"/>
              </w:rPr>
            </w:pPr>
            <w:r w:rsidRPr="000B0B91">
              <w:rPr>
                <w:szCs w:val="18"/>
              </w:rPr>
              <w:t>Lubelskie</w:t>
            </w:r>
          </w:p>
          <w:p w14:paraId="24D169C4" w14:textId="473866A3" w:rsidR="00573EFC" w:rsidRPr="000B0B91" w:rsidRDefault="00434AA6" w:rsidP="0027228E">
            <w:pPr>
              <w:pStyle w:val="Body3"/>
              <w:rPr>
                <w:szCs w:val="18"/>
              </w:rPr>
            </w:pPr>
            <w:r w:rsidRPr="000B0B91">
              <w:rPr>
                <w:szCs w:val="18"/>
              </w:rPr>
              <w:t xml:space="preserve">Industries: </w:t>
            </w:r>
            <w:r w:rsidR="00573EFC" w:rsidRPr="000B0B91">
              <w:rPr>
                <w:szCs w:val="18"/>
              </w:rPr>
              <w:t>10.30, 10.71, 28.93, 72.11</w:t>
            </w:r>
          </w:p>
          <w:p w14:paraId="10D356DA" w14:textId="77777777" w:rsidR="00573EFC" w:rsidRPr="000B0B91" w:rsidRDefault="00573EFC" w:rsidP="0027228E">
            <w:pPr>
              <w:pStyle w:val="Body3"/>
              <w:rPr>
                <w:szCs w:val="18"/>
              </w:rPr>
            </w:pPr>
            <w:r w:rsidRPr="000B0B91">
              <w:rPr>
                <w:szCs w:val="18"/>
              </w:rPr>
              <w:t>Number of businesses: 4</w:t>
            </w:r>
          </w:p>
        </w:tc>
      </w:tr>
      <w:tr w:rsidR="00573EFC" w:rsidRPr="006A4C93" w14:paraId="3A3B022C"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1F04CD02"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55098658" w14:textId="173FB34C" w:rsidR="00434AA6" w:rsidRPr="000B0B91" w:rsidRDefault="00B806FA" w:rsidP="00837006">
            <w:pPr>
              <w:pStyle w:val="Heading7"/>
              <w:shd w:val="clear" w:color="auto" w:fill="FFFFFF" w:themeFill="background1"/>
              <w:rPr>
                <w:szCs w:val="18"/>
              </w:rPr>
            </w:pPr>
            <w:r w:rsidRPr="000B0B91">
              <w:rPr>
                <w:szCs w:val="18"/>
              </w:rPr>
              <w:t>Western Macedonia</w:t>
            </w:r>
            <w:r w:rsidR="00573EFC" w:rsidRPr="000B0B91">
              <w:rPr>
                <w:szCs w:val="18"/>
              </w:rPr>
              <w:t xml:space="preserve"> </w:t>
            </w:r>
          </w:p>
          <w:p w14:paraId="1639965A" w14:textId="5E59F4EE" w:rsidR="00573EFC" w:rsidRPr="000B0B91" w:rsidRDefault="00434AA6" w:rsidP="0027228E">
            <w:pPr>
              <w:pStyle w:val="Body3"/>
              <w:rPr>
                <w:szCs w:val="18"/>
              </w:rPr>
            </w:pPr>
            <w:r w:rsidRPr="000B0B91">
              <w:rPr>
                <w:szCs w:val="18"/>
              </w:rPr>
              <w:t xml:space="preserve">Industries: </w:t>
            </w:r>
            <w:r w:rsidR="00573EFC" w:rsidRPr="000B0B91">
              <w:rPr>
                <w:szCs w:val="18"/>
              </w:rPr>
              <w:t>10.XX, .XX</w:t>
            </w:r>
          </w:p>
          <w:p w14:paraId="3A49BF41" w14:textId="77777777" w:rsidR="00573EFC" w:rsidRPr="000B0B91" w:rsidRDefault="00573EFC" w:rsidP="0027228E">
            <w:pPr>
              <w:pStyle w:val="Body3"/>
              <w:rPr>
                <w:szCs w:val="18"/>
              </w:rPr>
            </w:pPr>
            <w:r w:rsidRPr="000B0B91">
              <w:rPr>
                <w:szCs w:val="18"/>
              </w:rPr>
              <w:t xml:space="preserve">Number of businesses: 7 (4 Phase 1, 3 Phae 2) </w:t>
            </w:r>
          </w:p>
        </w:tc>
      </w:tr>
      <w:tr w:rsidR="00573EFC" w:rsidRPr="006A4C93" w14:paraId="3E4F04C0" w14:textId="77777777" w:rsidTr="00983B54">
        <w:trPr>
          <w:trHeight w:val="208"/>
        </w:trPr>
        <w:tc>
          <w:tcPr>
            <w:tcW w:w="3096" w:type="dxa"/>
            <w:vMerge/>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04CF187F" w14:textId="77777777" w:rsidR="00573EFC" w:rsidRPr="000B0B91" w:rsidRDefault="00573EFC" w:rsidP="00837006">
            <w:pPr>
              <w:pStyle w:val="font5"/>
              <w:shd w:val="clear" w:color="auto" w:fill="FFFFFF" w:themeFill="background1"/>
              <w:rPr>
                <w:color w:val="021B2B" w:themeColor="background2" w:themeShade="1A"/>
                <w:szCs w:val="18"/>
              </w:rPr>
            </w:pPr>
          </w:p>
        </w:tc>
        <w:tc>
          <w:tcPr>
            <w:tcW w:w="5976" w:type="dxa"/>
            <w:tcBorders>
              <w:top w:val="dotted" w:sz="2" w:space="0" w:color="F9D98C" w:themeColor="accent5" w:themeTint="99"/>
              <w:left w:val="single" w:sz="2" w:space="0" w:color="7F7F7F" w:themeColor="text1" w:themeTint="80"/>
              <w:bottom w:val="dotted" w:sz="2" w:space="0" w:color="F9D98C" w:themeColor="accent5" w:themeTint="99"/>
              <w:right w:val="single" w:sz="2" w:space="0" w:color="000A11"/>
            </w:tcBorders>
          </w:tcPr>
          <w:p w14:paraId="3C162B5F" w14:textId="0D10817E" w:rsidR="00434AA6" w:rsidRPr="000B0B91" w:rsidRDefault="00DD57E3" w:rsidP="00837006">
            <w:pPr>
              <w:pStyle w:val="Heading7"/>
              <w:shd w:val="clear" w:color="auto" w:fill="FFFFFF" w:themeFill="background1"/>
              <w:rPr>
                <w:szCs w:val="18"/>
              </w:rPr>
            </w:pPr>
            <w:r w:rsidRPr="000B0B91">
              <w:rPr>
                <w:szCs w:val="18"/>
              </w:rPr>
              <w:t xml:space="preserve">Goritza/ </w:t>
            </w:r>
            <w:r w:rsidR="00BB107D" w:rsidRPr="000B0B91">
              <w:rPr>
                <w:szCs w:val="18"/>
              </w:rPr>
              <w:t>Goriška</w:t>
            </w:r>
          </w:p>
          <w:p w14:paraId="17EB70B1" w14:textId="4D2E8774" w:rsidR="00573EFC" w:rsidRPr="000B0B91" w:rsidRDefault="00434AA6" w:rsidP="0027228E">
            <w:pPr>
              <w:pStyle w:val="Body3"/>
              <w:rPr>
                <w:szCs w:val="18"/>
              </w:rPr>
            </w:pPr>
            <w:r w:rsidRPr="000B0B91">
              <w:rPr>
                <w:szCs w:val="18"/>
              </w:rPr>
              <w:t>Industries</w:t>
            </w:r>
            <w:r w:rsidR="00573EFC" w:rsidRPr="000B0B91">
              <w:rPr>
                <w:szCs w:val="18"/>
              </w:rPr>
              <w:t>:no applications</w:t>
            </w:r>
          </w:p>
        </w:tc>
      </w:tr>
      <w:tr w:rsidR="00573EFC" w:rsidRPr="006A4C93" w14:paraId="5AB10D8E" w14:textId="77777777" w:rsidTr="00983B54">
        <w:trPr>
          <w:trHeight w:val="208"/>
        </w:trPr>
        <w:tc>
          <w:tcPr>
            <w:tcW w:w="3096" w:type="dxa"/>
            <w:vMerge/>
            <w:tcBorders>
              <w:top w:val="dotted" w:sz="2" w:space="0" w:color="F9D98C" w:themeColor="accent5" w:themeTint="99"/>
              <w:left w:val="single" w:sz="2" w:space="0" w:color="000A11"/>
              <w:bottom w:val="single" w:sz="2" w:space="0" w:color="7F7F7F" w:themeColor="text1" w:themeTint="80"/>
              <w:right w:val="single" w:sz="2" w:space="0" w:color="7F7F7F" w:themeColor="text1" w:themeTint="80"/>
            </w:tcBorders>
          </w:tcPr>
          <w:p w14:paraId="78761A68" w14:textId="77777777" w:rsidR="00573EFC" w:rsidRPr="000B0B91" w:rsidRDefault="00573EFC" w:rsidP="0027228E">
            <w:pPr>
              <w:pStyle w:val="Body3"/>
              <w:rPr>
                <w:szCs w:val="18"/>
              </w:rPr>
            </w:pPr>
          </w:p>
        </w:tc>
        <w:tc>
          <w:tcPr>
            <w:tcW w:w="5976" w:type="dxa"/>
            <w:tcBorders>
              <w:top w:val="dotted" w:sz="2" w:space="0" w:color="F9D98C" w:themeColor="accent5" w:themeTint="99"/>
              <w:left w:val="single" w:sz="2" w:space="0" w:color="7F7F7F" w:themeColor="text1" w:themeTint="80"/>
              <w:bottom w:val="single" w:sz="2" w:space="0" w:color="7F7F7F" w:themeColor="text1" w:themeTint="80"/>
              <w:right w:val="single" w:sz="2" w:space="0" w:color="000A11"/>
            </w:tcBorders>
          </w:tcPr>
          <w:p w14:paraId="1AB4FFDA" w14:textId="77777777" w:rsidR="00434AA6" w:rsidRPr="000B0B91" w:rsidRDefault="00DD57E3" w:rsidP="00837006">
            <w:pPr>
              <w:pStyle w:val="Heading7"/>
              <w:shd w:val="clear" w:color="auto" w:fill="FFFFFF" w:themeFill="background1"/>
              <w:rPr>
                <w:szCs w:val="18"/>
              </w:rPr>
            </w:pPr>
            <w:r w:rsidRPr="000B0B91">
              <w:rPr>
                <w:szCs w:val="18"/>
              </w:rPr>
              <w:t>Western Transdanubia</w:t>
            </w:r>
          </w:p>
          <w:p w14:paraId="65DFEDC2" w14:textId="1084AEB1" w:rsidR="00573EFC" w:rsidRPr="000B0B91" w:rsidRDefault="00434AA6" w:rsidP="0027228E">
            <w:pPr>
              <w:pStyle w:val="Body3"/>
              <w:rPr>
                <w:szCs w:val="18"/>
              </w:rPr>
            </w:pPr>
            <w:r w:rsidRPr="000B0B91">
              <w:rPr>
                <w:szCs w:val="18"/>
              </w:rPr>
              <w:t>Industries</w:t>
            </w:r>
            <w:r w:rsidR="00573EFC" w:rsidRPr="000B0B91">
              <w:rPr>
                <w:szCs w:val="18"/>
              </w:rPr>
              <w:t>: no applications</w:t>
            </w:r>
          </w:p>
        </w:tc>
      </w:tr>
      <w:tr w:rsidR="00C41AE7" w:rsidRPr="006A4C93" w14:paraId="76B83BC4" w14:textId="77777777" w:rsidTr="00983B54">
        <w:trPr>
          <w:trHeight w:val="352"/>
        </w:trPr>
        <w:tc>
          <w:tcPr>
            <w:tcW w:w="9072" w:type="dxa"/>
            <w:gridSpan w:val="2"/>
            <w:tcBorders>
              <w:top w:val="dotted" w:sz="2" w:space="0" w:color="FBE5B2" w:themeColor="accent5" w:themeTint="66"/>
              <w:left w:val="single" w:sz="2" w:space="0" w:color="000A11"/>
              <w:bottom w:val="dotted" w:sz="2" w:space="0" w:color="F9D98C" w:themeColor="accent5" w:themeTint="99"/>
              <w:right w:val="single" w:sz="2" w:space="0" w:color="000A11"/>
            </w:tcBorders>
            <w:shd w:val="clear" w:color="auto" w:fill="F8F8F8"/>
          </w:tcPr>
          <w:p w14:paraId="4D740387" w14:textId="77777777" w:rsidR="00C41AE7" w:rsidRPr="000B0B91" w:rsidRDefault="00C41AE7" w:rsidP="00837006">
            <w:pPr>
              <w:pStyle w:val="SubTitle1"/>
              <w:shd w:val="clear" w:color="auto" w:fill="FFFFFF" w:themeFill="background1"/>
              <w:rPr>
                <w:color w:val="021B2B" w:themeColor="background2" w:themeShade="1A"/>
                <w:szCs w:val="18"/>
              </w:rPr>
            </w:pPr>
            <w:r w:rsidRPr="000B0B91">
              <w:rPr>
                <w:color w:val="021B2B" w:themeColor="background2" w:themeShade="1A"/>
                <w:szCs w:val="18"/>
              </w:rPr>
              <w:t>Research availability</w:t>
            </w:r>
          </w:p>
        </w:tc>
      </w:tr>
      <w:tr w:rsidR="00C41AE7" w:rsidRPr="006A4C93" w14:paraId="3700558B" w14:textId="77777777" w:rsidTr="00983B54">
        <w:trPr>
          <w:trHeight w:val="840"/>
        </w:trPr>
        <w:tc>
          <w:tcPr>
            <w:tcW w:w="3096" w:type="dxa"/>
            <w:tcBorders>
              <w:top w:val="dotted" w:sz="2" w:space="0" w:color="F9D98C" w:themeColor="accent5" w:themeTint="99"/>
              <w:left w:val="single" w:sz="2" w:space="0" w:color="000A11"/>
              <w:bottom w:val="single" w:sz="2" w:space="0" w:color="000A11"/>
              <w:right w:val="single" w:sz="2" w:space="0" w:color="7F7F7F" w:themeColor="text1" w:themeTint="80"/>
            </w:tcBorders>
            <w:shd w:val="clear" w:color="auto" w:fill="auto"/>
          </w:tcPr>
          <w:p w14:paraId="14D9B35C" w14:textId="77777777" w:rsidR="00C41AE7" w:rsidRPr="000B0B91" w:rsidRDefault="00C41AE7" w:rsidP="0027228E">
            <w:pPr>
              <w:pStyle w:val="Body3"/>
              <w:rPr>
                <w:szCs w:val="18"/>
              </w:rPr>
            </w:pPr>
            <w:r w:rsidRPr="000B0B91">
              <w:rPr>
                <w:szCs w:val="18"/>
              </w:rPr>
              <w:t xml:space="preserve">Mapping research infrastructures specialising in bio-based industries, associated technology transfer offices, and intrerntionalisation interests </w:t>
            </w:r>
          </w:p>
        </w:tc>
        <w:tc>
          <w:tcPr>
            <w:tcW w:w="5976" w:type="dxa"/>
            <w:tcBorders>
              <w:top w:val="dotted" w:sz="2" w:space="0" w:color="F9D98C" w:themeColor="accent5" w:themeTint="99"/>
              <w:left w:val="single" w:sz="2" w:space="0" w:color="7F7F7F" w:themeColor="text1" w:themeTint="80"/>
              <w:bottom w:val="single" w:sz="2" w:space="0" w:color="000A11"/>
              <w:right w:val="single" w:sz="2" w:space="0" w:color="000A11"/>
            </w:tcBorders>
            <w:shd w:val="clear" w:color="auto" w:fill="auto"/>
          </w:tcPr>
          <w:p w14:paraId="7EC28C49" w14:textId="77777777" w:rsidR="00C41AE7" w:rsidRPr="000B0B91" w:rsidRDefault="00C41AE7" w:rsidP="00C82AAB">
            <w:pPr>
              <w:pStyle w:val="Heading7"/>
              <w:rPr>
                <w:szCs w:val="18"/>
              </w:rPr>
            </w:pPr>
            <w:r w:rsidRPr="000B0B91">
              <w:rPr>
                <w:szCs w:val="18"/>
              </w:rPr>
              <w:t xml:space="preserve">Uusimaa </w:t>
            </w:r>
          </w:p>
          <w:p w14:paraId="1D573E5E" w14:textId="77777777" w:rsidR="00C41AE7" w:rsidRPr="000B0B91" w:rsidRDefault="00C41AE7" w:rsidP="0027228E">
            <w:pPr>
              <w:pStyle w:val="Body3"/>
              <w:rPr>
                <w:szCs w:val="18"/>
              </w:rPr>
            </w:pPr>
            <w:r w:rsidRPr="000B0B91">
              <w:rPr>
                <w:szCs w:val="18"/>
              </w:rPr>
              <w:t>Seven research institutes were identified in the mapping of Helsinki-Uusimaa: 1)VTT Technical Research Centre of Finland, 2)Aalto University, 3)Geological Survey of Finland (GTK), 4)University of Helsinki, 5)Finnish Environment Institute SYKE, 6)National Resources Institute Finland (LUKE), 7) Finnish Meteorological Institute; through their designated  technology transfer offices  connectiong to less developed regions</w:t>
            </w:r>
          </w:p>
        </w:tc>
      </w:tr>
    </w:tbl>
    <w:p w14:paraId="4A7092BB" w14:textId="77777777" w:rsidR="00100A54" w:rsidRPr="0027228E" w:rsidRDefault="00100A54" w:rsidP="0027228E">
      <w:pPr>
        <w:pStyle w:val="Body3"/>
      </w:pPr>
    </w:p>
    <w:p w14:paraId="7219F17D" w14:textId="77777777" w:rsidR="00945BF2" w:rsidRDefault="00945BF2" w:rsidP="00945BF2">
      <w:pPr>
        <w:pStyle w:val="Caption"/>
        <w:numPr>
          <w:ilvl w:val="0"/>
          <w:numId w:val="0"/>
        </w:numPr>
      </w:pPr>
    </w:p>
    <w:p w14:paraId="0F63DD56" w14:textId="6323DE74" w:rsidR="00945BF2" w:rsidRPr="006A4C93" w:rsidRDefault="00945BF2" w:rsidP="00945BF2">
      <w:pPr>
        <w:pStyle w:val="Heading7"/>
      </w:pPr>
      <w:r>
        <w:t>Insights Table  3</w:t>
      </w:r>
    </w:p>
    <w:p w14:paraId="5ECF6367" w14:textId="5C0AEC01" w:rsidR="00AE0730" w:rsidRPr="006A4C93" w:rsidRDefault="009A51B3" w:rsidP="00E22464">
      <w:pPr>
        <w:pStyle w:val="ListBullet2"/>
      </w:pPr>
      <w:r w:rsidRPr="006A4C93">
        <w:t>The numb</w:t>
      </w:r>
      <w:r w:rsidR="002E0AF8" w:rsidRPr="006A4C93">
        <w:t xml:space="preserve">er of businesses available for </w:t>
      </w:r>
      <w:r w:rsidRPr="006A4C93">
        <w:t>reaserach-to-business innovation – bas</w:t>
      </w:r>
      <w:r w:rsidR="00AE0730" w:rsidRPr="006A4C93">
        <w:t>ed i</w:t>
      </w:r>
      <w:r w:rsidR="00AC028F" w:rsidRPr="006A4C93">
        <w:t xml:space="preserve">nteractions is </w:t>
      </w:r>
      <w:r w:rsidR="00E22464">
        <w:t xml:space="preserve">very </w:t>
      </w:r>
      <w:r w:rsidR="00AC028F" w:rsidRPr="006A4C93">
        <w:t xml:space="preserve">small, i.e. research-to-business </w:t>
      </w:r>
      <w:r w:rsidR="00E22464">
        <w:t>schemes are necessary but</w:t>
      </w:r>
      <w:r w:rsidR="00AC028F" w:rsidRPr="006A4C93">
        <w:t xml:space="preserve"> do not quarra</w:t>
      </w:r>
      <w:r w:rsidR="00221761" w:rsidRPr="006A4C93">
        <w:t>ntee wider renewal of the regio</w:t>
      </w:r>
      <w:r w:rsidR="00AC028F" w:rsidRPr="006A4C93">
        <w:t>n</w:t>
      </w:r>
      <w:r w:rsidR="00221761" w:rsidRPr="006A4C93">
        <w:t>a</w:t>
      </w:r>
      <w:r w:rsidR="00AC028F" w:rsidRPr="006A4C93">
        <w:t xml:space="preserve">l </w:t>
      </w:r>
      <w:r w:rsidR="00221761" w:rsidRPr="006A4C93">
        <w:t>e</w:t>
      </w:r>
      <w:r w:rsidR="00AC028F" w:rsidRPr="006A4C93">
        <w:t>conomies.</w:t>
      </w:r>
      <w:r w:rsidR="00221761" w:rsidRPr="006A4C93">
        <w:t xml:space="preserve"> Therefore it was essential to look deeper into each region, into modernisation and renewal aspects.</w:t>
      </w:r>
    </w:p>
    <w:p w14:paraId="4A12FD69" w14:textId="76BC15A6" w:rsidR="00FC4422" w:rsidRDefault="000B4118" w:rsidP="00E22464">
      <w:pPr>
        <w:pStyle w:val="ListBullet2"/>
      </w:pPr>
      <w:r w:rsidRPr="006A4C93">
        <w:t>Matching research potential is sufficient.</w:t>
      </w:r>
    </w:p>
    <w:p w14:paraId="28977B84" w14:textId="566A4B3F" w:rsidR="00175535" w:rsidRDefault="00175535" w:rsidP="00175535">
      <w:pPr>
        <w:pStyle w:val="ListBullet2"/>
        <w:numPr>
          <w:ilvl w:val="0"/>
          <w:numId w:val="0"/>
        </w:numPr>
        <w:ind w:left="567" w:hanging="340"/>
      </w:pPr>
    </w:p>
    <w:p w14:paraId="46D596FD" w14:textId="275150A4" w:rsidR="00175535" w:rsidRDefault="00175535" w:rsidP="00175535">
      <w:pPr>
        <w:pStyle w:val="ListBullet2"/>
        <w:numPr>
          <w:ilvl w:val="0"/>
          <w:numId w:val="0"/>
        </w:numPr>
        <w:ind w:left="567" w:hanging="340"/>
      </w:pPr>
    </w:p>
    <w:p w14:paraId="758F76D2" w14:textId="207945C7" w:rsidR="00175535" w:rsidRDefault="00175535" w:rsidP="00175535">
      <w:pPr>
        <w:pStyle w:val="ListBullet2"/>
        <w:numPr>
          <w:ilvl w:val="0"/>
          <w:numId w:val="0"/>
        </w:numPr>
        <w:ind w:left="567" w:hanging="340"/>
      </w:pPr>
    </w:p>
    <w:p w14:paraId="6776B8B6" w14:textId="58B89A00" w:rsidR="00175535" w:rsidRDefault="00175535" w:rsidP="00175535">
      <w:pPr>
        <w:pStyle w:val="ListBullet2"/>
        <w:numPr>
          <w:ilvl w:val="0"/>
          <w:numId w:val="0"/>
        </w:numPr>
        <w:ind w:left="567" w:hanging="340"/>
      </w:pPr>
    </w:p>
    <w:p w14:paraId="3CF8D774" w14:textId="77777777" w:rsidR="00175535" w:rsidRPr="006A4C93" w:rsidRDefault="00175535" w:rsidP="00175535">
      <w:pPr>
        <w:pStyle w:val="ListBullet2"/>
        <w:numPr>
          <w:ilvl w:val="0"/>
          <w:numId w:val="0"/>
        </w:numPr>
        <w:ind w:left="567" w:hanging="340"/>
      </w:pPr>
    </w:p>
    <w:p w14:paraId="67916F7F" w14:textId="39E78BB3" w:rsidR="00A00953" w:rsidRPr="006A4C93" w:rsidRDefault="0069380F" w:rsidP="003D4478">
      <w:pPr>
        <w:pStyle w:val="Heading2"/>
      </w:pPr>
      <w:bookmarkStart w:id="44" w:name="_Toc526593123"/>
      <w:r w:rsidRPr="006A4C93">
        <w:lastRenderedPageBreak/>
        <w:t>K</w:t>
      </w:r>
      <w:r w:rsidR="00A00953" w:rsidRPr="006A4C93">
        <w:t>nowledge base</w:t>
      </w:r>
      <w:bookmarkEnd w:id="44"/>
      <w:r w:rsidR="00CC1E44" w:rsidRPr="006A4C93">
        <w:t xml:space="preserve"> </w:t>
      </w:r>
    </w:p>
    <w:p w14:paraId="564AA1BE" w14:textId="4082DFE5" w:rsidR="002E0AF8" w:rsidRDefault="002E0AF8" w:rsidP="00837006">
      <w:pPr>
        <w:shd w:val="clear" w:color="auto" w:fill="FFFFFF" w:themeFill="background1"/>
      </w:pPr>
      <w:r w:rsidRPr="006A4C93">
        <w:t xml:space="preserve">The knowledge bases of the partner regions were mapped as part of the context of the </w:t>
      </w:r>
      <w:r w:rsidR="00E40CCE" w:rsidRPr="006A4C93">
        <w:t xml:space="preserve">RIS3 sub industries of the </w:t>
      </w:r>
      <w:r w:rsidRPr="006A4C93">
        <w:t xml:space="preserve">innovation maps. </w:t>
      </w:r>
    </w:p>
    <w:p w14:paraId="59774BCE" w14:textId="746A77BF" w:rsidR="00983B54" w:rsidRPr="006A4C93" w:rsidRDefault="00983B54" w:rsidP="00945BF2">
      <w:pPr>
        <w:pStyle w:val="Caption"/>
        <w:numPr>
          <w:ilvl w:val="0"/>
          <w:numId w:val="0"/>
        </w:numPr>
        <w:ind w:left="720" w:hanging="360"/>
      </w:pPr>
      <w:bookmarkStart w:id="45" w:name="_Toc502665497"/>
      <w:bookmarkStart w:id="46" w:name="_Ref502694971"/>
      <w:bookmarkStart w:id="47" w:name="_Toc526593326"/>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4</w:t>
      </w:r>
      <w:r w:rsidR="00F01E0F">
        <w:rPr>
          <w:noProof/>
        </w:rPr>
        <w:fldChar w:fldCharType="end"/>
      </w:r>
      <w:r>
        <w:t xml:space="preserve"> </w:t>
      </w:r>
      <w:r w:rsidRPr="006A4C93">
        <w:t>Knowledge base</w:t>
      </w:r>
      <w:bookmarkEnd w:id="45"/>
      <w:bookmarkEnd w:id="46"/>
      <w:bookmarkEnd w:id="47"/>
    </w:p>
    <w:tbl>
      <w:tblPr>
        <w:tblW w:w="9039" w:type="dxa"/>
        <w:tblBorders>
          <w:top w:val="single" w:sz="2" w:space="0" w:color="000A11"/>
          <w:left w:val="single" w:sz="2" w:space="0" w:color="000A11"/>
          <w:bottom w:val="single" w:sz="2" w:space="0" w:color="000A11"/>
          <w:right w:val="single" w:sz="2" w:space="0" w:color="000A11"/>
          <w:insideH w:val="dotted" w:sz="2" w:space="0" w:color="F9D98C" w:themeColor="accent5" w:themeTint="99"/>
          <w:insideV w:val="dotted" w:sz="4" w:space="0" w:color="F9D98C" w:themeColor="accent5" w:themeTint="99"/>
        </w:tblBorders>
        <w:tblLayout w:type="fixed"/>
        <w:tblLook w:val="04A0" w:firstRow="1" w:lastRow="0" w:firstColumn="1" w:lastColumn="0" w:noHBand="0" w:noVBand="1"/>
      </w:tblPr>
      <w:tblGrid>
        <w:gridCol w:w="1809"/>
        <w:gridCol w:w="4962"/>
        <w:gridCol w:w="2268"/>
      </w:tblGrid>
      <w:tr w:rsidR="0027228E" w:rsidRPr="00D463A1" w14:paraId="29B5FAB3" w14:textId="77777777" w:rsidTr="00983B54">
        <w:trPr>
          <w:trHeight w:val="330"/>
          <w:tblHeader/>
        </w:trPr>
        <w:tc>
          <w:tcPr>
            <w:tcW w:w="1809" w:type="dxa"/>
            <w:shd w:val="clear" w:color="auto" w:fill="F2F2F2" w:themeFill="background1" w:themeFillShade="F2"/>
          </w:tcPr>
          <w:p w14:paraId="46649DFB" w14:textId="65A04314" w:rsidR="00CB3437" w:rsidRPr="00C82AAB" w:rsidRDefault="00983B54" w:rsidP="00D463A1">
            <w:pPr>
              <w:spacing w:line="276" w:lineRule="auto"/>
              <w:rPr>
                <w:b/>
              </w:rPr>
            </w:pPr>
            <w:r w:rsidRPr="00C82AAB">
              <w:rPr>
                <w:b/>
              </w:rPr>
              <w:t>R</w:t>
            </w:r>
            <w:r w:rsidR="00CB3437" w:rsidRPr="00C82AAB">
              <w:rPr>
                <w:b/>
              </w:rPr>
              <w:t>egion</w:t>
            </w:r>
          </w:p>
        </w:tc>
        <w:tc>
          <w:tcPr>
            <w:tcW w:w="4962" w:type="dxa"/>
            <w:shd w:val="clear" w:color="auto" w:fill="F2F2F2" w:themeFill="background1" w:themeFillShade="F2"/>
          </w:tcPr>
          <w:p w14:paraId="50E46C1D" w14:textId="77777777" w:rsidR="00CB3437" w:rsidRPr="00C82AAB" w:rsidRDefault="00CB3437" w:rsidP="00D463A1">
            <w:pPr>
              <w:spacing w:line="276" w:lineRule="auto"/>
              <w:rPr>
                <w:b/>
              </w:rPr>
            </w:pPr>
            <w:r w:rsidRPr="00C82AAB">
              <w:rPr>
                <w:b/>
              </w:rPr>
              <w:t>Knowledge and research resources</w:t>
            </w:r>
          </w:p>
        </w:tc>
        <w:tc>
          <w:tcPr>
            <w:tcW w:w="2268" w:type="dxa"/>
            <w:shd w:val="clear" w:color="auto" w:fill="F2F2F2" w:themeFill="background1" w:themeFillShade="F2"/>
          </w:tcPr>
          <w:p w14:paraId="1D0D7E60" w14:textId="661469E0" w:rsidR="00CB3437" w:rsidRPr="00C82AAB" w:rsidRDefault="00CB3437" w:rsidP="00D463A1">
            <w:pPr>
              <w:spacing w:line="276" w:lineRule="auto"/>
              <w:rPr>
                <w:b/>
              </w:rPr>
            </w:pPr>
            <w:r w:rsidRPr="00C82AAB">
              <w:rPr>
                <w:b/>
              </w:rPr>
              <w:t>Comments</w:t>
            </w:r>
          </w:p>
        </w:tc>
      </w:tr>
      <w:tr w:rsidR="0027228E" w:rsidRPr="0027228E" w14:paraId="4324A964" w14:textId="77777777" w:rsidTr="00983B54">
        <w:trPr>
          <w:trHeight w:val="192"/>
        </w:trPr>
        <w:tc>
          <w:tcPr>
            <w:tcW w:w="1809" w:type="dxa"/>
          </w:tcPr>
          <w:p w14:paraId="3EF3E8D9" w14:textId="678E1DA3" w:rsidR="00CB3437" w:rsidRPr="0027228E" w:rsidRDefault="00CB3437" w:rsidP="00C82AAB">
            <w:pPr>
              <w:pStyle w:val="Heading7"/>
            </w:pPr>
            <w:r w:rsidRPr="0027228E">
              <w:t>Kainuu</w:t>
            </w:r>
          </w:p>
        </w:tc>
        <w:tc>
          <w:tcPr>
            <w:tcW w:w="4962" w:type="dxa"/>
          </w:tcPr>
          <w:p w14:paraId="6C95BB90" w14:textId="47497A39" w:rsidR="006255E1" w:rsidRPr="0027228E" w:rsidRDefault="006255E1" w:rsidP="00C82AAB">
            <w:pPr>
              <w:pStyle w:val="Heading7"/>
            </w:pPr>
            <w:r w:rsidRPr="0027228E">
              <w:t>Research</w:t>
            </w:r>
          </w:p>
          <w:p w14:paraId="6FF16303" w14:textId="4F857083" w:rsidR="007E0386" w:rsidRPr="0027228E" w:rsidRDefault="007E0386" w:rsidP="00C82AAB">
            <w:pPr>
              <w:pStyle w:val="ListBullet2"/>
            </w:pPr>
            <w:bookmarkStart w:id="48" w:name="_Ref354989586"/>
            <w:r w:rsidRPr="0027228E">
              <w:t>CEMIS (Centre for Measurement and Information Systems); contract based measurement and information systems research and training center; joint operation among VTT, Universities iof Jyväskylä and Oulu, KAMK (Kajaani university of applied sciences); basically a project-based organisation.</w:t>
            </w:r>
            <w:bookmarkEnd w:id="48"/>
          </w:p>
          <w:p w14:paraId="7F97BAF0" w14:textId="06CDF562" w:rsidR="007E0386" w:rsidRPr="0027228E" w:rsidRDefault="007E0386" w:rsidP="00C82AAB">
            <w:pPr>
              <w:pStyle w:val="ListBullet2"/>
            </w:pPr>
            <w:r w:rsidRPr="0027228E">
              <w:t xml:space="preserve">The Unit of Measurement Technology (MITY, University of Oulu); MITY consists of the two research groups: Cleantech and Health &amp; wellbeing. There are some 50 professionals with multi-disciplinary education and expertise. The aim of the cleantech group is to develop novel applications of measurement technologies for real-time environmental monitoring, mining industry, forest industry and bioeconomy. </w:t>
            </w:r>
          </w:p>
          <w:p w14:paraId="5CF94CA0" w14:textId="00B98149" w:rsidR="007E0386" w:rsidRPr="0027228E" w:rsidRDefault="007E0386" w:rsidP="00C82AAB">
            <w:pPr>
              <w:pStyle w:val="ListBullet2"/>
            </w:pPr>
            <w:r w:rsidRPr="0027228E">
              <w:t xml:space="preserve">VTT MIKES-Kajaani </w:t>
            </w:r>
          </w:p>
          <w:p w14:paraId="580CB13F" w14:textId="29DB673E" w:rsidR="00CB3437" w:rsidRPr="0027228E" w:rsidRDefault="007E0386" w:rsidP="00C82AAB">
            <w:pPr>
              <w:pStyle w:val="ListBullet2"/>
            </w:pPr>
            <w:r w:rsidRPr="0027228E">
              <w:t>Natural</w:t>
            </w:r>
            <w:r w:rsidR="007A3019" w:rsidRPr="0027228E">
              <w:t xml:space="preserve"> Resources Institute Finland (LUKE</w:t>
            </w:r>
            <w:r w:rsidRPr="0027228E">
              <w:t xml:space="preserve">) has three research stations in Kainuu. In Sotkamo Luke is focused on production biogas from agricultural waste materials, In Paltamo Luke is focused on fish farming and in Puolanka, where seeds of trees are stored in order to preserve genetic diversity of forest trees. </w:t>
            </w:r>
          </w:p>
        </w:tc>
        <w:tc>
          <w:tcPr>
            <w:tcW w:w="2268" w:type="dxa"/>
            <w:vAlign w:val="center"/>
          </w:tcPr>
          <w:p w14:paraId="134553E6" w14:textId="625AC599" w:rsidR="008F2280" w:rsidRPr="0027228E" w:rsidRDefault="00455FA0" w:rsidP="0027228E">
            <w:pPr>
              <w:pStyle w:val="Body3"/>
            </w:pPr>
            <w:r w:rsidRPr="0027228E">
              <w:t>Research servic</w:t>
            </w:r>
            <w:r w:rsidR="006255E1" w:rsidRPr="0027228E">
              <w:t>es good but mostly focusig on measurement technology, i..e narrow segment.</w:t>
            </w:r>
          </w:p>
          <w:p w14:paraId="3702FD31" w14:textId="276FFC8F" w:rsidR="008F2280" w:rsidRPr="0027228E" w:rsidRDefault="00580733" w:rsidP="0027228E">
            <w:pPr>
              <w:pStyle w:val="Body3"/>
            </w:pPr>
            <w:r w:rsidRPr="0027228E">
              <w:t>Mi</w:t>
            </w:r>
            <w:r w:rsidR="008F2280" w:rsidRPr="0027228E">
              <w:t>smatches between local  p</w:t>
            </w:r>
            <w:r w:rsidR="006255E1" w:rsidRPr="0027228E">
              <w:t>roductive and knowledge base.</w:t>
            </w:r>
          </w:p>
          <w:p w14:paraId="2681A4B5" w14:textId="4E2F0F8C" w:rsidR="006255E1" w:rsidRPr="0027228E" w:rsidRDefault="006255E1" w:rsidP="0027228E">
            <w:pPr>
              <w:pStyle w:val="Body3"/>
            </w:pPr>
            <w:r w:rsidRPr="0027228E">
              <w:t>Reearch units sell services outside the region (good thing).</w:t>
            </w:r>
          </w:p>
          <w:p w14:paraId="7E745FE6" w14:textId="5F4DD3F3" w:rsidR="006255E1" w:rsidRPr="0027228E" w:rsidRDefault="009A51B3" w:rsidP="0027228E">
            <w:pPr>
              <w:pStyle w:val="Body3"/>
            </w:pPr>
            <w:r w:rsidRPr="0027228E">
              <w:t>Linkages between research ser</w:t>
            </w:r>
            <w:r w:rsidR="006255E1" w:rsidRPr="0027228E">
              <w:t>v</w:t>
            </w:r>
            <w:r w:rsidRPr="0027228E">
              <w:t xml:space="preserve">ices and RIS3 industries need </w:t>
            </w:r>
            <w:r w:rsidR="006255E1" w:rsidRPr="0027228E">
              <w:t>improvement.</w:t>
            </w:r>
          </w:p>
          <w:p w14:paraId="31F63A80" w14:textId="77777777" w:rsidR="006255E1" w:rsidRPr="0027228E" w:rsidRDefault="006255E1" w:rsidP="0027228E">
            <w:pPr>
              <w:pStyle w:val="Body3"/>
            </w:pPr>
          </w:p>
          <w:p w14:paraId="0C95C33E" w14:textId="77777777" w:rsidR="006255E1" w:rsidRPr="0027228E" w:rsidRDefault="006255E1" w:rsidP="0027228E">
            <w:pPr>
              <w:pStyle w:val="Body3"/>
            </w:pPr>
          </w:p>
          <w:p w14:paraId="4F3F1C11" w14:textId="643B7537" w:rsidR="00CB3437" w:rsidRPr="0027228E" w:rsidRDefault="00CB3437" w:rsidP="0027228E">
            <w:pPr>
              <w:pStyle w:val="Body3"/>
            </w:pPr>
          </w:p>
        </w:tc>
      </w:tr>
      <w:tr w:rsidR="0027228E" w:rsidRPr="0027228E" w14:paraId="7F32C25D" w14:textId="77777777" w:rsidTr="00983B54">
        <w:trPr>
          <w:trHeight w:val="192"/>
        </w:trPr>
        <w:tc>
          <w:tcPr>
            <w:tcW w:w="1809" w:type="dxa"/>
          </w:tcPr>
          <w:p w14:paraId="3ADC8C60" w14:textId="686FDD17" w:rsidR="00CB3437" w:rsidRPr="0027228E" w:rsidRDefault="00CB3437" w:rsidP="00C82AAB">
            <w:pPr>
              <w:pStyle w:val="Heading7"/>
            </w:pPr>
            <w:r w:rsidRPr="0027228E">
              <w:t>Lubelskie</w:t>
            </w:r>
          </w:p>
        </w:tc>
        <w:tc>
          <w:tcPr>
            <w:tcW w:w="4962" w:type="dxa"/>
          </w:tcPr>
          <w:p w14:paraId="43E68346" w14:textId="7D46E99F" w:rsidR="006255E1" w:rsidRPr="0027228E" w:rsidRDefault="006255E1" w:rsidP="00C82AAB">
            <w:pPr>
              <w:pStyle w:val="Heading7"/>
            </w:pPr>
            <w:r w:rsidRPr="0027228E">
              <w:t>Education and research</w:t>
            </w:r>
          </w:p>
          <w:p w14:paraId="1A44CFD8" w14:textId="77777777" w:rsidR="00EA4461" w:rsidRPr="0027228E" w:rsidRDefault="00EA4461" w:rsidP="00C82AAB">
            <w:pPr>
              <w:pStyle w:val="ListBullet2"/>
            </w:pPr>
            <w:r w:rsidRPr="0027228E">
              <w:t>Universities: Maria Curie-Skłodowska University, Medical University, the University of Life Sciences, the John Paul II Catholic University of Lublin, the Lublin University of Technology</w:t>
            </w:r>
          </w:p>
          <w:p w14:paraId="383B84C2" w14:textId="77777777" w:rsidR="00EA4461" w:rsidRPr="0027228E" w:rsidRDefault="00EA4461" w:rsidP="00C82AAB">
            <w:pPr>
              <w:pStyle w:val="ListBullet2"/>
            </w:pPr>
            <w:r w:rsidRPr="0027228E">
              <w:t xml:space="preserve">Research Institutes: The Institute of Agrophysics of the Polish Academy of Sciences, the Institute of Soil Science and Plant cultivation- State Research Institute, the Institute of New Chemical Synthesis,  the Institute of Rural Health, Lublin Science and Technology Park , the Puławski Science and Technology Park, </w:t>
            </w:r>
          </w:p>
          <w:p w14:paraId="3560F8F4" w14:textId="60F04F7D" w:rsidR="00CB3437" w:rsidRPr="0027228E" w:rsidRDefault="00EA4461" w:rsidP="00C82AAB">
            <w:pPr>
              <w:pStyle w:val="ListBullet2"/>
            </w:pPr>
            <w:r w:rsidRPr="0027228E">
              <w:t xml:space="preserve">NATIONAL LEVEL: </w:t>
            </w:r>
            <w:r w:rsidR="00B72FF2" w:rsidRPr="0027228E">
              <w:t xml:space="preserve">The Institute of Agrophysics of the Polish Academy of Sciences, the Institute of Rural Health, the Institute of Soil Science and Plant cultivation- State Research Institute, the National Veterinary Institute, the Institute of New Chemical Synthesis, the Biological Threats Identification and Countermeasure Centre of the Military Institute of Hygiene and Epidemiology in Warsaw, </w:t>
            </w:r>
            <w:r w:rsidR="001A796B" w:rsidRPr="0027228E">
              <w:t xml:space="preserve">The Research Institute of Horticulture – </w:t>
            </w:r>
            <w:r w:rsidR="001A796B" w:rsidRPr="0027228E">
              <w:lastRenderedPageBreak/>
              <w:t xml:space="preserve">Apiculture Division in Puławy, </w:t>
            </w:r>
            <w:r w:rsidR="00B72FF2" w:rsidRPr="0027228E">
              <w:t>Division of the Institute of Horticulture in Skierniewice, Lublin Science and Technology Park</w:t>
            </w:r>
            <w:r w:rsidR="006255E1" w:rsidRPr="0027228E">
              <w:t xml:space="preserve">. </w:t>
            </w:r>
          </w:p>
        </w:tc>
        <w:tc>
          <w:tcPr>
            <w:tcW w:w="2268" w:type="dxa"/>
            <w:vAlign w:val="center"/>
          </w:tcPr>
          <w:p w14:paraId="3A02242E" w14:textId="4A1D04B6" w:rsidR="00CB3437" w:rsidRPr="0027228E" w:rsidRDefault="00EC1B7E" w:rsidP="0027228E">
            <w:pPr>
              <w:pStyle w:val="Body3"/>
            </w:pPr>
            <w:r w:rsidRPr="0027228E">
              <w:lastRenderedPageBreak/>
              <w:t>Strong knowledge base, the connectivty between  kn</w:t>
            </w:r>
            <w:r w:rsidR="002E0AF8" w:rsidRPr="0027228E">
              <w:t>o</w:t>
            </w:r>
            <w:r w:rsidRPr="0027228E">
              <w:t>w</w:t>
            </w:r>
            <w:r w:rsidR="002E0AF8" w:rsidRPr="0027228E">
              <w:t>le</w:t>
            </w:r>
            <w:r w:rsidRPr="0027228E">
              <w:t>dge and industry needs to be addressed con</w:t>
            </w:r>
            <w:r w:rsidR="002E0AF8" w:rsidRPr="0027228E">
              <w:t>c</w:t>
            </w:r>
            <w:r w:rsidRPr="0027228E">
              <w:t xml:space="preserve">retely and systematically. </w:t>
            </w:r>
          </w:p>
        </w:tc>
      </w:tr>
      <w:tr w:rsidR="0027228E" w:rsidRPr="0027228E" w14:paraId="6482944C" w14:textId="77777777" w:rsidTr="00983B54">
        <w:trPr>
          <w:trHeight w:val="192"/>
        </w:trPr>
        <w:tc>
          <w:tcPr>
            <w:tcW w:w="1809" w:type="dxa"/>
          </w:tcPr>
          <w:p w14:paraId="595758D4" w14:textId="6134EBD0" w:rsidR="00CB3437" w:rsidRPr="0027228E" w:rsidRDefault="00CB3437" w:rsidP="00C82AAB">
            <w:pPr>
              <w:pStyle w:val="Heading7"/>
            </w:pPr>
            <w:r w:rsidRPr="0027228E">
              <w:t>Uusimaa</w:t>
            </w:r>
          </w:p>
        </w:tc>
        <w:tc>
          <w:tcPr>
            <w:tcW w:w="4962" w:type="dxa"/>
          </w:tcPr>
          <w:p w14:paraId="247D66C2" w14:textId="79DBECD3" w:rsidR="006255E1" w:rsidRPr="0027228E" w:rsidRDefault="006255E1" w:rsidP="00C82AAB">
            <w:pPr>
              <w:pStyle w:val="Heading7"/>
            </w:pPr>
            <w:r w:rsidRPr="0027228E">
              <w:t>Education and research</w:t>
            </w:r>
          </w:p>
          <w:p w14:paraId="4CA2A26B" w14:textId="77777777" w:rsidR="006255E1" w:rsidRPr="00C82AAB" w:rsidRDefault="00CB3437" w:rsidP="00C82AAB">
            <w:pPr>
              <w:pStyle w:val="ListBullet2"/>
            </w:pPr>
            <w:r w:rsidRPr="0027228E">
              <w:t>Seven research institutes were identified in the mapping of Helsinki-Uusimaa: 1)VTT Technical Research Centre of Finland, 2)Aalto University, 3)Geological Survey of Finland (GTK), 4)University of Helsinki, 5)Finnish Environment Institute SYKE, 6)National Resources Institute Finland (LUKE), 7) Finnish Meteorological Institute; through their designated  technology transfer offices  connectiong to less developed regions</w:t>
            </w:r>
            <w:r w:rsidR="006255E1" w:rsidRPr="0027228E">
              <w:t>.</w:t>
            </w:r>
          </w:p>
          <w:p w14:paraId="0A7B5D4C" w14:textId="05C08FF1" w:rsidR="00F44310" w:rsidRPr="00C82AAB" w:rsidRDefault="00F44310" w:rsidP="00C82AAB">
            <w:pPr>
              <w:pStyle w:val="ListBullet2"/>
            </w:pPr>
            <w:r w:rsidRPr="0027228E">
              <w:t>VTT: Department of Bioeconomy; Aalto University: Department of Bioproducts and Biosystems, Department of Built Environment; University of Helsinki: Department of Food and Environmental Sciences, Department of Agricultural Sciences, Department of Forest Sciences, Department of Biosciences, Department of Environmental Sciences; LUKE: Boreal Green Bioeconomy, Blue Bioeconomy, Innovative Food System.</w:t>
            </w:r>
          </w:p>
        </w:tc>
        <w:tc>
          <w:tcPr>
            <w:tcW w:w="2268" w:type="dxa"/>
            <w:vAlign w:val="center"/>
          </w:tcPr>
          <w:p w14:paraId="06F79E5A" w14:textId="6F903E54" w:rsidR="00CB3437" w:rsidRPr="0027228E" w:rsidRDefault="00A32AFE" w:rsidP="0027228E">
            <w:pPr>
              <w:pStyle w:val="Body3"/>
            </w:pPr>
            <w:r w:rsidRPr="0027228E">
              <w:t>Good knowledge reso</w:t>
            </w:r>
            <w:r w:rsidR="00C705FC" w:rsidRPr="0027228E">
              <w:t>u</w:t>
            </w:r>
            <w:r w:rsidRPr="0027228E">
              <w:t>r</w:t>
            </w:r>
            <w:r w:rsidR="00C705FC" w:rsidRPr="0027228E">
              <w:t>ces, good connectivity,  good methods</w:t>
            </w:r>
          </w:p>
        </w:tc>
      </w:tr>
      <w:tr w:rsidR="0027228E" w:rsidRPr="0027228E" w14:paraId="55DCB564" w14:textId="77777777" w:rsidTr="00983B54">
        <w:trPr>
          <w:trHeight w:val="1352"/>
        </w:trPr>
        <w:tc>
          <w:tcPr>
            <w:tcW w:w="1809" w:type="dxa"/>
          </w:tcPr>
          <w:p w14:paraId="00800AE5" w14:textId="4647642D" w:rsidR="00CB3437" w:rsidRPr="0027228E" w:rsidRDefault="00CB3437" w:rsidP="00C82AAB">
            <w:pPr>
              <w:pStyle w:val="Heading7"/>
            </w:pPr>
            <w:r w:rsidRPr="0027228E">
              <w:t>Western Macedonia</w:t>
            </w:r>
          </w:p>
        </w:tc>
        <w:tc>
          <w:tcPr>
            <w:tcW w:w="4962" w:type="dxa"/>
          </w:tcPr>
          <w:p w14:paraId="54C92606" w14:textId="77777777" w:rsidR="00CB3437" w:rsidRPr="0027228E" w:rsidRDefault="00EB5D9C" w:rsidP="00C82AAB">
            <w:pPr>
              <w:pStyle w:val="Heading7"/>
            </w:pPr>
            <w:r w:rsidRPr="0027228E">
              <w:t>Education and research</w:t>
            </w:r>
          </w:p>
          <w:p w14:paraId="5C3C602B" w14:textId="77777777" w:rsidR="00EB5D9C" w:rsidRPr="0027228E" w:rsidRDefault="00EB5D9C" w:rsidP="00C82AAB">
            <w:pPr>
              <w:pStyle w:val="ListBullet2"/>
            </w:pPr>
            <w:r w:rsidRPr="0027228E">
              <w:t>The University of Western Macedonia (</w:t>
            </w:r>
            <w:hyperlink r:id="rId10" w:history="1">
              <w:r w:rsidRPr="0027228E">
                <w:t>www.uowm.gr</w:t>
              </w:r>
            </w:hyperlink>
            <w:r w:rsidRPr="0027228E">
              <w:t>), founded in 2003, the Technological Education Institute Western Macedonia (</w:t>
            </w:r>
            <w:hyperlink r:id="rId11" w:history="1">
              <w:r w:rsidRPr="0027228E">
                <w:t>www.teiwm.gr</w:t>
              </w:r>
            </w:hyperlink>
            <w:r w:rsidRPr="0027228E">
              <w:t>) since 1976 with its research branch Technological Research Centre (TRC,</w:t>
            </w:r>
            <w:hyperlink r:id="rId12" w:history="1">
              <w:r w:rsidRPr="0027228E">
                <w:t>www.ktedm.gr</w:t>
              </w:r>
            </w:hyperlink>
            <w:r w:rsidRPr="0027228E">
              <w:t>) and the Institute for Solid Fuels Technology and Applications (</w:t>
            </w:r>
            <w:hyperlink r:id="rId13" w:history="1">
              <w:r w:rsidRPr="0027228E">
                <w:t>http://www.lignite.gr</w:t>
              </w:r>
            </w:hyperlink>
            <w:r w:rsidRPr="0027228E">
              <w:t xml:space="preserve">) , one of the five institutes of the National Centre for Research and Technology Hellas (CERTH), are the main regional research performers. </w:t>
            </w:r>
          </w:p>
          <w:p w14:paraId="2D1234B6" w14:textId="134240BE" w:rsidR="00C705FC" w:rsidRPr="0027228E" w:rsidRDefault="00C705FC" w:rsidP="00C82AAB">
            <w:pPr>
              <w:pStyle w:val="ListBullet2"/>
            </w:pPr>
            <w:r w:rsidRPr="0027228E">
              <w:t>Greece’s universities and research institutes focus heavily on providing assistance to the food and beverage industry. A number of highly specialized research centers such as the University of Thessaly, the Food Industrial Research &amp; Technological Development Company (ETAT), the Institute of Agro biotechnology and the Institute of Aquaculture, assist manufacturers and processors in developing innovative solutions to meet the needs of today’s marketplace. </w:t>
            </w:r>
          </w:p>
        </w:tc>
        <w:tc>
          <w:tcPr>
            <w:tcW w:w="2268" w:type="dxa"/>
            <w:vAlign w:val="center"/>
          </w:tcPr>
          <w:p w14:paraId="4B2E9A27" w14:textId="033E2093" w:rsidR="00CB3437" w:rsidRPr="0027228E" w:rsidRDefault="00C705FC" w:rsidP="0027228E">
            <w:pPr>
              <w:pStyle w:val="Body3"/>
            </w:pPr>
            <w:r w:rsidRPr="0027228E">
              <w:t>The innovation manag</w:t>
            </w:r>
            <w:r w:rsidR="009A51B3" w:rsidRPr="0027228E">
              <w:t>ement chain is missing as a fun</w:t>
            </w:r>
            <w:r w:rsidRPr="0027228E">
              <w:t>ction and as a conviction, and as a result the resoruces are not  really valorised for RIS3 and overall.</w:t>
            </w:r>
          </w:p>
        </w:tc>
      </w:tr>
      <w:tr w:rsidR="0027228E" w:rsidRPr="0027228E" w14:paraId="0E81F7F5" w14:textId="77777777" w:rsidTr="00983B54">
        <w:trPr>
          <w:trHeight w:val="192"/>
        </w:trPr>
        <w:tc>
          <w:tcPr>
            <w:tcW w:w="1809" w:type="dxa"/>
          </w:tcPr>
          <w:p w14:paraId="0F279FDD" w14:textId="76810E9E" w:rsidR="00CB3437" w:rsidRPr="0027228E" w:rsidRDefault="00A32AFE" w:rsidP="00C82AAB">
            <w:pPr>
              <w:pStyle w:val="Heading7"/>
            </w:pPr>
            <w:r w:rsidRPr="0027228E">
              <w:t>Goriška</w:t>
            </w:r>
          </w:p>
        </w:tc>
        <w:tc>
          <w:tcPr>
            <w:tcW w:w="4962" w:type="dxa"/>
          </w:tcPr>
          <w:p w14:paraId="0BB4209E" w14:textId="77777777" w:rsidR="00CB3437" w:rsidRPr="0027228E" w:rsidRDefault="007B7CD0" w:rsidP="00C82AAB">
            <w:pPr>
              <w:pStyle w:val="Heading7"/>
            </w:pPr>
            <w:r w:rsidRPr="0027228E">
              <w:t>Education and research</w:t>
            </w:r>
          </w:p>
          <w:p w14:paraId="56B73269" w14:textId="11A56C51" w:rsidR="00A32AFE" w:rsidRPr="0027228E" w:rsidRDefault="00A32AFE" w:rsidP="0027228E">
            <w:pPr>
              <w:pStyle w:val="Listwithsmallreddot"/>
            </w:pPr>
            <w:r w:rsidRPr="0027228E">
              <w:t>National level:  fresh water</w:t>
            </w:r>
            <w:r w:rsidR="00E44893" w:rsidRPr="0027228E">
              <w:t xml:space="preserve"> aquaculture; salt water aquaculture: </w:t>
            </w:r>
            <w:r w:rsidRPr="0027228E">
              <w:t xml:space="preserve">university of  </w:t>
            </w:r>
            <w:r w:rsidR="00BB107D" w:rsidRPr="0027228E">
              <w:t>Goriška Goriška</w:t>
            </w:r>
            <w:r w:rsidR="00A22E6F" w:rsidRPr="0027228E">
              <w:t>, 4 year old, relevant  stak</w:t>
            </w:r>
            <w:r w:rsidR="00E44893" w:rsidRPr="0027228E">
              <w:t>e</w:t>
            </w:r>
            <w:r w:rsidR="00A22E6F" w:rsidRPr="0027228E">
              <w:t>holder, not yet fully mature.</w:t>
            </w:r>
          </w:p>
          <w:p w14:paraId="6BD2B7F8" w14:textId="18C92263" w:rsidR="00A32AFE" w:rsidRPr="0027228E" w:rsidRDefault="00A32AFE" w:rsidP="0027228E">
            <w:pPr>
              <w:pStyle w:val="Body3"/>
            </w:pPr>
          </w:p>
        </w:tc>
        <w:tc>
          <w:tcPr>
            <w:tcW w:w="2268" w:type="dxa"/>
          </w:tcPr>
          <w:p w14:paraId="7E2C8F4A" w14:textId="6E6EA17C" w:rsidR="00A32AFE" w:rsidRPr="0027228E" w:rsidRDefault="00E44893" w:rsidP="0027228E">
            <w:pPr>
              <w:pStyle w:val="Body3"/>
            </w:pPr>
            <w:r w:rsidRPr="0027228E">
              <w:t xml:space="preserve">The aquaculture </w:t>
            </w:r>
            <w:r w:rsidR="00A32AFE" w:rsidRPr="0027228E">
              <w:t xml:space="preserve">approach that is prioritised  </w:t>
            </w:r>
            <w:r w:rsidR="00A22E6F" w:rsidRPr="0027228E">
              <w:t>is challenging, and not suffiicently addressed  in the exisit</w:t>
            </w:r>
            <w:r w:rsidR="00873C83" w:rsidRPr="0027228E">
              <w:t>i</w:t>
            </w:r>
            <w:r w:rsidR="00A22E6F" w:rsidRPr="0027228E">
              <w:t xml:space="preserve">ng knowledge </w:t>
            </w:r>
            <w:r w:rsidR="00A22E6F" w:rsidRPr="0027228E">
              <w:lastRenderedPageBreak/>
              <w:t>base (m</w:t>
            </w:r>
            <w:r w:rsidR="00A32AFE" w:rsidRPr="0027228E">
              <w:t xml:space="preserve">arble trout is very hard </w:t>
            </w:r>
            <w:r w:rsidR="00A22E6F" w:rsidRPr="0027228E">
              <w:t>to deal with).</w:t>
            </w:r>
          </w:p>
        </w:tc>
      </w:tr>
      <w:tr w:rsidR="0027228E" w:rsidRPr="0027228E" w14:paraId="4F14E747" w14:textId="77777777" w:rsidTr="00983B54">
        <w:trPr>
          <w:trHeight w:val="446"/>
        </w:trPr>
        <w:tc>
          <w:tcPr>
            <w:tcW w:w="1809" w:type="dxa"/>
          </w:tcPr>
          <w:p w14:paraId="70834CC6" w14:textId="4D15C740" w:rsidR="00CB3437" w:rsidRPr="0027228E" w:rsidRDefault="00CB3437" w:rsidP="00C82AAB">
            <w:pPr>
              <w:pStyle w:val="Heading7"/>
            </w:pPr>
            <w:r w:rsidRPr="0027228E">
              <w:lastRenderedPageBreak/>
              <w:t>Western Transdanubia</w:t>
            </w:r>
          </w:p>
        </w:tc>
        <w:tc>
          <w:tcPr>
            <w:tcW w:w="4962" w:type="dxa"/>
          </w:tcPr>
          <w:p w14:paraId="7738DE44" w14:textId="77777777" w:rsidR="00CB3437" w:rsidRPr="0027228E" w:rsidRDefault="007B7CD0" w:rsidP="00C82AAB">
            <w:pPr>
              <w:pStyle w:val="Heading7"/>
            </w:pPr>
            <w:r w:rsidRPr="0027228E">
              <w:t>Education and research</w:t>
            </w:r>
          </w:p>
          <w:p w14:paraId="3A83D1CA" w14:textId="77777777" w:rsidR="005C1F25" w:rsidRPr="0027228E" w:rsidRDefault="005C1F25" w:rsidP="00C82AAB">
            <w:pPr>
              <w:pStyle w:val="ListBullet2"/>
            </w:pPr>
            <w:r w:rsidRPr="0027228E">
              <w:t>Within the traditional educational system, on secondary level, there are 4 institutions, which are explicitly dedicated to the wood and furniture industry. Among these 2 are located in Western Hungary, one in Szombathely and another in Sopron. Beyond them there are also specialized, thematic curricula in many further secondary schools.</w:t>
            </w:r>
          </w:p>
          <w:p w14:paraId="6E13F37E" w14:textId="77777777" w:rsidR="005C1F25" w:rsidRPr="0027228E" w:rsidRDefault="005C1F25" w:rsidP="00C82AAB">
            <w:pPr>
              <w:pStyle w:val="ListBullet2"/>
            </w:pPr>
            <w:r w:rsidRPr="0027228E">
              <w:t xml:space="preserve">On higher education the University of West Hungary, located in Sopron, is the only training institutions purely for the industry. It also has technology transfer institute, innovation office, basic and applied research centers. The advantage of having one institution is that the indus-trial players have very strong connection to the institution and with each other. The disad-vantage is the lack of competition on national level. </w:t>
            </w:r>
          </w:p>
          <w:p w14:paraId="7E85C5B4" w14:textId="77777777" w:rsidR="00E44893" w:rsidRPr="0027228E" w:rsidRDefault="005C1F25" w:rsidP="00C82AAB">
            <w:pPr>
              <w:pStyle w:val="ListBullet2"/>
            </w:pPr>
            <w:r w:rsidRPr="0027228E">
              <w:t>Another key player in the educational sector is the Moholy-Nagy University of Art and Design, which is focusing on the artistic education. It has a synergetic, complementary profile to the previous university, which has stronger focus on the engineering and scientific fields. This lat-ter is located in Budapest.</w:t>
            </w:r>
          </w:p>
          <w:p w14:paraId="1512B099" w14:textId="3F352187" w:rsidR="007B7CD0" w:rsidRPr="0027228E" w:rsidRDefault="007B7CD0" w:rsidP="00C82AAB">
            <w:pPr>
              <w:pStyle w:val="ListBullet2"/>
            </w:pPr>
            <w:r w:rsidRPr="0027228E">
              <w:t>Two higher  ins</w:t>
            </w:r>
            <w:r w:rsidR="00050E60" w:rsidRPr="0027228E">
              <w:t>tit</w:t>
            </w:r>
            <w:r w:rsidRPr="0027228E">
              <w:t>utions in Hungary (University of West Hungary and the University of Art and Design</w:t>
            </w:r>
            <w:r w:rsidR="00050E60" w:rsidRPr="0027228E">
              <w:t>; also a</w:t>
            </w:r>
            <w:r w:rsidR="00E44893" w:rsidRPr="0027228E">
              <w:t xml:space="preserve"> techn</w:t>
            </w:r>
            <w:r w:rsidR="00050E60" w:rsidRPr="0027228E">
              <w:t>ology transfer insittute and innovation office</w:t>
            </w:r>
            <w:r w:rsidRPr="0027228E">
              <w:t>)</w:t>
            </w:r>
            <w:r w:rsidR="00050E60" w:rsidRPr="0027228E">
              <w:t>; vocational education on the furnture industry exist in the region.</w:t>
            </w:r>
          </w:p>
        </w:tc>
        <w:tc>
          <w:tcPr>
            <w:tcW w:w="2268" w:type="dxa"/>
            <w:vAlign w:val="center"/>
          </w:tcPr>
          <w:p w14:paraId="5E787B09" w14:textId="400F7478" w:rsidR="00CB3437" w:rsidRPr="0027228E" w:rsidRDefault="00050E60" w:rsidP="0027228E">
            <w:pPr>
              <w:pStyle w:val="Body3"/>
            </w:pPr>
            <w:r w:rsidRPr="0027228E">
              <w:t>Applicability of research as methodology is important to be dissmeinated; the national and regionalknowledge  resources are high quality.</w:t>
            </w:r>
            <w:r w:rsidR="00E104C0" w:rsidRPr="0027228E">
              <w:t xml:space="preserve"> Additionally, the possibility to specialise on one segment of the industry, e.g. also through value chain networking patterns.</w:t>
            </w:r>
          </w:p>
        </w:tc>
      </w:tr>
    </w:tbl>
    <w:p w14:paraId="396B9756" w14:textId="77777777" w:rsidR="00AA3F6B" w:rsidRDefault="00AA3F6B" w:rsidP="00945BF2">
      <w:pPr>
        <w:pStyle w:val="Caption"/>
        <w:numPr>
          <w:ilvl w:val="0"/>
          <w:numId w:val="0"/>
        </w:numPr>
        <w:ind w:left="720"/>
      </w:pPr>
      <w:bookmarkStart w:id="49" w:name="_Ref355165334"/>
    </w:p>
    <w:p w14:paraId="1785323E" w14:textId="32028D96" w:rsidR="00851C7A" w:rsidRPr="006A4C93" w:rsidRDefault="00AA3F6B" w:rsidP="00945BF2">
      <w:pPr>
        <w:pStyle w:val="Caption"/>
        <w:numPr>
          <w:ilvl w:val="0"/>
          <w:numId w:val="0"/>
        </w:numPr>
      </w:pPr>
      <w:bookmarkStart w:id="50" w:name="_Toc526591117"/>
      <w:r>
        <w:t xml:space="preserve">Insights Table  </w:t>
      </w:r>
      <w:bookmarkEnd w:id="49"/>
      <w:bookmarkEnd w:id="50"/>
      <w:r w:rsidR="00945BF2">
        <w:t>4</w:t>
      </w:r>
    </w:p>
    <w:p w14:paraId="4C054531" w14:textId="243836AD" w:rsidR="00851C7A" w:rsidRPr="006A4C93" w:rsidRDefault="00CD65C1" w:rsidP="0027228E">
      <w:pPr>
        <w:pStyle w:val="ListParagraph"/>
        <w:ind w:left="567"/>
      </w:pPr>
      <w:r w:rsidRPr="006A4C93">
        <w:t>All regions</w:t>
      </w:r>
      <w:r w:rsidR="00A35822" w:rsidRPr="006A4C93">
        <w:t xml:space="preserve"> </w:t>
      </w:r>
      <w:r w:rsidR="00873C83" w:rsidRPr="006A4C93">
        <w:t xml:space="preserve">have </w:t>
      </w:r>
      <w:r w:rsidR="00A35822" w:rsidRPr="006A4C93">
        <w:t>good knowle</w:t>
      </w:r>
      <w:r w:rsidR="00851C7A" w:rsidRPr="006A4C93">
        <w:t>d</w:t>
      </w:r>
      <w:r w:rsidR="00A35822" w:rsidRPr="006A4C93">
        <w:t>g</w:t>
      </w:r>
      <w:r w:rsidR="00851C7A" w:rsidRPr="006A4C93">
        <w:t xml:space="preserve">e bases at </w:t>
      </w:r>
      <w:r w:rsidR="00B30A2F" w:rsidRPr="006A4C93">
        <w:t>regional and/ or national level or both</w:t>
      </w:r>
      <w:r w:rsidR="00873C83" w:rsidRPr="006A4C93">
        <w:t xml:space="preserve">; </w:t>
      </w:r>
      <w:r w:rsidRPr="006A4C93">
        <w:t xml:space="preserve">but </w:t>
      </w:r>
      <w:r w:rsidR="00B30A2F" w:rsidRPr="006A4C93">
        <w:t xml:space="preserve">not always in the exact specialisation segment </w:t>
      </w:r>
      <w:r w:rsidRPr="006A4C93">
        <w:t xml:space="preserve">foreseen in </w:t>
      </w:r>
      <w:r w:rsidR="00B30A2F" w:rsidRPr="006A4C93">
        <w:t xml:space="preserve">the project. Therefore, when </w:t>
      </w:r>
      <w:r w:rsidR="00851C7A" w:rsidRPr="006A4C93">
        <w:t>projects</w:t>
      </w:r>
      <w:r w:rsidR="006617CC" w:rsidRPr="006A4C93">
        <w:t xml:space="preserve"> improving technological connectivity</w:t>
      </w:r>
      <w:r w:rsidR="00B30A2F" w:rsidRPr="006A4C93">
        <w:t xml:space="preserve"> are planned, they should be encouraged to include </w:t>
      </w:r>
      <w:r w:rsidR="00851C7A" w:rsidRPr="006A4C93">
        <w:t>actors from the regions’ knowledge bases</w:t>
      </w:r>
      <w:r w:rsidR="006617CC" w:rsidRPr="006A4C93">
        <w:t xml:space="preserve"> when relevant</w:t>
      </w:r>
      <w:r w:rsidR="00B30A2F" w:rsidRPr="006A4C93">
        <w:t xml:space="preserve">. </w:t>
      </w:r>
    </w:p>
    <w:p w14:paraId="5AFCB6D9" w14:textId="340B4703" w:rsidR="00A25D45" w:rsidRPr="006A4C93" w:rsidRDefault="00851C7A" w:rsidP="0027228E">
      <w:pPr>
        <w:pStyle w:val="ListParagraph"/>
        <w:ind w:left="567"/>
      </w:pPr>
      <w:r w:rsidRPr="006A4C93">
        <w:t>Sometimes very specialised</w:t>
      </w:r>
      <w:r w:rsidR="00A35822" w:rsidRPr="006A4C93">
        <w:t xml:space="preserve">, or advanced  / state of the art types </w:t>
      </w:r>
      <w:r w:rsidRPr="006A4C93">
        <w:t xml:space="preserve">of knowledge </w:t>
      </w:r>
      <w:r w:rsidR="00A35822" w:rsidRPr="006A4C93">
        <w:t xml:space="preserve">and research </w:t>
      </w:r>
      <w:r w:rsidRPr="006A4C93">
        <w:t>a</w:t>
      </w:r>
      <w:r w:rsidR="00EA0666" w:rsidRPr="006A4C93">
        <w:t>r</w:t>
      </w:r>
      <w:r w:rsidRPr="006A4C93">
        <w:t>e missing.</w:t>
      </w:r>
      <w:r w:rsidR="00EA0666" w:rsidRPr="006A4C93">
        <w:t xml:space="preserve"> This is taken into account when discusisng interregional connectivity options.</w:t>
      </w:r>
      <w:r w:rsidR="00B30A2F" w:rsidRPr="006A4C93">
        <w:t xml:space="preserve"> </w:t>
      </w:r>
    </w:p>
    <w:p w14:paraId="4EDA0CC6" w14:textId="6845E252" w:rsidR="00851C7A" w:rsidRPr="006A4C93" w:rsidRDefault="00851C7A" w:rsidP="0027228E">
      <w:pPr>
        <w:pStyle w:val="ListParagraph"/>
        <w:ind w:left="567"/>
      </w:pPr>
      <w:r w:rsidRPr="006A4C93">
        <w:t>Research infrastr</w:t>
      </w:r>
      <w:r w:rsidR="008D57D5" w:rsidRPr="006A4C93">
        <w:t>u</w:t>
      </w:r>
      <w:r w:rsidRPr="006A4C93">
        <w:t>c</w:t>
      </w:r>
      <w:r w:rsidR="00D841FA" w:rsidRPr="006A4C93">
        <w:t>t</w:t>
      </w:r>
      <w:r w:rsidRPr="006A4C93">
        <w:t>u</w:t>
      </w:r>
      <w:r w:rsidR="00D841FA" w:rsidRPr="006A4C93">
        <w:t xml:space="preserve">res </w:t>
      </w:r>
      <w:r w:rsidRPr="006A4C93">
        <w:t>are not as widely present as knowledge bases.</w:t>
      </w:r>
      <w:r w:rsidR="00EA0666" w:rsidRPr="006A4C93">
        <w:t xml:space="preserve"> This is “natural” in a sense. Bec</w:t>
      </w:r>
      <w:r w:rsidR="00D841FA" w:rsidRPr="006A4C93">
        <w:t>ause advanced research infrastructures cost a lot while continuously evolving</w:t>
      </w:r>
      <w:r w:rsidR="00EA0666" w:rsidRPr="006A4C93">
        <w:t xml:space="preserve"> towards new soluti</w:t>
      </w:r>
      <w:r w:rsidR="00D841FA" w:rsidRPr="006A4C93">
        <w:t>ons and servic</w:t>
      </w:r>
      <w:r w:rsidR="00EA0666" w:rsidRPr="006A4C93">
        <w:t>es, it i</w:t>
      </w:r>
      <w:r w:rsidR="00D841FA" w:rsidRPr="006A4C93">
        <w:t>s not possible or even reasonable to try</w:t>
      </w:r>
      <w:r w:rsidR="00EA0666" w:rsidRPr="006A4C93">
        <w:t xml:space="preserve"> </w:t>
      </w:r>
      <w:r w:rsidR="00D841FA" w:rsidRPr="006A4C93">
        <w:t>replicating state of the art infrastr</w:t>
      </w:r>
      <w:r w:rsidR="00EA0666" w:rsidRPr="006A4C93">
        <w:t>u</w:t>
      </w:r>
      <w:r w:rsidR="00D841FA" w:rsidRPr="006A4C93">
        <w:t>c</w:t>
      </w:r>
      <w:r w:rsidR="00EA0666" w:rsidRPr="006A4C93">
        <w:t xml:space="preserve">tures in each and every region. </w:t>
      </w:r>
      <w:r w:rsidR="00D841FA" w:rsidRPr="006A4C93">
        <w:t xml:space="preserve">Thus, interregional technological connectivity appears to be a structural rather than “just” </w:t>
      </w:r>
      <w:r w:rsidR="007603DA" w:rsidRPr="006A4C93">
        <w:t xml:space="preserve">a </w:t>
      </w:r>
      <w:r w:rsidR="00D841FA" w:rsidRPr="006A4C93">
        <w:t>conjectural issue of regional development.</w:t>
      </w:r>
    </w:p>
    <w:p w14:paraId="7B370BBD" w14:textId="4BB6C326" w:rsidR="00AA0254" w:rsidRPr="006A4C93" w:rsidRDefault="004D1DDA" w:rsidP="0027228E">
      <w:pPr>
        <w:pStyle w:val="ListParagraph"/>
        <w:ind w:left="567"/>
      </w:pPr>
      <w:r w:rsidRPr="006A4C93">
        <w:t>PP4 resources are sufficient</w:t>
      </w:r>
      <w:r w:rsidR="008752F4" w:rsidRPr="006A4C93">
        <w:t xml:space="preserve"> (e.g. VTT: Department of Bioeconomy; Aalto University: Department of Bioproducts and Biosystems, Department of Built Environment; University of Helsinki: Department of Food </w:t>
      </w:r>
      <w:r w:rsidR="008752F4" w:rsidRPr="006A4C93">
        <w:lastRenderedPageBreak/>
        <w:t>and Environmental Sciences, Department of Agricultural Sciences, Department of Forest Sciences, Department of Biosciences, Department of Environmental Sciences; LUKE: Boreal Green Bioeconomy, Blue Bioeconomy, Innovative Food System</w:t>
      </w:r>
      <w:r w:rsidRPr="006A4C93">
        <w:t>) for the possible cooperations.</w:t>
      </w:r>
    </w:p>
    <w:p w14:paraId="4DCAF99E" w14:textId="354FDBCD" w:rsidR="00851C7A" w:rsidRPr="006A4C93" w:rsidRDefault="00851C7A" w:rsidP="0027228E">
      <w:pPr>
        <w:pStyle w:val="ListParagraph"/>
        <w:ind w:left="567"/>
      </w:pPr>
      <w:r w:rsidRPr="006A4C93">
        <w:t>Cross cutting issue</w:t>
      </w:r>
      <w:r w:rsidR="00127F8C" w:rsidRPr="006A4C93">
        <w:t xml:space="preserve"> (for most of the regions)</w:t>
      </w:r>
      <w:r w:rsidRPr="006A4C93">
        <w:t>: the interaction between knowledge &amp; research communities with the economy; how to “articulate the tiple helix dialogues”.</w:t>
      </w:r>
    </w:p>
    <w:p w14:paraId="28D81B6E" w14:textId="673CCF1B" w:rsidR="0069380F" w:rsidRPr="006A4C93" w:rsidRDefault="00D463A1" w:rsidP="00D463A1">
      <w:pPr>
        <w:pStyle w:val="Heading2"/>
      </w:pPr>
      <w:bookmarkStart w:id="51" w:name="_Toc526593124"/>
      <w:r>
        <w:t>T</w:t>
      </w:r>
      <w:r w:rsidR="00E44893" w:rsidRPr="006A4C93">
        <w:t>he function of the regional triple helix</w:t>
      </w:r>
      <w:bookmarkEnd w:id="51"/>
      <w:r w:rsidR="0069380F" w:rsidRPr="006A4C93">
        <w:t xml:space="preserve"> </w:t>
      </w:r>
    </w:p>
    <w:p w14:paraId="0B3A47CD" w14:textId="77777777" w:rsidR="007C6B88" w:rsidRPr="006A4C93" w:rsidRDefault="009F0364" w:rsidP="00837006">
      <w:pPr>
        <w:shd w:val="clear" w:color="auto" w:fill="FFFFFF" w:themeFill="background1"/>
      </w:pPr>
      <w:r w:rsidRPr="006A4C93">
        <w:t xml:space="preserve">The </w:t>
      </w:r>
      <w:r w:rsidR="000F21E2" w:rsidRPr="006A4C93">
        <w:t>‘</w:t>
      </w:r>
      <w:r w:rsidRPr="006A4C93">
        <w:t>methodological base</w:t>
      </w:r>
      <w:r w:rsidR="000F21E2" w:rsidRPr="006A4C93">
        <w:t>’</w:t>
      </w:r>
      <w:r w:rsidRPr="006A4C93">
        <w:t xml:space="preserve"> of the regions is about connectivity practices and the overall t</w:t>
      </w:r>
      <w:r w:rsidR="00E40CCE" w:rsidRPr="006A4C93">
        <w:t>r</w:t>
      </w:r>
      <w:r w:rsidRPr="006A4C93">
        <w:t>i</w:t>
      </w:r>
      <w:r w:rsidR="00E40CCE" w:rsidRPr="006A4C93">
        <w:t>ple helix function</w:t>
      </w:r>
      <w:r w:rsidR="00F021E7" w:rsidRPr="006A4C93">
        <w:t xml:space="preserve">. </w:t>
      </w:r>
      <w:r w:rsidR="007C6B88" w:rsidRPr="006A4C93">
        <w:t xml:space="preserve">It corresponds, to the three good practice theme of the BRIDGES project (GP theme 1 industry-led centres of competence, GP theme 2 Research-to-indutry, GP theme 3 Multilevel synergies. </w:t>
      </w:r>
    </w:p>
    <w:p w14:paraId="6E60FC49" w14:textId="5CD32579" w:rsidR="00F47F6E" w:rsidRPr="006A4C93" w:rsidRDefault="00F021E7" w:rsidP="00837006">
      <w:pPr>
        <w:shd w:val="clear" w:color="auto" w:fill="FFFFFF" w:themeFill="background1"/>
      </w:pPr>
      <w:r w:rsidRPr="006A4C93">
        <w:t>The</w:t>
      </w:r>
      <w:r w:rsidR="007C6B88" w:rsidRPr="006A4C93">
        <w:t xml:space="preserve"> methodoligcal bases of the regions are</w:t>
      </w:r>
      <w:r w:rsidR="00E40CCE" w:rsidRPr="006A4C93">
        <w:t xml:space="preserve"> mapped </w:t>
      </w:r>
      <w:r w:rsidR="007C6B88" w:rsidRPr="006A4C93">
        <w:t xml:space="preserve">in terms of types of activities, content of connectivity actions and they are understood </w:t>
      </w:r>
      <w:r w:rsidR="00E40CCE" w:rsidRPr="006A4C93">
        <w:t xml:space="preserve">as part of the enabling factors of the context of the RIS3 sub industries </w:t>
      </w:r>
      <w:r w:rsidRPr="006A4C93">
        <w:t xml:space="preserve">included in </w:t>
      </w:r>
      <w:r w:rsidR="00E40CCE" w:rsidRPr="006A4C93">
        <w:t xml:space="preserve">the innovation maps. </w:t>
      </w:r>
      <w:r w:rsidR="007C6B88" w:rsidRPr="006A4C93">
        <w:t xml:space="preserve">They are assessed </w:t>
      </w:r>
      <w:r w:rsidR="009F0364" w:rsidRPr="006A4C93">
        <w:t xml:space="preserve">in terms of </w:t>
      </w:r>
      <w:r w:rsidR="00F47F6E" w:rsidRPr="006A4C93">
        <w:t>eight types of inte</w:t>
      </w:r>
      <w:r w:rsidR="009F0364" w:rsidRPr="006A4C93">
        <w:t>ractions</w:t>
      </w:r>
      <w:r w:rsidR="007C6B88" w:rsidRPr="006A4C93">
        <w:t xml:space="preserve"> (interactions)</w:t>
      </w:r>
      <w:r w:rsidR="009F0364" w:rsidRPr="006A4C93">
        <w:t xml:space="preserve">, </w:t>
      </w:r>
      <w:r w:rsidR="007C6B88" w:rsidRPr="006A4C93">
        <w:t xml:space="preserve">some of them coming from regional innovation systems literature, some from epeiria (through the early stages of the project), some from  recent policy developments: </w:t>
      </w:r>
      <w:r w:rsidR="00BD6E73" w:rsidRPr="006A4C93">
        <w:t>1:</w:t>
      </w:r>
      <w:r w:rsidR="009F0364" w:rsidRPr="006A4C93">
        <w:t xml:space="preserve"> Programme</w:t>
      </w:r>
      <w:r w:rsidR="00F47F6E" w:rsidRPr="006A4C93">
        <w:t>–based</w:t>
      </w:r>
      <w:r w:rsidR="009F0364" w:rsidRPr="006A4C93">
        <w:t xml:space="preserve"> (strate</w:t>
      </w:r>
      <w:r w:rsidR="007A3019" w:rsidRPr="006A4C93">
        <w:t>gic</w:t>
      </w:r>
      <w:r w:rsidR="00127F8C" w:rsidRPr="006A4C93">
        <w:t>,</w:t>
      </w:r>
      <w:r w:rsidR="007A3019" w:rsidRPr="006A4C93">
        <w:t xml:space="preserve"> systemic </w:t>
      </w:r>
      <w:r w:rsidR="00127F8C" w:rsidRPr="006A4C93">
        <w:t xml:space="preserve">type </w:t>
      </w:r>
      <w:r w:rsidR="007A3019" w:rsidRPr="006A4C93">
        <w:t>of</w:t>
      </w:r>
      <w:r w:rsidR="00127F8C" w:rsidRPr="006A4C93">
        <w:t xml:space="preserve"> interactions</w:t>
      </w:r>
      <w:r w:rsidR="009F0364" w:rsidRPr="006A4C93">
        <w:t>)</w:t>
      </w:r>
      <w:r w:rsidR="00F47F6E" w:rsidRPr="006A4C93">
        <w:t>; 2: Access to research servic</w:t>
      </w:r>
      <w:r w:rsidR="00BD6E73" w:rsidRPr="006A4C93">
        <w:t xml:space="preserve">es; 3: KET applications; 4: TRL </w:t>
      </w:r>
      <w:r w:rsidR="00F47F6E" w:rsidRPr="006A4C93">
        <w:t>improvement</w:t>
      </w:r>
      <w:r w:rsidR="00FF2EFF" w:rsidRPr="006A4C93">
        <w:t xml:space="preserve"> / Certifications</w:t>
      </w:r>
      <w:r w:rsidR="00F47F6E" w:rsidRPr="006A4C93">
        <w:t>; 5: Innovation management chain (5.1 R&amp;D council (from idea to technol</w:t>
      </w:r>
      <w:r w:rsidR="00127F8C" w:rsidRPr="006A4C93">
        <w:t>o</w:t>
      </w:r>
      <w:r w:rsidR="00F47F6E" w:rsidRPr="006A4C93">
        <w:t xml:space="preserve">gical research concept), 5.2 Proof of concept, 5.3 Prototype, 5.4 Scaling up, 5.5  Business plan, 5.6 Branded marketing); 6: </w:t>
      </w:r>
      <w:r w:rsidR="00FF2EFF" w:rsidRPr="006A4C93">
        <w:t>Availability of c</w:t>
      </w:r>
      <w:r w:rsidR="00F47F6E" w:rsidRPr="006A4C93">
        <w:t>onstant renewal services (upstreaming and downstreaming, Annex I of the CPR</w:t>
      </w:r>
      <w:r w:rsidR="000F21E2" w:rsidRPr="006A4C93">
        <w:rPr>
          <w:rStyle w:val="FootnoteReference"/>
          <w:color w:val="021B2B" w:themeColor="background2" w:themeShade="1A"/>
        </w:rPr>
        <w:footnoteReference w:id="19"/>
      </w:r>
      <w:r w:rsidR="00127F8C" w:rsidRPr="006A4C93">
        <w:t>); 7: C</w:t>
      </w:r>
      <w:r w:rsidR="00F47F6E" w:rsidRPr="006A4C93">
        <w:t>ommercialisation of research; 8: Facilitation services for direct research to business cooperations</w:t>
      </w:r>
      <w:r w:rsidR="00372A09" w:rsidRPr="006A4C93">
        <w:t xml:space="preserve"> (e.g. H2020 projects…).</w:t>
      </w:r>
      <w:r w:rsidRPr="006A4C93">
        <w:t xml:space="preserve">  </w:t>
      </w:r>
    </w:p>
    <w:p w14:paraId="4877987C" w14:textId="393FECFC" w:rsidR="00372A09" w:rsidRPr="006A4C93" w:rsidRDefault="00372A09" w:rsidP="00837006">
      <w:pPr>
        <w:pStyle w:val="ListParagraph"/>
        <w:shd w:val="clear" w:color="auto" w:fill="FFFFFF" w:themeFill="background1"/>
      </w:pPr>
      <w:r w:rsidRPr="006A4C93">
        <w:t xml:space="preserve">Type 1 of </w:t>
      </w:r>
      <w:r w:rsidR="00BD6E73" w:rsidRPr="006A4C93">
        <w:t xml:space="preserve">interactions </w:t>
      </w:r>
      <w:r w:rsidRPr="006A4C93">
        <w:t>was not foreseen, their relevance resulted from the policy review discussions with the partners early in the</w:t>
      </w:r>
      <w:r w:rsidR="00BD6E73" w:rsidRPr="006A4C93">
        <w:t xml:space="preserve"> project (February – June 2016) and cofnirmed through the innovation map analysis and discussion with each partner.</w:t>
      </w:r>
    </w:p>
    <w:p w14:paraId="628AA011" w14:textId="4F3C9161" w:rsidR="00372A09" w:rsidRPr="006A4C93" w:rsidRDefault="00127F8C" w:rsidP="00837006">
      <w:pPr>
        <w:pStyle w:val="ListParagraph"/>
        <w:shd w:val="clear" w:color="auto" w:fill="FFFFFF" w:themeFill="background1"/>
      </w:pPr>
      <w:r w:rsidRPr="006A4C93">
        <w:t>Types 2 and 5 are innovation management activities, closely linked to research infrastrcutures, research servces and industrial expertise</w:t>
      </w:r>
      <w:r w:rsidR="00BD6E73" w:rsidRPr="006A4C93">
        <w:t>, basically serving knowledge and technology transfer</w:t>
      </w:r>
      <w:r w:rsidRPr="006A4C93">
        <w:t>.</w:t>
      </w:r>
      <w:r w:rsidR="00BD6E73" w:rsidRPr="006A4C93">
        <w:t xml:space="preserve"> A comparison between the RIS and the European Service Innovation Scoreboard (ESIS) shows that less innovative regions would perform better if service innovation activities would be better captured</w:t>
      </w:r>
      <w:r w:rsidR="00C05D1A" w:rsidRPr="006A4C93">
        <w:t>.</w:t>
      </w:r>
      <w:r w:rsidR="00BD6E73" w:rsidRPr="006A4C93">
        <w:rPr>
          <w:rStyle w:val="FootnoteReference"/>
          <w:color w:val="021B2B" w:themeColor="background2" w:themeShade="1A"/>
        </w:rPr>
        <w:footnoteReference w:id="20"/>
      </w:r>
    </w:p>
    <w:p w14:paraId="458B4758" w14:textId="77777777" w:rsidR="00127F8C" w:rsidRPr="006A4C93" w:rsidRDefault="00127F8C" w:rsidP="00837006">
      <w:pPr>
        <w:pStyle w:val="ListParagraph"/>
        <w:shd w:val="clear" w:color="auto" w:fill="FFFFFF" w:themeFill="background1"/>
      </w:pPr>
      <w:r w:rsidRPr="006A4C93">
        <w:t>Types 3 and 4 are ‘mainstream’ knowledge intensive business services (KIBS) closely linked to new knowledge and research, as well as industrial specialisation expertise.</w:t>
      </w:r>
    </w:p>
    <w:p w14:paraId="7866C416" w14:textId="7CA2786A" w:rsidR="00EE5267" w:rsidRPr="006A4C93" w:rsidRDefault="000F21E2" w:rsidP="00837006">
      <w:pPr>
        <w:pStyle w:val="ListParagraph"/>
        <w:shd w:val="clear" w:color="auto" w:fill="FFFFFF" w:themeFill="background1"/>
      </w:pPr>
      <w:r w:rsidRPr="006A4C93">
        <w:t xml:space="preserve">Type 6 is a new category, coming from </w:t>
      </w:r>
      <w:r w:rsidR="00EE5267" w:rsidRPr="006A4C93">
        <w:t xml:space="preserve">Annex I of </w:t>
      </w:r>
      <w:r w:rsidRPr="006A4C93">
        <w:t>the CPR provisions</w:t>
      </w:r>
      <w:r w:rsidR="00EE5267" w:rsidRPr="006A4C93">
        <w:t xml:space="preserve">. It is propoing ways to bridge cohesion and innovation funds through concrete actions. </w:t>
      </w:r>
      <w:r w:rsidR="0081119D" w:rsidRPr="006A4C93">
        <w:t xml:space="preserve">‘Upstreaming’ actions refer to initwitives, </w:t>
      </w:r>
      <w:r w:rsidR="0081119D" w:rsidRPr="006A4C93">
        <w:lastRenderedPageBreak/>
        <w:t xml:space="preserve">projects, preparing businesses and regions to join H2020 proposals; ‘donwstreaning’ actions refer to taking results from H2020 projects, adapting and adopting them regionally. </w:t>
      </w:r>
      <w:r w:rsidR="00EE5267" w:rsidRPr="006A4C93">
        <w:t xml:space="preserve">None of the regions (not even </w:t>
      </w:r>
      <w:r w:rsidR="0081119D" w:rsidRPr="006A4C93">
        <w:t>the innovaiton advanced one) have</w:t>
      </w:r>
      <w:r w:rsidR="00EE5267" w:rsidRPr="006A4C93">
        <w:t xml:space="preserve"> adopted yet this tool. </w:t>
      </w:r>
    </w:p>
    <w:p w14:paraId="107F1201" w14:textId="7E8D8087" w:rsidR="00372A09" w:rsidRPr="006A4C93" w:rsidRDefault="00EE5267" w:rsidP="00837006">
      <w:pPr>
        <w:pStyle w:val="ListParagraph"/>
        <w:shd w:val="clear" w:color="auto" w:fill="FFFFFF" w:themeFill="background1"/>
      </w:pPr>
      <w:r w:rsidRPr="006A4C93">
        <w:t xml:space="preserve">Type 7 Commercialisation of research is an obvious research-to-business activity. </w:t>
      </w:r>
      <w:r w:rsidR="00873C83" w:rsidRPr="006A4C93">
        <w:t>In this case, the interest is more in measures promoting</w:t>
      </w:r>
      <w:r w:rsidRPr="006A4C93">
        <w:t xml:space="preserve"> </w:t>
      </w:r>
      <w:r w:rsidR="00AA0334" w:rsidRPr="006A4C93">
        <w:t>this activity across the EU. On</w:t>
      </w:r>
      <w:r w:rsidRPr="006A4C93">
        <w:t>e</w:t>
      </w:r>
      <w:r w:rsidR="00AA0334" w:rsidRPr="006A4C93">
        <w:t xml:space="preserve"> of the </w:t>
      </w:r>
      <w:r w:rsidR="0081119D" w:rsidRPr="006A4C93">
        <w:t xml:space="preserve">BRIDGES project </w:t>
      </w:r>
      <w:r w:rsidR="00AA0334" w:rsidRPr="006A4C93">
        <w:t>partners pro</w:t>
      </w:r>
      <w:r w:rsidRPr="006A4C93">
        <w:t>poses such a good practice</w:t>
      </w:r>
      <w:r w:rsidR="00AA0334" w:rsidRPr="006A4C93">
        <w:t xml:space="preserve"> and </w:t>
      </w:r>
      <w:r w:rsidRPr="006A4C93">
        <w:t xml:space="preserve">which is an original initiative of the German Governement, </w:t>
      </w:r>
      <w:r w:rsidR="00AA0334" w:rsidRPr="006A4C93">
        <w:t>organ</w:t>
      </w:r>
      <w:r w:rsidR="0081119D" w:rsidRPr="006A4C93">
        <w:t>is</w:t>
      </w:r>
      <w:r w:rsidR="00AA0334" w:rsidRPr="006A4C93">
        <w:t>ed at bilateral base</w:t>
      </w:r>
      <w:r w:rsidR="0081119D" w:rsidRPr="006A4C93">
        <w:t xml:space="preserve">, and one </w:t>
      </w:r>
      <w:r w:rsidR="00AA0334" w:rsidRPr="006A4C93">
        <w:t>of the coop</w:t>
      </w:r>
      <w:r w:rsidR="0081119D" w:rsidRPr="006A4C93">
        <w:t>eration chemes is</w:t>
      </w:r>
      <w:r w:rsidR="00AA0334" w:rsidRPr="006A4C93">
        <w:t xml:space="preserve"> Germany/Finland. </w:t>
      </w:r>
    </w:p>
    <w:p w14:paraId="0925A065" w14:textId="7DE9B33A" w:rsidR="00372A09" w:rsidRDefault="000843AF" w:rsidP="00837006">
      <w:pPr>
        <w:pStyle w:val="ListParagraph"/>
        <w:shd w:val="clear" w:color="auto" w:fill="FFFFFF" w:themeFill="background1"/>
      </w:pPr>
      <w:r w:rsidRPr="006A4C93">
        <w:t>Type 8 is about innovation support services, “matching”  research/ universities/ businesses across the EU towards interregional project cooperation (H2020, and so on).</w:t>
      </w:r>
      <w:r w:rsidR="006639EA" w:rsidRPr="006A4C93">
        <w:t xml:space="preserve"> There are many networks across the EU trying to support such efforts. However, they are mostly demand –</w:t>
      </w:r>
      <w:r w:rsidR="003452DD" w:rsidRPr="006A4C93">
        <w:t>based, i.e. weaker regions miss opportunities and research actors miss opportunities from emergin from weaker regions.</w:t>
      </w:r>
      <w:r w:rsidR="005525B2" w:rsidRPr="006A4C93">
        <w:t xml:space="preserve"> Consideration of Ty</w:t>
      </w:r>
      <w:r w:rsidR="003452DD" w:rsidRPr="006A4C93">
        <w:t>p</w:t>
      </w:r>
      <w:r w:rsidR="005525B2" w:rsidRPr="006A4C93">
        <w:t xml:space="preserve">e 8 </w:t>
      </w:r>
      <w:r w:rsidR="003452DD" w:rsidRPr="006A4C93">
        <w:t>cooperation</w:t>
      </w:r>
      <w:r w:rsidR="005525B2" w:rsidRPr="006A4C93">
        <w:t>s</w:t>
      </w:r>
      <w:r w:rsidR="003452DD" w:rsidRPr="006A4C93">
        <w:t xml:space="preserve"> was the starting point of the BRIDGES project.</w:t>
      </w:r>
    </w:p>
    <w:p w14:paraId="388E6632" w14:textId="7400779A" w:rsidR="0027228E" w:rsidRPr="006A4C93" w:rsidRDefault="0027228E" w:rsidP="00175535">
      <w:pPr>
        <w:pStyle w:val="Caption"/>
        <w:numPr>
          <w:ilvl w:val="0"/>
          <w:numId w:val="0"/>
        </w:numPr>
        <w:ind w:left="720"/>
      </w:pPr>
      <w:bookmarkStart w:id="52" w:name="_Toc502665498"/>
      <w:bookmarkStart w:id="53" w:name="_Ref502694990"/>
      <w:bookmarkStart w:id="54" w:name="_Toc526593327"/>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5</w:t>
      </w:r>
      <w:r w:rsidR="00F01E0F">
        <w:rPr>
          <w:noProof/>
        </w:rPr>
        <w:fldChar w:fldCharType="end"/>
      </w:r>
      <w:r>
        <w:t xml:space="preserve"> </w:t>
      </w:r>
      <w:r w:rsidRPr="006A4C93">
        <w:t>Function of the regional triple helix</w:t>
      </w:r>
      <w:bookmarkEnd w:id="52"/>
      <w:bookmarkEnd w:id="53"/>
      <w:bookmarkEnd w:id="54"/>
    </w:p>
    <w:tbl>
      <w:tblPr>
        <w:tblW w:w="8680" w:type="dxa"/>
        <w:tblInd w:w="392" w:type="dxa"/>
        <w:tblLayout w:type="fixed"/>
        <w:tblLook w:val="04A0" w:firstRow="1" w:lastRow="0" w:firstColumn="1" w:lastColumn="0" w:noHBand="0" w:noVBand="1"/>
      </w:tblPr>
      <w:tblGrid>
        <w:gridCol w:w="1558"/>
        <w:gridCol w:w="4679"/>
        <w:gridCol w:w="24"/>
        <w:gridCol w:w="2419"/>
      </w:tblGrid>
      <w:tr w:rsidR="0027228E" w:rsidRPr="00D463A1" w14:paraId="2F1C1D5C" w14:textId="77777777" w:rsidTr="003D4478">
        <w:trPr>
          <w:trHeight w:val="330"/>
          <w:tblHeader/>
        </w:trPr>
        <w:tc>
          <w:tcPr>
            <w:tcW w:w="1558" w:type="dxa"/>
            <w:tcBorders>
              <w:top w:val="single" w:sz="2" w:space="0" w:color="000A11"/>
              <w:left w:val="single" w:sz="2" w:space="0" w:color="000A11"/>
              <w:bottom w:val="dotted" w:sz="2" w:space="0" w:color="F9D98C" w:themeColor="accent5" w:themeTint="99"/>
              <w:right w:val="single" w:sz="2" w:space="0" w:color="7F7F7F" w:themeColor="text1" w:themeTint="80"/>
            </w:tcBorders>
            <w:shd w:val="clear" w:color="auto" w:fill="F2F2F2" w:themeFill="background1" w:themeFillShade="F2"/>
          </w:tcPr>
          <w:p w14:paraId="240F7273" w14:textId="3BC0281C" w:rsidR="00B72FF2" w:rsidRPr="003D4478" w:rsidRDefault="00B72FF2" w:rsidP="00D463A1">
            <w:pPr>
              <w:spacing w:line="276" w:lineRule="auto"/>
              <w:rPr>
                <w:b/>
              </w:rPr>
            </w:pPr>
            <w:r w:rsidRPr="003D4478">
              <w:rPr>
                <w:b/>
              </w:rPr>
              <w:t>Region</w:t>
            </w:r>
          </w:p>
        </w:tc>
        <w:tc>
          <w:tcPr>
            <w:tcW w:w="4703" w:type="dxa"/>
            <w:gridSpan w:val="2"/>
            <w:tcBorders>
              <w:top w:val="single" w:sz="2" w:space="0" w:color="000A11"/>
              <w:left w:val="single" w:sz="2" w:space="0" w:color="7F7F7F" w:themeColor="text1" w:themeTint="80"/>
              <w:bottom w:val="dotted" w:sz="2" w:space="0" w:color="F9D98C" w:themeColor="accent5" w:themeTint="99"/>
              <w:right w:val="dotted" w:sz="4" w:space="0" w:color="F9D98C" w:themeColor="accent5" w:themeTint="99"/>
            </w:tcBorders>
            <w:shd w:val="clear" w:color="auto" w:fill="F2F2F2" w:themeFill="background1" w:themeFillShade="F2"/>
          </w:tcPr>
          <w:p w14:paraId="5434E404" w14:textId="77777777" w:rsidR="00B72FF2" w:rsidRPr="003D4478" w:rsidRDefault="00B72FF2" w:rsidP="00D463A1">
            <w:pPr>
              <w:spacing w:line="276" w:lineRule="auto"/>
              <w:rPr>
                <w:b/>
              </w:rPr>
            </w:pPr>
            <w:r w:rsidRPr="003D4478">
              <w:rPr>
                <w:b/>
              </w:rPr>
              <w:t>Resources</w:t>
            </w:r>
          </w:p>
        </w:tc>
        <w:tc>
          <w:tcPr>
            <w:tcW w:w="2419" w:type="dxa"/>
            <w:tcBorders>
              <w:top w:val="single" w:sz="2" w:space="0" w:color="000A11"/>
              <w:left w:val="dotted" w:sz="4" w:space="0" w:color="F9D98C" w:themeColor="accent5" w:themeTint="99"/>
              <w:bottom w:val="dotted" w:sz="2" w:space="0" w:color="F9D98C" w:themeColor="accent5" w:themeTint="99"/>
              <w:right w:val="single" w:sz="2" w:space="0" w:color="000A11"/>
            </w:tcBorders>
            <w:shd w:val="clear" w:color="auto" w:fill="F2F2F2" w:themeFill="background1" w:themeFillShade="F2"/>
          </w:tcPr>
          <w:p w14:paraId="7FA66FCE" w14:textId="3438564C" w:rsidR="00B72FF2" w:rsidRPr="003D4478" w:rsidRDefault="00B72FF2" w:rsidP="00D463A1">
            <w:pPr>
              <w:spacing w:line="276" w:lineRule="auto"/>
              <w:rPr>
                <w:b/>
              </w:rPr>
            </w:pPr>
            <w:r w:rsidRPr="003D4478">
              <w:rPr>
                <w:b/>
              </w:rPr>
              <w:t>Comments</w:t>
            </w:r>
          </w:p>
        </w:tc>
      </w:tr>
      <w:tr w:rsidR="0027228E" w:rsidRPr="0027228E" w14:paraId="5F0FF7B9" w14:textId="77777777" w:rsidTr="003D4478">
        <w:trPr>
          <w:trHeight w:val="488"/>
        </w:trPr>
        <w:tc>
          <w:tcPr>
            <w:tcW w:w="1558" w:type="dxa"/>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649F1F12" w14:textId="77777777" w:rsidR="00B72FF2" w:rsidRPr="0027228E" w:rsidRDefault="00B72FF2" w:rsidP="003D4478">
            <w:pPr>
              <w:pStyle w:val="Heading7"/>
            </w:pPr>
            <w:r w:rsidRPr="0027228E">
              <w:t>Kainuu</w:t>
            </w:r>
          </w:p>
        </w:tc>
        <w:tc>
          <w:tcPr>
            <w:tcW w:w="4703" w:type="dxa"/>
            <w:gridSpan w:val="2"/>
            <w:tcBorders>
              <w:top w:val="dotted" w:sz="2" w:space="0" w:color="F9D98C" w:themeColor="accent5" w:themeTint="99"/>
              <w:left w:val="single" w:sz="2" w:space="0" w:color="7F7F7F" w:themeColor="text1" w:themeTint="80"/>
              <w:bottom w:val="dotted" w:sz="2" w:space="0" w:color="F9D98C" w:themeColor="accent5" w:themeTint="99"/>
              <w:right w:val="dotted" w:sz="4" w:space="0" w:color="F9D98C" w:themeColor="accent5" w:themeTint="99"/>
            </w:tcBorders>
          </w:tcPr>
          <w:p w14:paraId="46E02141" w14:textId="77777777" w:rsidR="006255E1" w:rsidRPr="0027228E" w:rsidRDefault="00B72FF2" w:rsidP="00837006">
            <w:pPr>
              <w:widowControl w:val="0"/>
              <w:shd w:val="clear" w:color="auto" w:fill="FFFFFF" w:themeFill="background1"/>
              <w:autoSpaceDE w:val="0"/>
              <w:autoSpaceDN w:val="0"/>
              <w:adjustRightInd w:val="0"/>
              <w:spacing w:before="0" w:after="240" w:line="380" w:lineRule="atLeast"/>
              <w:ind w:left="0" w:right="0"/>
              <w:jc w:val="left"/>
              <w:rPr>
                <w:rFonts w:eastAsia="HGPMinchoE"/>
                <w:b/>
                <w:bCs/>
                <w:szCs w:val="16"/>
                <w:lang w:val="en-US" w:eastAsia="fi-FI"/>
              </w:rPr>
            </w:pPr>
            <w:r w:rsidRPr="0027228E">
              <w:t xml:space="preserve"> </w:t>
            </w:r>
            <w:r w:rsidR="006255E1" w:rsidRPr="0027228E">
              <w:rPr>
                <w:rFonts w:eastAsia="HGPMinchoE"/>
                <w:b/>
                <w:bCs/>
                <w:szCs w:val="16"/>
                <w:lang w:val="en-US" w:eastAsia="fi-FI"/>
              </w:rPr>
              <w:t>Innovation services</w:t>
            </w:r>
          </w:p>
          <w:p w14:paraId="1F689175" w14:textId="77777777" w:rsidR="006255E1" w:rsidRPr="0027228E" w:rsidRDefault="006255E1" w:rsidP="003D4478">
            <w:pPr>
              <w:pStyle w:val="ListBullet2"/>
            </w:pPr>
            <w:bookmarkStart w:id="55" w:name="_Ref354989697"/>
            <w:r w:rsidRPr="0027228E">
              <w:t xml:space="preserve">Innovation services of University of Oulu </w:t>
            </w:r>
            <w:r w:rsidRPr="003D4478">
              <w:t> </w:t>
            </w:r>
            <w:bookmarkEnd w:id="55"/>
          </w:p>
          <w:p w14:paraId="09A0FCFD" w14:textId="77777777" w:rsidR="006255E1" w:rsidRPr="0027228E" w:rsidRDefault="006255E1" w:rsidP="003D4478">
            <w:pPr>
              <w:pStyle w:val="ListBullet2"/>
            </w:pPr>
            <w:r w:rsidRPr="0027228E">
              <w:t xml:space="preserve">Innovation services of University of Jyväskylä </w:t>
            </w:r>
            <w:r w:rsidRPr="003D4478">
              <w:t> </w:t>
            </w:r>
          </w:p>
          <w:p w14:paraId="00163454" w14:textId="77777777" w:rsidR="006255E1" w:rsidRPr="0027228E" w:rsidRDefault="006255E1" w:rsidP="003D4478">
            <w:pPr>
              <w:pStyle w:val="ListBullet2"/>
            </w:pPr>
            <w:r w:rsidRPr="0027228E">
              <w:t xml:space="preserve">VENTURE service of Technical research centre of Finland (VTT) </w:t>
            </w:r>
            <w:r w:rsidRPr="003D4478">
              <w:t> </w:t>
            </w:r>
          </w:p>
          <w:p w14:paraId="77C2B33D" w14:textId="77777777" w:rsidR="00A74938" w:rsidRPr="0027228E" w:rsidRDefault="006255E1" w:rsidP="003D4478">
            <w:pPr>
              <w:pStyle w:val="ListBullet2"/>
            </w:pPr>
            <w:r w:rsidRPr="0027228E">
              <w:t>Business D</w:t>
            </w:r>
            <w:r w:rsidR="00A74938" w:rsidRPr="0027228E">
              <w:t>evelopment –team of CEMIS (CBD)</w:t>
            </w:r>
          </w:p>
          <w:p w14:paraId="71F91034" w14:textId="73F3938B" w:rsidR="00B72FF2" w:rsidRPr="0027228E" w:rsidRDefault="00546EF3" w:rsidP="003D4478">
            <w:pPr>
              <w:pStyle w:val="ListBullet2"/>
            </w:pPr>
            <w:r w:rsidRPr="0027228E">
              <w:t>Kainuun Etu Oy</w:t>
            </w:r>
            <w:r w:rsidR="006255E1" w:rsidRPr="0027228E">
              <w:t>.</w:t>
            </w:r>
            <w:r w:rsidRPr="0027228E">
              <w:t xml:space="preserve"> </w:t>
            </w:r>
          </w:p>
        </w:tc>
        <w:tc>
          <w:tcPr>
            <w:tcW w:w="2419" w:type="dxa"/>
            <w:tcBorders>
              <w:top w:val="dotted" w:sz="2" w:space="0" w:color="F9D98C" w:themeColor="accent5" w:themeTint="99"/>
              <w:left w:val="dotted" w:sz="4" w:space="0" w:color="F9D98C" w:themeColor="accent5" w:themeTint="99"/>
              <w:bottom w:val="dotted" w:sz="2" w:space="0" w:color="F9D98C" w:themeColor="accent5" w:themeTint="99"/>
              <w:right w:val="single" w:sz="2" w:space="0" w:color="000A11"/>
            </w:tcBorders>
            <w:vAlign w:val="center"/>
          </w:tcPr>
          <w:p w14:paraId="24A6A790" w14:textId="6EE767B9" w:rsidR="00B72FF2" w:rsidRPr="0027228E" w:rsidRDefault="008F2280" w:rsidP="0027228E">
            <w:pPr>
              <w:pStyle w:val="Body3"/>
            </w:pPr>
            <w:r w:rsidRPr="0027228E">
              <w:t>Connectivity provisions at regional (not binding) and national levels</w:t>
            </w:r>
            <w:r w:rsidR="00E1019E" w:rsidRPr="0027228E">
              <w:t xml:space="preserve"> available, and there is a tr</w:t>
            </w:r>
            <w:r w:rsidR="00C930C7" w:rsidRPr="0027228E">
              <w:t>end for increasing interactions and the possibility for them to be instituionalied.</w:t>
            </w:r>
          </w:p>
          <w:p w14:paraId="5F05911B" w14:textId="77777777" w:rsidR="000F3BEB" w:rsidRPr="0027228E" w:rsidRDefault="000F3BEB" w:rsidP="0027228E">
            <w:pPr>
              <w:pStyle w:val="Body3"/>
            </w:pPr>
          </w:p>
          <w:p w14:paraId="739CB111" w14:textId="5D41C778" w:rsidR="000F3BEB" w:rsidRPr="0027228E" w:rsidRDefault="000F3BEB" w:rsidP="0027228E">
            <w:pPr>
              <w:pStyle w:val="Body3"/>
            </w:pPr>
            <w:r w:rsidRPr="0027228E">
              <w:t>Good practice  (Kantola) on knowledge-based industry renewal available.</w:t>
            </w:r>
          </w:p>
          <w:p w14:paraId="1588AECF" w14:textId="77777777" w:rsidR="00873C83" w:rsidRPr="0027228E" w:rsidRDefault="00873C83" w:rsidP="0027228E">
            <w:pPr>
              <w:pStyle w:val="Body3"/>
            </w:pPr>
          </w:p>
          <w:p w14:paraId="37A7071A" w14:textId="5EAC2F14" w:rsidR="00873C83" w:rsidRPr="0027228E" w:rsidRDefault="00873C83" w:rsidP="0027228E">
            <w:pPr>
              <w:pStyle w:val="Body3"/>
            </w:pPr>
            <w:r w:rsidRPr="0027228E">
              <w:t>Good practice (ZIM) on cross border internationalisation of research.</w:t>
            </w:r>
          </w:p>
          <w:p w14:paraId="625861E4" w14:textId="77777777" w:rsidR="00E1019E" w:rsidRPr="0027228E" w:rsidRDefault="00E1019E" w:rsidP="0027228E">
            <w:pPr>
              <w:pStyle w:val="Body3"/>
            </w:pPr>
          </w:p>
          <w:p w14:paraId="446F79EF" w14:textId="3094DFBA" w:rsidR="00C930C7" w:rsidRPr="0027228E" w:rsidRDefault="006F0367" w:rsidP="0027228E">
            <w:pPr>
              <w:pStyle w:val="Body3"/>
            </w:pPr>
            <w:r w:rsidRPr="0027228E">
              <w:t>Need to qualify, speci</w:t>
            </w:r>
            <w:r w:rsidR="00A74938" w:rsidRPr="0027228E">
              <w:t>a</w:t>
            </w:r>
            <w:r w:rsidRPr="0027228E">
              <w:t>l</w:t>
            </w:r>
            <w:r w:rsidR="00A74938" w:rsidRPr="0027228E">
              <w:t>ise and systematise   innovation services.</w:t>
            </w:r>
          </w:p>
          <w:p w14:paraId="4777EEC6" w14:textId="3633881A" w:rsidR="008F2280" w:rsidRPr="0027228E" w:rsidRDefault="008F2280" w:rsidP="0027228E">
            <w:pPr>
              <w:pStyle w:val="Body3"/>
            </w:pPr>
          </w:p>
        </w:tc>
      </w:tr>
      <w:tr w:rsidR="0027228E" w:rsidRPr="0027228E" w14:paraId="3B752380" w14:textId="77777777" w:rsidTr="003D4478">
        <w:trPr>
          <w:trHeight w:val="192"/>
        </w:trPr>
        <w:tc>
          <w:tcPr>
            <w:tcW w:w="1558" w:type="dxa"/>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029F4D3A" w14:textId="036330D6" w:rsidR="00B72FF2" w:rsidRPr="0027228E" w:rsidRDefault="00B72FF2" w:rsidP="003D4478">
            <w:pPr>
              <w:pStyle w:val="Heading7"/>
            </w:pPr>
            <w:r w:rsidRPr="0027228E">
              <w:t>Lubelskie</w:t>
            </w:r>
          </w:p>
        </w:tc>
        <w:tc>
          <w:tcPr>
            <w:tcW w:w="4703" w:type="dxa"/>
            <w:gridSpan w:val="2"/>
            <w:tcBorders>
              <w:top w:val="dotted" w:sz="2" w:space="0" w:color="F9D98C" w:themeColor="accent5" w:themeTint="99"/>
              <w:left w:val="single" w:sz="2" w:space="0" w:color="7F7F7F" w:themeColor="text1" w:themeTint="80"/>
              <w:bottom w:val="dotted" w:sz="2" w:space="0" w:color="F9D98C" w:themeColor="accent5" w:themeTint="99"/>
              <w:right w:val="dotted" w:sz="4" w:space="0" w:color="F9D98C" w:themeColor="accent5" w:themeTint="99"/>
            </w:tcBorders>
          </w:tcPr>
          <w:p w14:paraId="59AC8AD0" w14:textId="77777777" w:rsidR="00EA4461" w:rsidRPr="0027228E" w:rsidRDefault="00B72FF2" w:rsidP="003D4478">
            <w:pPr>
              <w:pStyle w:val="ListBullet2"/>
            </w:pPr>
            <w:r w:rsidRPr="0027228E">
              <w:t>Collaborations with other regions in the area of the bioeconomy; Lubelskie Voivodeship takes part in the S3 platform and in the Bioregions Platform. It has also signed the Letter of Intent between several voivodeships in Poland and with Bio-Based Industries Joint Undertaking and Bio-Based Industry Consortium.</w:t>
            </w:r>
          </w:p>
          <w:p w14:paraId="62DE9799" w14:textId="4B5626A7" w:rsidR="008441F3" w:rsidRPr="0027228E" w:rsidRDefault="000E56B6" w:rsidP="003D4478">
            <w:pPr>
              <w:pStyle w:val="ListBullet2"/>
            </w:pPr>
            <w:r w:rsidRPr="0027228E">
              <w:t>Innovat</w:t>
            </w:r>
            <w:r w:rsidR="00EA4461" w:rsidRPr="0027228E">
              <w:t>ion activity faces challenges; resources  are predominantly dedicated to the improvement of inovation; steps should be taken to strengthen this activity.</w:t>
            </w:r>
            <w:r w:rsidR="00A74938" w:rsidRPr="0027228E">
              <w:t xml:space="preserve"> </w:t>
            </w:r>
          </w:p>
          <w:p w14:paraId="106AB59B" w14:textId="17068B0A" w:rsidR="008441F3" w:rsidRPr="0027228E" w:rsidRDefault="008441F3" w:rsidP="003D4478">
            <w:pPr>
              <w:pStyle w:val="ListBullet2"/>
            </w:pPr>
            <w:r w:rsidRPr="0027228E">
              <w:t xml:space="preserve">11 innovation centres in the Lublin region in 2014. These centres include: 4 technology transfer centres, 2 business incubators, 2 </w:t>
            </w:r>
            <w:r w:rsidRPr="0027228E">
              <w:lastRenderedPageBreak/>
              <w:t>academic business incubators and 3 technology parks. The Lublin Park Science-Technology and The Puławy Science-Technology Park are ones of the most developed type of innovation and entrepreneurship centres in the region.</w:t>
            </w:r>
          </w:p>
          <w:p w14:paraId="6CBD535A" w14:textId="38764AFE" w:rsidR="008441F3" w:rsidRPr="0027228E" w:rsidRDefault="008441F3" w:rsidP="003D4478">
            <w:pPr>
              <w:pStyle w:val="ListBullet2"/>
            </w:pPr>
            <w:r w:rsidRPr="0027228E">
              <w:t>Barriers include:  (1) insufficiently qualified personnel with no practical experience in the development and support of innovative entrepreneurship, and (2) slight interest of entrepreneurs in the services offered by these institutions.</w:t>
            </w:r>
            <w:r w:rsidR="00EA4461" w:rsidRPr="0027228E">
              <w:t xml:space="preserve"> Also, RIS presents the following ones: low demand for innovation, poor supply of innovations (relatively low level of development of the science sector), inefficient system for research and innovation support and system for knowledge and technology transfer.</w:t>
            </w:r>
          </w:p>
        </w:tc>
        <w:tc>
          <w:tcPr>
            <w:tcW w:w="2419" w:type="dxa"/>
            <w:tcBorders>
              <w:top w:val="dotted" w:sz="2" w:space="0" w:color="F9D98C" w:themeColor="accent5" w:themeTint="99"/>
              <w:left w:val="dotted" w:sz="4" w:space="0" w:color="F9D98C" w:themeColor="accent5" w:themeTint="99"/>
              <w:bottom w:val="dotted" w:sz="2" w:space="0" w:color="F9D98C" w:themeColor="accent5" w:themeTint="99"/>
              <w:right w:val="single" w:sz="2" w:space="0" w:color="000A11"/>
            </w:tcBorders>
            <w:vAlign w:val="center"/>
          </w:tcPr>
          <w:p w14:paraId="6E355A1D" w14:textId="71C4BECB" w:rsidR="00B72FF2" w:rsidRPr="0027228E" w:rsidRDefault="008F2280" w:rsidP="0027228E">
            <w:pPr>
              <w:pStyle w:val="Body3"/>
            </w:pPr>
            <w:r w:rsidRPr="0027228E">
              <w:lastRenderedPageBreak/>
              <w:t>Connectivity provisions exist, for regional, national and even interregional levels</w:t>
            </w:r>
            <w:r w:rsidR="00873C83" w:rsidRPr="0027228E">
              <w:t xml:space="preserve"> in the partner  ESIF 2014-2020  (also in the good praxtice contributions)</w:t>
            </w:r>
          </w:p>
          <w:p w14:paraId="36DCC8BF" w14:textId="77777777" w:rsidR="00FD0603" w:rsidRPr="0027228E" w:rsidRDefault="00FD0603" w:rsidP="0027228E">
            <w:pPr>
              <w:pStyle w:val="Body3"/>
            </w:pPr>
          </w:p>
          <w:p w14:paraId="23D866C9" w14:textId="77777777" w:rsidR="00873C83" w:rsidRPr="0027228E" w:rsidRDefault="00E44893" w:rsidP="0027228E">
            <w:pPr>
              <w:pStyle w:val="Body3"/>
            </w:pPr>
            <w:r w:rsidRPr="0027228E">
              <w:t>Need</w:t>
            </w:r>
            <w:r w:rsidR="00873C83" w:rsidRPr="0027228E">
              <w:t>s strategy for involving businesses.</w:t>
            </w:r>
          </w:p>
          <w:p w14:paraId="5B3D89B3" w14:textId="77777777" w:rsidR="00873C83" w:rsidRPr="0027228E" w:rsidRDefault="00873C83" w:rsidP="0027228E">
            <w:pPr>
              <w:pStyle w:val="Body3"/>
            </w:pPr>
          </w:p>
          <w:p w14:paraId="62D872EA" w14:textId="3DA53E23" w:rsidR="00873C83" w:rsidRPr="0027228E" w:rsidRDefault="00873C83" w:rsidP="0027228E">
            <w:pPr>
              <w:pStyle w:val="Body3"/>
            </w:pPr>
            <w:r w:rsidRPr="0027228E">
              <w:t>Needs stra</w:t>
            </w:r>
            <w:r w:rsidR="00C05D1A" w:rsidRPr="0027228E">
              <w:t xml:space="preserve">tegy for modernisation as a </w:t>
            </w:r>
            <w:r w:rsidR="00C05D1A" w:rsidRPr="0027228E">
              <w:lastRenderedPageBreak/>
              <w:t>comprehensive cycle of actions.</w:t>
            </w:r>
            <w:r w:rsidRPr="0027228E">
              <w:t xml:space="preserve"> </w:t>
            </w:r>
          </w:p>
          <w:p w14:paraId="1052A4A7" w14:textId="77777777" w:rsidR="00873C83" w:rsidRPr="0027228E" w:rsidRDefault="00873C83" w:rsidP="0027228E">
            <w:pPr>
              <w:pStyle w:val="Body3"/>
            </w:pPr>
          </w:p>
          <w:p w14:paraId="34625574" w14:textId="4D8347C6" w:rsidR="00A74938" w:rsidRPr="0027228E" w:rsidRDefault="00873C83" w:rsidP="0027228E">
            <w:pPr>
              <w:pStyle w:val="Body3"/>
            </w:pPr>
            <w:r w:rsidRPr="0027228E">
              <w:t>Needs</w:t>
            </w:r>
            <w:r w:rsidR="00E44893" w:rsidRPr="0027228E">
              <w:t xml:space="preserve"> to qualify, speci</w:t>
            </w:r>
            <w:r w:rsidR="00A74938" w:rsidRPr="0027228E">
              <w:t>a</w:t>
            </w:r>
            <w:r w:rsidR="00E44893" w:rsidRPr="0027228E">
              <w:t>l</w:t>
            </w:r>
            <w:r w:rsidR="00A74938" w:rsidRPr="0027228E">
              <w:t xml:space="preserve">ise and systematise   innovation services. </w:t>
            </w:r>
          </w:p>
        </w:tc>
      </w:tr>
      <w:tr w:rsidR="0027228E" w:rsidRPr="0027228E" w14:paraId="025C2295" w14:textId="77777777" w:rsidTr="003D4478">
        <w:trPr>
          <w:trHeight w:val="192"/>
        </w:trPr>
        <w:tc>
          <w:tcPr>
            <w:tcW w:w="1558" w:type="dxa"/>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17DFC69C" w14:textId="24BD6183" w:rsidR="00B72FF2" w:rsidRPr="0027228E" w:rsidRDefault="00B72FF2" w:rsidP="003D4478">
            <w:pPr>
              <w:pStyle w:val="Heading7"/>
            </w:pPr>
            <w:r w:rsidRPr="0027228E">
              <w:t>Uusimaa</w:t>
            </w:r>
          </w:p>
        </w:tc>
        <w:tc>
          <w:tcPr>
            <w:tcW w:w="4679" w:type="dxa"/>
            <w:tcBorders>
              <w:top w:val="dotted" w:sz="2" w:space="0" w:color="F9D98C" w:themeColor="accent5" w:themeTint="99"/>
              <w:left w:val="single" w:sz="2" w:space="0" w:color="7F7F7F" w:themeColor="text1" w:themeTint="80"/>
              <w:bottom w:val="dotted" w:sz="2" w:space="0" w:color="F9D98C" w:themeColor="accent5" w:themeTint="99"/>
              <w:right w:val="dotted" w:sz="4" w:space="0" w:color="F9D98C" w:themeColor="accent5" w:themeTint="99"/>
            </w:tcBorders>
            <w:shd w:val="clear" w:color="auto" w:fill="auto"/>
          </w:tcPr>
          <w:p w14:paraId="3A02DEE9" w14:textId="77777777" w:rsidR="000811AE" w:rsidRPr="0027228E" w:rsidRDefault="000811AE" w:rsidP="003D4478">
            <w:pPr>
              <w:pStyle w:val="ListBullet2"/>
            </w:pPr>
            <w:r w:rsidRPr="0027228E">
              <w:t>Numerous technology transfer offices and related projects within the universitirs and the research institutions. One of them is HIS (Helsinki University Innovation Services) is a BRIDGES good prsacitce as a result of the systematic way it deals with innovation production and then the commercialisation approach and support. HIS covers entire spectrum of the University of Helsinki i.e. life sciences, social sciences and physical sciences.</w:t>
            </w:r>
          </w:p>
          <w:p w14:paraId="5F5321BC" w14:textId="77777777" w:rsidR="000811AE" w:rsidRPr="0027228E" w:rsidRDefault="000811AE" w:rsidP="003D4478">
            <w:pPr>
              <w:pStyle w:val="ListBullet2"/>
            </w:pPr>
            <w:r w:rsidRPr="0027228E">
              <w:t>Aalto Innovation Services</w:t>
            </w:r>
          </w:p>
          <w:p w14:paraId="67931AF8" w14:textId="76078FA8" w:rsidR="000811AE" w:rsidRPr="0027228E" w:rsidRDefault="00406E1F" w:rsidP="003D4478">
            <w:pPr>
              <w:pStyle w:val="ListBullet2"/>
            </w:pPr>
            <w:r w:rsidRPr="0027228E">
              <w:t>LUKE</w:t>
            </w:r>
            <w:r w:rsidR="000811AE" w:rsidRPr="0027228E">
              <w:t xml:space="preserve"> (in the sense that it connects research with the needs of business and providng policy consuttation to the ministry)</w:t>
            </w:r>
          </w:p>
          <w:p w14:paraId="1C7DD860" w14:textId="30F769ED" w:rsidR="007603DA" w:rsidRPr="0027228E" w:rsidRDefault="000811AE" w:rsidP="003D4478">
            <w:pPr>
              <w:pStyle w:val="ListBullet2"/>
            </w:pPr>
            <w:r w:rsidRPr="0027228E">
              <w:t xml:space="preserve">VTT is also taking care of IPR and commercialization, e.g. by licencing and via VTT Ventures Ltd that manages spin-offs. </w:t>
            </w:r>
            <w:r w:rsidR="00406E1F" w:rsidRPr="0027228E">
              <w:t xml:space="preserve">VTT´s IPR team is resposible of the management of inventions, patents and licences in order to commercialize research. VTT Ventures Ltd manages VTT based spin-offs by investing in the new ventures at the seed phase. </w:t>
            </w:r>
          </w:p>
        </w:tc>
        <w:tc>
          <w:tcPr>
            <w:tcW w:w="2443" w:type="dxa"/>
            <w:gridSpan w:val="2"/>
            <w:tcBorders>
              <w:top w:val="dotted" w:sz="2" w:space="0" w:color="F9D98C" w:themeColor="accent5" w:themeTint="99"/>
              <w:left w:val="dotted" w:sz="4" w:space="0" w:color="F9D98C" w:themeColor="accent5" w:themeTint="99"/>
              <w:bottom w:val="dotted" w:sz="2" w:space="0" w:color="F9D98C" w:themeColor="accent5" w:themeTint="99"/>
              <w:right w:val="single" w:sz="2" w:space="0" w:color="000A11"/>
            </w:tcBorders>
          </w:tcPr>
          <w:p w14:paraId="586AF92A" w14:textId="77777777" w:rsidR="00B72FF2" w:rsidRPr="0027228E" w:rsidRDefault="00EC1B7E" w:rsidP="0027228E">
            <w:pPr>
              <w:pStyle w:val="Body3"/>
            </w:pPr>
            <w:r w:rsidRPr="0027228E">
              <w:t>A well functioning regional innovation system</w:t>
            </w:r>
            <w:r w:rsidR="007603DA" w:rsidRPr="0027228E">
              <w:t xml:space="preserve">. </w:t>
            </w:r>
          </w:p>
          <w:p w14:paraId="1AE5ADCE" w14:textId="77777777" w:rsidR="00FD0603" w:rsidRPr="0027228E" w:rsidRDefault="00FD0603" w:rsidP="0027228E">
            <w:pPr>
              <w:pStyle w:val="Body3"/>
            </w:pPr>
          </w:p>
          <w:p w14:paraId="4021A720" w14:textId="77777777" w:rsidR="00FD0603" w:rsidRPr="0027228E" w:rsidRDefault="00FD0603" w:rsidP="0027228E">
            <w:pPr>
              <w:pStyle w:val="Body3"/>
            </w:pPr>
            <w:r w:rsidRPr="0027228E">
              <w:t>Good practice, research-to-business available</w:t>
            </w:r>
            <w:r w:rsidR="00873C83" w:rsidRPr="0027228E">
              <w:t xml:space="preserve"> (Helainki Univrsity researh services)</w:t>
            </w:r>
            <w:r w:rsidR="00C930C7" w:rsidRPr="0027228E">
              <w:t>.</w:t>
            </w:r>
          </w:p>
          <w:p w14:paraId="5B5DAFA9" w14:textId="77777777" w:rsidR="00C930C7" w:rsidRPr="0027228E" w:rsidRDefault="00C930C7" w:rsidP="0027228E">
            <w:pPr>
              <w:pStyle w:val="Body3"/>
            </w:pPr>
          </w:p>
          <w:p w14:paraId="7ED311BB" w14:textId="70A9FD83" w:rsidR="00C930C7" w:rsidRPr="0027228E" w:rsidRDefault="00C930C7" w:rsidP="0027228E">
            <w:pPr>
              <w:pStyle w:val="Body3"/>
            </w:pPr>
            <w:r w:rsidRPr="0027228E">
              <w:t>Good practice in coherently orchestrating resoruces for RIS3 implementation.</w:t>
            </w:r>
          </w:p>
        </w:tc>
      </w:tr>
      <w:tr w:rsidR="0027228E" w:rsidRPr="0027228E" w14:paraId="37724142" w14:textId="77777777" w:rsidTr="003D4478">
        <w:trPr>
          <w:trHeight w:val="79"/>
        </w:trPr>
        <w:tc>
          <w:tcPr>
            <w:tcW w:w="1558" w:type="dxa"/>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23A7541F" w14:textId="661554A8" w:rsidR="00B72FF2" w:rsidRPr="0027228E" w:rsidRDefault="00B72FF2" w:rsidP="003D4478">
            <w:pPr>
              <w:pStyle w:val="Heading7"/>
            </w:pPr>
            <w:r w:rsidRPr="0027228E">
              <w:t>Western Macedonia</w:t>
            </w:r>
          </w:p>
        </w:tc>
        <w:tc>
          <w:tcPr>
            <w:tcW w:w="4703" w:type="dxa"/>
            <w:gridSpan w:val="2"/>
            <w:tcBorders>
              <w:top w:val="dotted" w:sz="2" w:space="0" w:color="F9D98C" w:themeColor="accent5" w:themeTint="99"/>
              <w:left w:val="single" w:sz="2" w:space="0" w:color="7F7F7F" w:themeColor="text1" w:themeTint="80"/>
              <w:bottom w:val="dotted" w:sz="2" w:space="0" w:color="F9D98C" w:themeColor="accent5" w:themeTint="99"/>
              <w:right w:val="dotted" w:sz="4" w:space="0" w:color="F9D98C" w:themeColor="accent5" w:themeTint="99"/>
            </w:tcBorders>
          </w:tcPr>
          <w:p w14:paraId="2326F0D7" w14:textId="77777777" w:rsidR="001A5480" w:rsidRPr="0027228E" w:rsidRDefault="001A5480" w:rsidP="003D4478">
            <w:pPr>
              <w:pStyle w:val="ListBullet2"/>
            </w:pPr>
            <w:r w:rsidRPr="0027228E">
              <w:t>Department of Rural Economy of Western Macedonia Region: Farmers, breeders and SME's in food sector get assistance and information on the utilization of EU funding and the implementation of national and regional legislation</w:t>
            </w:r>
          </w:p>
          <w:p w14:paraId="27F2313D" w14:textId="77777777" w:rsidR="001A5480" w:rsidRPr="0027228E" w:rsidRDefault="001A5480" w:rsidP="003D4478">
            <w:pPr>
              <w:pStyle w:val="ListBullet2"/>
            </w:pPr>
            <w:r w:rsidRPr="0027228E">
              <w:t>Planning Directorate of Region of Western Macedonia: SME's get assistance and information on the utilization of EU funding (www.pdm.gov.gr).</w:t>
            </w:r>
          </w:p>
          <w:p w14:paraId="1157AF6E" w14:textId="77777777" w:rsidR="001A5480" w:rsidRPr="0027228E" w:rsidRDefault="001A5480" w:rsidP="003D4478">
            <w:pPr>
              <w:pStyle w:val="ListBullet2"/>
            </w:pPr>
            <w:r w:rsidRPr="0027228E">
              <w:lastRenderedPageBreak/>
              <w:t>Managing Authority of ROP 2014 – 2020 (www.pepdym.gr)</w:t>
            </w:r>
          </w:p>
          <w:p w14:paraId="6BF1C043" w14:textId="77777777" w:rsidR="001A5480" w:rsidRPr="0027228E" w:rsidRDefault="001A5480" w:rsidP="003D4478">
            <w:pPr>
              <w:pStyle w:val="ListBullet2"/>
            </w:pPr>
            <w:r w:rsidRPr="0027228E">
              <w:t>Chambers of Commerce and Industry (Kozani, Kastoria, Florina, Grevena): Chambers enhance and promote business initiatives for their members (SMEs)</w:t>
            </w:r>
          </w:p>
          <w:p w14:paraId="3469B81C" w14:textId="77777777" w:rsidR="001A5480" w:rsidRPr="0027228E" w:rsidRDefault="001A5480" w:rsidP="003D4478">
            <w:pPr>
              <w:pStyle w:val="ListBullet2"/>
            </w:pPr>
            <w:r w:rsidRPr="0027228E">
              <w:t xml:space="preserve">Economic Chamber – Department of Western Macedonia: The Chamber for economy enhances and promotes business initiatives on behalf of its members </w:t>
            </w:r>
          </w:p>
          <w:p w14:paraId="3B2CD7A9" w14:textId="56C8E80E" w:rsidR="00B72FF2" w:rsidRPr="0027228E" w:rsidRDefault="001A5480" w:rsidP="003D4478">
            <w:pPr>
              <w:pStyle w:val="ListBullet2"/>
            </w:pPr>
            <w:r w:rsidRPr="0027228E">
              <w:t>ΑΝΚΟ SA – Development Agency of Western Macedonia (www.anko.gr): SMEs in food sector get assistance and information on the utilization of EU funding in rural areas.</w:t>
            </w:r>
          </w:p>
        </w:tc>
        <w:tc>
          <w:tcPr>
            <w:tcW w:w="2419" w:type="dxa"/>
            <w:tcBorders>
              <w:top w:val="dotted" w:sz="2" w:space="0" w:color="F9D98C" w:themeColor="accent5" w:themeTint="99"/>
              <w:left w:val="dotted" w:sz="4" w:space="0" w:color="F9D98C" w:themeColor="accent5" w:themeTint="99"/>
              <w:bottom w:val="dotted" w:sz="2" w:space="0" w:color="F9D98C" w:themeColor="accent5" w:themeTint="99"/>
              <w:right w:val="single" w:sz="2" w:space="0" w:color="000A11"/>
            </w:tcBorders>
          </w:tcPr>
          <w:p w14:paraId="21103420" w14:textId="77777777" w:rsidR="00660170" w:rsidRPr="0027228E" w:rsidRDefault="00660170" w:rsidP="0027228E">
            <w:pPr>
              <w:pStyle w:val="Body3"/>
            </w:pPr>
          </w:p>
          <w:p w14:paraId="51887643" w14:textId="77777777" w:rsidR="00C930C7" w:rsidRPr="0027228E" w:rsidRDefault="00EC1B7E" w:rsidP="0027228E">
            <w:pPr>
              <w:pStyle w:val="Body3"/>
            </w:pPr>
            <w:r w:rsidRPr="0027228E">
              <w:t>Backbone of  a regional innovation system  ex</w:t>
            </w:r>
            <w:r w:rsidR="004C2F1A" w:rsidRPr="0027228E">
              <w:t>ists even if not comprehensive</w:t>
            </w:r>
            <w:r w:rsidRPr="0027228E">
              <w:t xml:space="preserve">. Connectivity  within the localised  triple helix and beyond </w:t>
            </w:r>
            <w:r w:rsidR="00FD0603" w:rsidRPr="0027228E">
              <w:t xml:space="preserve">(national, interregional) </w:t>
            </w:r>
            <w:r w:rsidRPr="0027228E">
              <w:t xml:space="preserve">needs to </w:t>
            </w:r>
            <w:r w:rsidR="004C2F1A" w:rsidRPr="0027228E">
              <w:t xml:space="preserve">be </w:t>
            </w:r>
            <w:r w:rsidRPr="0027228E">
              <w:t xml:space="preserve">understood, made relevant to the region, and explored. </w:t>
            </w:r>
          </w:p>
          <w:p w14:paraId="05AC637B" w14:textId="6DFDE406" w:rsidR="00B72FF2" w:rsidRPr="0027228E" w:rsidRDefault="00EC1B7E" w:rsidP="0027228E">
            <w:pPr>
              <w:pStyle w:val="Body3"/>
            </w:pPr>
            <w:r w:rsidRPr="0027228E">
              <w:lastRenderedPageBreak/>
              <w:t>Missing  a regio</w:t>
            </w:r>
            <w:r w:rsidR="00C930C7" w:rsidRPr="0027228E">
              <w:t>nal innovation management chain; this might be a priority to introduce.</w:t>
            </w:r>
          </w:p>
          <w:p w14:paraId="41711BDB" w14:textId="77777777" w:rsidR="00660170" w:rsidRPr="0027228E" w:rsidRDefault="00660170" w:rsidP="0027228E">
            <w:pPr>
              <w:pStyle w:val="Body3"/>
            </w:pPr>
          </w:p>
          <w:p w14:paraId="0580425D" w14:textId="247EAC79" w:rsidR="00873C83" w:rsidRPr="0027228E" w:rsidRDefault="00873C83" w:rsidP="0027228E">
            <w:pPr>
              <w:pStyle w:val="Body3"/>
            </w:pPr>
            <w:r w:rsidRPr="0027228E">
              <w:t>PP5 could benefot from good practice  OPIRIS (contributed by PP9), focusing on smart farming.</w:t>
            </w:r>
          </w:p>
          <w:p w14:paraId="2B4686EA" w14:textId="77777777" w:rsidR="00660170" w:rsidRPr="0027228E" w:rsidRDefault="00660170" w:rsidP="0027228E">
            <w:pPr>
              <w:pStyle w:val="Body3"/>
            </w:pPr>
          </w:p>
          <w:p w14:paraId="6552E042" w14:textId="36A38391" w:rsidR="00660170" w:rsidRPr="0027228E" w:rsidRDefault="00660170" w:rsidP="0027228E">
            <w:pPr>
              <w:pStyle w:val="Body3"/>
            </w:pPr>
          </w:p>
        </w:tc>
      </w:tr>
      <w:tr w:rsidR="0027228E" w:rsidRPr="0027228E" w14:paraId="09F64898" w14:textId="77777777" w:rsidTr="003D4478">
        <w:trPr>
          <w:trHeight w:val="192"/>
        </w:trPr>
        <w:tc>
          <w:tcPr>
            <w:tcW w:w="1558" w:type="dxa"/>
            <w:tcBorders>
              <w:top w:val="dotted" w:sz="2" w:space="0" w:color="F9D98C" w:themeColor="accent5" w:themeTint="99"/>
              <w:left w:val="single" w:sz="2" w:space="0" w:color="000A11"/>
              <w:bottom w:val="dotted" w:sz="2" w:space="0" w:color="F9D98C" w:themeColor="accent5" w:themeTint="99"/>
              <w:right w:val="single" w:sz="2" w:space="0" w:color="7F7F7F" w:themeColor="text1" w:themeTint="80"/>
            </w:tcBorders>
          </w:tcPr>
          <w:p w14:paraId="353E4F6D" w14:textId="4590D856" w:rsidR="00B72FF2" w:rsidRPr="0027228E" w:rsidRDefault="00A32AFE" w:rsidP="003D4478">
            <w:pPr>
              <w:pStyle w:val="Heading7"/>
            </w:pPr>
            <w:r w:rsidRPr="0027228E">
              <w:lastRenderedPageBreak/>
              <w:t>Goriška</w:t>
            </w:r>
          </w:p>
        </w:tc>
        <w:tc>
          <w:tcPr>
            <w:tcW w:w="4703" w:type="dxa"/>
            <w:gridSpan w:val="2"/>
            <w:tcBorders>
              <w:top w:val="dotted" w:sz="2" w:space="0" w:color="F9D98C" w:themeColor="accent5" w:themeTint="99"/>
              <w:left w:val="single" w:sz="2" w:space="0" w:color="7F7F7F" w:themeColor="text1" w:themeTint="80"/>
              <w:bottom w:val="dotted" w:sz="2" w:space="0" w:color="F9D98C" w:themeColor="accent5" w:themeTint="99"/>
              <w:right w:val="dotted" w:sz="4" w:space="0" w:color="F9D98C" w:themeColor="accent5" w:themeTint="99"/>
            </w:tcBorders>
          </w:tcPr>
          <w:p w14:paraId="2F403966" w14:textId="3303D836" w:rsidR="00E1019E" w:rsidRPr="0027228E" w:rsidRDefault="00E1019E" w:rsidP="003D4478">
            <w:pPr>
              <w:pStyle w:val="ListBullet2"/>
            </w:pPr>
            <w:r w:rsidRPr="0027228E">
              <w:t xml:space="preserve">Triple helix actor university is that of Nova  Goriška. However, a lot of knowledge comes from Ljubljana, especially when it regards more demanding, knowledge intensive sectors. </w:t>
            </w:r>
          </w:p>
          <w:p w14:paraId="6A0D9DF4" w14:textId="31217FCF" w:rsidR="00A32AFE" w:rsidRPr="0027228E" w:rsidRDefault="00E1019E" w:rsidP="003D4478">
            <w:pPr>
              <w:pStyle w:val="ListBullet2"/>
            </w:pPr>
            <w:r w:rsidRPr="0027228E">
              <w:t>Quality of tirple helix operation</w:t>
            </w:r>
            <w:r w:rsidR="00E44893" w:rsidRPr="0027228E">
              <w:t xml:space="preserve"> d</w:t>
            </w:r>
            <w:r w:rsidR="00A32AFE" w:rsidRPr="0027228E">
              <w:t>e</w:t>
            </w:r>
            <w:r w:rsidR="00E44893" w:rsidRPr="0027228E">
              <w:t>p</w:t>
            </w:r>
            <w:r w:rsidR="00A32AFE" w:rsidRPr="0027228E">
              <w:t>ends on the sector</w:t>
            </w:r>
            <w:r w:rsidR="00E44893" w:rsidRPr="0027228E">
              <w:t xml:space="preserve">: </w:t>
            </w:r>
            <w:r w:rsidR="00A32AFE" w:rsidRPr="0027228E">
              <w:t>Tir</w:t>
            </w:r>
            <w:r w:rsidR="00E44893" w:rsidRPr="0027228E">
              <w:t>ple helix  works in some sectors, but not always</w:t>
            </w:r>
            <w:r w:rsidRPr="0027228E">
              <w:t>;</w:t>
            </w:r>
            <w:r w:rsidR="00E44893" w:rsidRPr="0027228E">
              <w:t xml:space="preserve"> sometimes it is public sector driven, sometimes  market driven (after an initial development phase, results need to be confiremd by the market)</w:t>
            </w:r>
            <w:r w:rsidR="00A32AFE" w:rsidRPr="0027228E">
              <w:t xml:space="preserve"> </w:t>
            </w:r>
          </w:p>
          <w:p w14:paraId="3CA46D5C" w14:textId="273948FC" w:rsidR="00A32AFE" w:rsidRPr="0027228E" w:rsidRDefault="00E1019E" w:rsidP="003D4478">
            <w:pPr>
              <w:pStyle w:val="ListBullet2"/>
            </w:pPr>
            <w:r w:rsidRPr="0027228E">
              <w:t>N</w:t>
            </w:r>
            <w:r w:rsidR="00A32AFE" w:rsidRPr="0027228E">
              <w:t>ational level agen</w:t>
            </w:r>
            <w:r w:rsidRPr="0027228E">
              <w:t xml:space="preserve">cy is </w:t>
            </w:r>
            <w:r w:rsidR="00A32AFE" w:rsidRPr="0027228E">
              <w:t>taking care of innovation,</w:t>
            </w:r>
            <w:r w:rsidRPr="0027228E">
              <w:t xml:space="preserve"> in the sense that they decide the allocation of subsidies. </w:t>
            </w:r>
            <w:r w:rsidR="00A32AFE" w:rsidRPr="0027228E">
              <w:t xml:space="preserve"> </w:t>
            </w:r>
          </w:p>
        </w:tc>
        <w:tc>
          <w:tcPr>
            <w:tcW w:w="2419" w:type="dxa"/>
            <w:tcBorders>
              <w:top w:val="dotted" w:sz="2" w:space="0" w:color="F9D98C" w:themeColor="accent5" w:themeTint="99"/>
              <w:left w:val="dotted" w:sz="4" w:space="0" w:color="F9D98C" w:themeColor="accent5" w:themeTint="99"/>
              <w:bottom w:val="dotted" w:sz="2" w:space="0" w:color="F9D98C" w:themeColor="accent5" w:themeTint="99"/>
              <w:right w:val="single" w:sz="2" w:space="0" w:color="000A11"/>
            </w:tcBorders>
          </w:tcPr>
          <w:p w14:paraId="6FDD1B2D" w14:textId="77777777" w:rsidR="00B72FF2" w:rsidRPr="0027228E" w:rsidRDefault="004A061E" w:rsidP="0027228E">
            <w:pPr>
              <w:pStyle w:val="Body3"/>
            </w:pPr>
            <w:r w:rsidRPr="0027228E">
              <w:t xml:space="preserve">Experience and appreciation of </w:t>
            </w:r>
            <w:r w:rsidR="00660170" w:rsidRPr="0027228E">
              <w:t>interregional conn</w:t>
            </w:r>
            <w:r w:rsidR="00FC232D" w:rsidRPr="0027228E">
              <w:t>e</w:t>
            </w:r>
            <w:r w:rsidR="00660170" w:rsidRPr="0027228E">
              <w:t>ctivity</w:t>
            </w:r>
            <w:r w:rsidR="004C2F1A" w:rsidRPr="0027228E">
              <w:t xml:space="preserve">  through Interreg A strand (Italy).</w:t>
            </w:r>
          </w:p>
          <w:p w14:paraId="10688A42" w14:textId="77777777" w:rsidR="00C930C7" w:rsidRPr="0027228E" w:rsidRDefault="00C930C7" w:rsidP="0027228E">
            <w:pPr>
              <w:pStyle w:val="Body3"/>
            </w:pPr>
          </w:p>
          <w:p w14:paraId="3279E942" w14:textId="158CB1AA" w:rsidR="00C930C7" w:rsidRPr="0027228E" w:rsidRDefault="00C930C7" w:rsidP="0027228E">
            <w:pPr>
              <w:pStyle w:val="Body3"/>
            </w:pPr>
            <w:r w:rsidRPr="0027228E">
              <w:t>Partner is interested in centres of competence for aquacuture induatry (marble trout).</w:t>
            </w:r>
          </w:p>
        </w:tc>
      </w:tr>
      <w:tr w:rsidR="0027228E" w:rsidRPr="0027228E" w14:paraId="411DCAB7" w14:textId="77777777" w:rsidTr="003D4478">
        <w:trPr>
          <w:trHeight w:val="446"/>
        </w:trPr>
        <w:tc>
          <w:tcPr>
            <w:tcW w:w="1558" w:type="dxa"/>
            <w:tcBorders>
              <w:top w:val="dotted" w:sz="2" w:space="0" w:color="F9D98C" w:themeColor="accent5" w:themeTint="99"/>
              <w:left w:val="single" w:sz="2" w:space="0" w:color="000A11"/>
              <w:bottom w:val="single" w:sz="2" w:space="0" w:color="000A11"/>
              <w:right w:val="single" w:sz="2" w:space="0" w:color="7F7F7F" w:themeColor="text1" w:themeTint="80"/>
            </w:tcBorders>
          </w:tcPr>
          <w:p w14:paraId="484BAADD" w14:textId="4216E143" w:rsidR="00B72FF2" w:rsidRPr="0027228E" w:rsidRDefault="00B72FF2" w:rsidP="003D4478">
            <w:pPr>
              <w:pStyle w:val="Heading7"/>
            </w:pPr>
            <w:r w:rsidRPr="0027228E">
              <w:t>Western Transdanubia</w:t>
            </w:r>
          </w:p>
        </w:tc>
        <w:tc>
          <w:tcPr>
            <w:tcW w:w="4703" w:type="dxa"/>
            <w:gridSpan w:val="2"/>
            <w:tcBorders>
              <w:top w:val="dotted" w:sz="2" w:space="0" w:color="F9D98C" w:themeColor="accent5" w:themeTint="99"/>
              <w:left w:val="single" w:sz="2" w:space="0" w:color="7F7F7F" w:themeColor="text1" w:themeTint="80"/>
              <w:bottom w:val="single" w:sz="2" w:space="0" w:color="000A11"/>
              <w:right w:val="dotted" w:sz="4" w:space="0" w:color="F9D98C" w:themeColor="accent5" w:themeTint="99"/>
            </w:tcBorders>
          </w:tcPr>
          <w:p w14:paraId="72D0E2A5" w14:textId="6D23F387" w:rsidR="005C1F25" w:rsidRPr="0027228E" w:rsidRDefault="005C1F25" w:rsidP="003D4478">
            <w:pPr>
              <w:pStyle w:val="ListBullet2"/>
            </w:pPr>
            <w:r w:rsidRPr="0027228E">
              <w:t>Technology transfer and innovation office: Moholy-Nagy University.</w:t>
            </w:r>
          </w:p>
          <w:p w14:paraId="29043450" w14:textId="1430D269" w:rsidR="00B72FF2" w:rsidRPr="0027228E" w:rsidRDefault="00C76750" w:rsidP="003D4478">
            <w:pPr>
              <w:pStyle w:val="ListBullet2"/>
            </w:pPr>
            <w:r w:rsidRPr="0027228E">
              <w:t xml:space="preserve">Industrial platforms: The Hungarian Federation of Forestry and Wood Industries is a platform of the forest management companies, forest management suppliers and wood trading businesses. The National Carpenters’ Association has 300 individual members, mostly Hungarian micro- and small businesses. It focuses on consultation, fair organizations and a thematic journal is also prepared for the members. The Hungarian Furniture Association is concentrating mostly on design and human resource development of its members. With its wide membership pool this association is working strongly on the public relations of the furniture industry.  The Pannon Wood and Furniture Cluster is concentrating on project generation of the individual members, and liaising the industry with the education. </w:t>
            </w:r>
          </w:p>
        </w:tc>
        <w:tc>
          <w:tcPr>
            <w:tcW w:w="2419" w:type="dxa"/>
            <w:tcBorders>
              <w:top w:val="dotted" w:sz="2" w:space="0" w:color="F9D98C" w:themeColor="accent5" w:themeTint="99"/>
              <w:left w:val="dotted" w:sz="4" w:space="0" w:color="F9D98C" w:themeColor="accent5" w:themeTint="99"/>
              <w:bottom w:val="single" w:sz="2" w:space="0" w:color="000A11"/>
              <w:right w:val="single" w:sz="2" w:space="0" w:color="000A11"/>
            </w:tcBorders>
            <w:vAlign w:val="center"/>
          </w:tcPr>
          <w:p w14:paraId="17427822" w14:textId="77777777" w:rsidR="00B72FF2" w:rsidRPr="0027228E" w:rsidRDefault="003A52A7" w:rsidP="0027228E">
            <w:pPr>
              <w:pStyle w:val="Body3"/>
            </w:pPr>
            <w:r w:rsidRPr="0027228E">
              <w:t>National/ region</w:t>
            </w:r>
            <w:r w:rsidR="00EC1B7E" w:rsidRPr="0027228E">
              <w:t>al innovation management system backbone ok; needs updated actions and exchanges; to adopt an integrated approach.</w:t>
            </w:r>
          </w:p>
          <w:p w14:paraId="6C076E04" w14:textId="77777777" w:rsidR="005C1F25" w:rsidRPr="0027228E" w:rsidRDefault="005C1F25" w:rsidP="0027228E">
            <w:pPr>
              <w:pStyle w:val="Body3"/>
            </w:pPr>
          </w:p>
          <w:p w14:paraId="2AAB6AC3" w14:textId="77777777" w:rsidR="005C1F25" w:rsidRPr="0027228E" w:rsidRDefault="000866CC" w:rsidP="0027228E">
            <w:pPr>
              <w:pStyle w:val="Body3"/>
            </w:pPr>
            <w:r w:rsidRPr="0027228E">
              <w:t>St</w:t>
            </w:r>
            <w:r w:rsidR="005C1F25" w:rsidRPr="0027228E">
              <w:t>r</w:t>
            </w:r>
            <w:r w:rsidRPr="0027228E">
              <w:t>o</w:t>
            </w:r>
            <w:r w:rsidR="005C1F25" w:rsidRPr="0027228E">
              <w:t>ng possibiltiy for cross fertilisation betwe</w:t>
            </w:r>
            <w:r w:rsidR="004A061E" w:rsidRPr="0027228E">
              <w:t>en</w:t>
            </w:r>
            <w:r w:rsidR="005C1F25" w:rsidRPr="0027228E">
              <w:t xml:space="preserve"> the industrial paltforms and the universities.</w:t>
            </w:r>
          </w:p>
          <w:p w14:paraId="0D2B754A" w14:textId="77777777" w:rsidR="00873C83" w:rsidRPr="0027228E" w:rsidRDefault="00873C83" w:rsidP="0027228E">
            <w:pPr>
              <w:pStyle w:val="Body3"/>
            </w:pPr>
          </w:p>
          <w:p w14:paraId="0A9FA646" w14:textId="77777777" w:rsidR="00873C83" w:rsidRPr="0027228E" w:rsidRDefault="00873C83" w:rsidP="0027228E">
            <w:pPr>
              <w:pStyle w:val="Body3"/>
            </w:pPr>
            <w:r w:rsidRPr="0027228E">
              <w:t>Experience in cross border cooperation trhough innovation vouchers (good practice).</w:t>
            </w:r>
          </w:p>
          <w:p w14:paraId="29BA7C49" w14:textId="77777777" w:rsidR="00C930C7" w:rsidRPr="0027228E" w:rsidRDefault="00C930C7" w:rsidP="0027228E">
            <w:pPr>
              <w:pStyle w:val="Body3"/>
            </w:pPr>
          </w:p>
          <w:p w14:paraId="19E6AA3E" w14:textId="723ED778" w:rsidR="00C930C7" w:rsidRPr="0027228E" w:rsidRDefault="00C930C7" w:rsidP="0027228E">
            <w:pPr>
              <w:pStyle w:val="Body3"/>
            </w:pPr>
            <w:r w:rsidRPr="0027228E">
              <w:t>Partner is interested in centres of competence for the furniture industry.</w:t>
            </w:r>
          </w:p>
        </w:tc>
      </w:tr>
    </w:tbl>
    <w:p w14:paraId="451CEB01" w14:textId="77777777" w:rsidR="00945BF2" w:rsidRDefault="00945BF2" w:rsidP="00945BF2">
      <w:pPr>
        <w:pStyle w:val="Caption"/>
        <w:numPr>
          <w:ilvl w:val="0"/>
          <w:numId w:val="0"/>
        </w:numPr>
        <w:ind w:left="720" w:hanging="360"/>
      </w:pPr>
      <w:bookmarkStart w:id="56" w:name="_Toc526591118"/>
    </w:p>
    <w:p w14:paraId="79ABC4A1" w14:textId="4316121E" w:rsidR="00480270" w:rsidRDefault="00480270" w:rsidP="00945BF2">
      <w:pPr>
        <w:pStyle w:val="Caption"/>
        <w:numPr>
          <w:ilvl w:val="0"/>
          <w:numId w:val="0"/>
        </w:numPr>
        <w:ind w:left="720" w:hanging="360"/>
      </w:pPr>
      <w:r>
        <w:t xml:space="preserve">Insights Table  </w:t>
      </w:r>
      <w:bookmarkEnd w:id="56"/>
      <w:r w:rsidR="00175535">
        <w:t>5</w:t>
      </w:r>
    </w:p>
    <w:p w14:paraId="57FDBCEA" w14:textId="7CA5B14A" w:rsidR="0016564B" w:rsidRPr="006A4C93" w:rsidRDefault="00334EA6" w:rsidP="0027228E">
      <w:pPr>
        <w:pStyle w:val="ListParagraph"/>
      </w:pPr>
      <w:r w:rsidRPr="006A4C93">
        <w:t>The most challenging of all, appears to be the initiation of effective &amp; coherent triple helix exchanges, in five out of 6 regions</w:t>
      </w:r>
      <w:r w:rsidR="0016564B" w:rsidRPr="006A4C93">
        <w:t>, and especially exchanges dealing with knowledge transfer and technological connectivity</w:t>
      </w:r>
      <w:r w:rsidRPr="006A4C93">
        <w:t>. T</w:t>
      </w:r>
      <w:r w:rsidR="00A35822" w:rsidRPr="006A4C93">
        <w:t>echnolo</w:t>
      </w:r>
      <w:r w:rsidR="007C6B88" w:rsidRPr="006A4C93">
        <w:t xml:space="preserve">gical connectivity, i.e. </w:t>
      </w:r>
      <w:r w:rsidR="000E2D16" w:rsidRPr="006A4C93">
        <w:t xml:space="preserve">the </w:t>
      </w:r>
      <w:r w:rsidR="00E3289C" w:rsidRPr="006A4C93">
        <w:t xml:space="preserve">localised </w:t>
      </w:r>
      <w:r w:rsidR="0016564B" w:rsidRPr="006A4C93">
        <w:t>(or regionalised</w:t>
      </w:r>
      <w:r w:rsidR="000E2D16" w:rsidRPr="006A4C93">
        <w:t xml:space="preserve">) </w:t>
      </w:r>
      <w:r w:rsidR="00E3289C" w:rsidRPr="006A4C93">
        <w:t xml:space="preserve">triple helix, is not </w:t>
      </w:r>
      <w:r w:rsidR="00A35822" w:rsidRPr="006A4C93">
        <w:t xml:space="preserve">always </w:t>
      </w:r>
      <w:r w:rsidR="00E3289C" w:rsidRPr="006A4C93">
        <w:t xml:space="preserve">sufficiently </w:t>
      </w:r>
      <w:r w:rsidR="000E2D16" w:rsidRPr="006A4C93">
        <w:t xml:space="preserve">evolved </w:t>
      </w:r>
      <w:r w:rsidR="00E3289C" w:rsidRPr="006A4C93">
        <w:t xml:space="preserve">to </w:t>
      </w:r>
      <w:r w:rsidR="000E2D16" w:rsidRPr="006A4C93">
        <w:t xml:space="preserve">fully </w:t>
      </w:r>
      <w:r w:rsidR="00E3289C" w:rsidRPr="006A4C93">
        <w:t>benefit regions</w:t>
      </w:r>
      <w:r w:rsidR="00A35822" w:rsidRPr="006A4C93">
        <w:t xml:space="preserve">, </w:t>
      </w:r>
      <w:r w:rsidR="007C6B88" w:rsidRPr="006A4C93">
        <w:t xml:space="preserve">it </w:t>
      </w:r>
      <w:r w:rsidR="000E2D16" w:rsidRPr="006A4C93">
        <w:t xml:space="preserve">requires clarification </w:t>
      </w:r>
      <w:r w:rsidR="00B72DCD" w:rsidRPr="006A4C93">
        <w:t>an</w:t>
      </w:r>
      <w:r w:rsidR="000E2D16" w:rsidRPr="006A4C93">
        <w:t xml:space="preserve">d updating, in terms of </w:t>
      </w:r>
      <w:r w:rsidRPr="006A4C93">
        <w:t xml:space="preserve">at least the eight types of technological connectivity cited at the beginning of this section, and of which fragments are observed in most regions. </w:t>
      </w:r>
      <w:r w:rsidR="0016564B" w:rsidRPr="006A4C93">
        <w:t xml:space="preserve">Institutionally, regions have good endowments, are at good starting points; however operationally and governance- wise, there are challenges. </w:t>
      </w:r>
    </w:p>
    <w:p w14:paraId="56843CEA" w14:textId="6606FE3E" w:rsidR="00FE676B" w:rsidRPr="006A4C93" w:rsidRDefault="00394CC8" w:rsidP="0027228E">
      <w:pPr>
        <w:pStyle w:val="ListParagraph"/>
      </w:pPr>
      <w:r w:rsidRPr="006A4C93">
        <w:t>M</w:t>
      </w:r>
      <w:r w:rsidR="007C6B88" w:rsidRPr="006A4C93">
        <w:t>odels (</w:t>
      </w:r>
      <w:r w:rsidRPr="006A4C93">
        <w:t>good practices)</w:t>
      </w:r>
      <w:r w:rsidR="001F371D" w:rsidRPr="006A4C93">
        <w:t xml:space="preserve"> </w:t>
      </w:r>
      <w:r w:rsidRPr="006A4C93">
        <w:t xml:space="preserve">of </w:t>
      </w:r>
      <w:r w:rsidR="001F371D" w:rsidRPr="006A4C93">
        <w:t>research/un</w:t>
      </w:r>
      <w:r w:rsidR="007C6B88" w:rsidRPr="006A4C93">
        <w:t>iversity-to-business/industr</w:t>
      </w:r>
      <w:r w:rsidR="0016564B" w:rsidRPr="006A4C93">
        <w:t>y</w:t>
      </w:r>
      <w:r w:rsidR="007C6B88" w:rsidRPr="006A4C93">
        <w:t xml:space="preserve"> </w:t>
      </w:r>
      <w:r w:rsidR="000F3BEB" w:rsidRPr="006A4C93">
        <w:t>connectivity</w:t>
      </w:r>
      <w:r w:rsidRPr="006A4C93">
        <w:t xml:space="preserve"> applied for industrial specialisation and modernisation need to be adopted</w:t>
      </w:r>
      <w:r w:rsidR="001F371D" w:rsidRPr="006A4C93">
        <w:t xml:space="preserve">. </w:t>
      </w:r>
      <w:r w:rsidR="0016564B" w:rsidRPr="006A4C93">
        <w:t>Among the contributed good practices there are examples from within the project (</w:t>
      </w:r>
      <w:r w:rsidR="000811AE" w:rsidRPr="006A4C93">
        <w:t>Hel</w:t>
      </w:r>
      <w:r w:rsidRPr="006A4C93">
        <w:t>sinki University Innovation Ser</w:t>
      </w:r>
      <w:r w:rsidR="000811AE" w:rsidRPr="006A4C93">
        <w:t>vices</w:t>
      </w:r>
      <w:r w:rsidR="00C930C7" w:rsidRPr="006A4C93">
        <w:t xml:space="preserve">, </w:t>
      </w:r>
      <w:r w:rsidR="0016564B" w:rsidRPr="006A4C93">
        <w:t>Kantola cluster) as well as beyond the project (from Germany, the Nether</w:t>
      </w:r>
      <w:r w:rsidR="00C930C7" w:rsidRPr="006A4C93">
        <w:t>l</w:t>
      </w:r>
      <w:r w:rsidR="0016564B" w:rsidRPr="006A4C93">
        <w:t xml:space="preserve">ands, </w:t>
      </w:r>
      <w:r w:rsidR="00C930C7" w:rsidRPr="006A4C93">
        <w:t xml:space="preserve">Spain, </w:t>
      </w:r>
      <w:r w:rsidR="0016564B" w:rsidRPr="006A4C93">
        <w:t>Switzerland,…)</w:t>
      </w:r>
      <w:r w:rsidR="000811AE" w:rsidRPr="006A4C93">
        <w:t>.</w:t>
      </w:r>
      <w:r w:rsidR="0016564B" w:rsidRPr="006A4C93">
        <w:t xml:space="preserve"> </w:t>
      </w:r>
    </w:p>
    <w:p w14:paraId="1E0E8A35" w14:textId="3E003431" w:rsidR="00C930C7" w:rsidRPr="006A4C93" w:rsidRDefault="00C930C7" w:rsidP="0027228E">
      <w:pPr>
        <w:pStyle w:val="ListParagraph"/>
      </w:pPr>
      <w:r w:rsidRPr="006A4C93">
        <w:t>Interregional technological connectivity activities &amp; experiences exist: two regions hav</w:t>
      </w:r>
      <w:r w:rsidR="0031655E" w:rsidRPr="006A4C93">
        <w:t>e experience with innovation vou</w:t>
      </w:r>
      <w:r w:rsidRPr="006A4C93">
        <w:t>chers with cross border eligibility (2 GP contributions, GP theme 3 multilevel synergies); one region foresees innovation vouchers with interregional eligibility in their ESIF 2014-2020 (1 GP contribution, GP theme 3 multilevel synergies); one region has been involved in interregional access to research services s</w:t>
      </w:r>
      <w:r w:rsidR="0031655E" w:rsidRPr="006A4C93">
        <w:t xml:space="preserve">chemes through two consecutive </w:t>
      </w:r>
      <w:r w:rsidRPr="006A4C93">
        <w:t>BSR Interreg projects, aiming at strengthening specialisation at macro-regional level (1 GP contribution, GP theme 2 research/university-to-industry).</w:t>
      </w:r>
    </w:p>
    <w:p w14:paraId="2B95E5CF" w14:textId="4A141202" w:rsidR="00F47F6E" w:rsidRPr="006A4C93" w:rsidRDefault="00F47F6E" w:rsidP="0027228E">
      <w:pPr>
        <w:pStyle w:val="ListParagraph"/>
      </w:pPr>
      <w:r w:rsidRPr="006A4C93">
        <w:t>In some regions there is cross fertilisation potential between industries and innovations, and it should be encouraged.</w:t>
      </w:r>
    </w:p>
    <w:p w14:paraId="44C4233A" w14:textId="2AFC9BFE" w:rsidR="00E40CCE" w:rsidRPr="006A4C93" w:rsidRDefault="00B72DCD" w:rsidP="0027228E">
      <w:pPr>
        <w:pStyle w:val="ListParagraph"/>
      </w:pPr>
      <w:r w:rsidRPr="006A4C93">
        <w:t xml:space="preserve">The </w:t>
      </w:r>
      <w:r w:rsidR="00F47F6E" w:rsidRPr="006A4C93">
        <w:t>Innovation advanced</w:t>
      </w:r>
      <w:r w:rsidR="00AD02DB" w:rsidRPr="006A4C93">
        <w:t xml:space="preserve"> region</w:t>
      </w:r>
      <w:r w:rsidR="00F47F6E" w:rsidRPr="006A4C93">
        <w:t xml:space="preserve"> has better connectivty practices, t</w:t>
      </w:r>
      <w:r w:rsidR="005C3C6B" w:rsidRPr="006A4C93">
        <w:t xml:space="preserve">herefore, methodologically, relevant </w:t>
      </w:r>
      <w:r w:rsidR="00F47F6E" w:rsidRPr="006A4C93">
        <w:t>GPs  might be suitable to adopt by other regions.</w:t>
      </w:r>
    </w:p>
    <w:p w14:paraId="120BF871" w14:textId="3AF18F8C" w:rsidR="00230A39" w:rsidRPr="006A4C93" w:rsidRDefault="0044556A" w:rsidP="003D4478">
      <w:pPr>
        <w:pStyle w:val="Heading2"/>
      </w:pPr>
      <w:bookmarkStart w:id="57" w:name="_Toc526593125"/>
      <w:r w:rsidRPr="006A4C93">
        <w:t>RIS3 funding and financing</w:t>
      </w:r>
      <w:bookmarkEnd w:id="57"/>
    </w:p>
    <w:p w14:paraId="3B3250CD" w14:textId="6452B950" w:rsidR="00660170" w:rsidRDefault="00660170" w:rsidP="00837006">
      <w:pPr>
        <w:shd w:val="clear" w:color="auto" w:fill="FFFFFF" w:themeFill="background1"/>
      </w:pPr>
      <w:r w:rsidRPr="006A4C93">
        <w:t xml:space="preserve">RIS3 funding is discussed from three pioints of view: funding sources; funding progress; interregionality (i.e. provisions to implement RIS3 parametre of connectivty towards critical mass).  </w:t>
      </w:r>
    </w:p>
    <w:p w14:paraId="30E01893" w14:textId="0D5EC3C6" w:rsidR="0027228E" w:rsidRPr="006A4C93" w:rsidRDefault="0027228E" w:rsidP="00F51ACF">
      <w:pPr>
        <w:pStyle w:val="Caption"/>
        <w:numPr>
          <w:ilvl w:val="0"/>
          <w:numId w:val="0"/>
        </w:numPr>
        <w:ind w:left="720"/>
      </w:pPr>
      <w:bookmarkStart w:id="58" w:name="_Toc502665499"/>
      <w:bookmarkStart w:id="59" w:name="_Ref502695000"/>
      <w:bookmarkStart w:id="60" w:name="_Toc526593328"/>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6</w:t>
      </w:r>
      <w:r w:rsidR="00F01E0F">
        <w:rPr>
          <w:noProof/>
        </w:rPr>
        <w:fldChar w:fldCharType="end"/>
      </w:r>
      <w:r>
        <w:t xml:space="preserve"> </w:t>
      </w:r>
      <w:bookmarkStart w:id="61" w:name="_Ref354989745"/>
      <w:r w:rsidRPr="006A4C93">
        <w:t>RIS3 funding and financing references</w:t>
      </w:r>
      <w:bookmarkStart w:id="62" w:name="_Toc354121304"/>
      <w:bookmarkEnd w:id="58"/>
      <w:bookmarkEnd w:id="59"/>
      <w:bookmarkEnd w:id="60"/>
      <w:bookmarkEnd w:id="61"/>
      <w:bookmarkEnd w:id="62"/>
      <w:r w:rsidRPr="006A4C93">
        <w:t xml:space="preserve">  </w:t>
      </w:r>
    </w:p>
    <w:tbl>
      <w:tblPr>
        <w:tblW w:w="478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dotted" w:sz="2" w:space="0" w:color="F9D98C" w:themeColor="accent5" w:themeTint="99"/>
          <w:insideV w:val="dotted" w:sz="2" w:space="0" w:color="F9D98C" w:themeColor="accent5" w:themeTint="99"/>
        </w:tblBorders>
        <w:tblLook w:val="04A0" w:firstRow="1" w:lastRow="0" w:firstColumn="1" w:lastColumn="0" w:noHBand="0" w:noVBand="1"/>
      </w:tblPr>
      <w:tblGrid>
        <w:gridCol w:w="5782"/>
        <w:gridCol w:w="3045"/>
      </w:tblGrid>
      <w:tr w:rsidR="002772FD" w:rsidRPr="0027228E" w14:paraId="2E7732AF" w14:textId="4C3D4774" w:rsidTr="00954A82">
        <w:trPr>
          <w:trHeight w:val="112"/>
          <w:tblHeader/>
        </w:trPr>
        <w:tc>
          <w:tcPr>
            <w:tcW w:w="3275" w:type="pct"/>
            <w:shd w:val="clear" w:color="auto" w:fill="F2F2F2" w:themeFill="background1" w:themeFillShade="F2"/>
          </w:tcPr>
          <w:p w14:paraId="4BB65F6A" w14:textId="1E7E1393" w:rsidR="002772FD" w:rsidRPr="0027228E" w:rsidRDefault="002772FD" w:rsidP="0027228E">
            <w:pPr>
              <w:rPr>
                <w:b/>
                <w:szCs w:val="18"/>
              </w:rPr>
            </w:pPr>
            <w:r w:rsidRPr="0027228E">
              <w:rPr>
                <w:b/>
                <w:szCs w:val="18"/>
              </w:rPr>
              <w:t>Suggestions</w:t>
            </w:r>
          </w:p>
        </w:tc>
        <w:tc>
          <w:tcPr>
            <w:tcW w:w="1725" w:type="pct"/>
            <w:shd w:val="clear" w:color="auto" w:fill="F2F2F2" w:themeFill="background1" w:themeFillShade="F2"/>
          </w:tcPr>
          <w:p w14:paraId="65EB0C13" w14:textId="6DE25259" w:rsidR="002772FD" w:rsidRPr="0027228E" w:rsidRDefault="002772FD" w:rsidP="0027228E">
            <w:pPr>
              <w:rPr>
                <w:b/>
                <w:szCs w:val="18"/>
              </w:rPr>
            </w:pPr>
            <w:r w:rsidRPr="0027228E">
              <w:rPr>
                <w:b/>
                <w:szCs w:val="18"/>
              </w:rPr>
              <w:t>Comments</w:t>
            </w:r>
          </w:p>
        </w:tc>
      </w:tr>
      <w:tr w:rsidR="002772FD" w:rsidRPr="006A4C93" w14:paraId="66A900A0" w14:textId="053B1411" w:rsidTr="0027228E">
        <w:trPr>
          <w:trHeight w:val="192"/>
        </w:trPr>
        <w:tc>
          <w:tcPr>
            <w:tcW w:w="3275" w:type="pct"/>
            <w:shd w:val="clear" w:color="auto" w:fill="FFFFFF" w:themeFill="background1"/>
          </w:tcPr>
          <w:p w14:paraId="7A88E551" w14:textId="29D6DF38" w:rsidR="002772FD" w:rsidRPr="006A4C93" w:rsidRDefault="002772FD" w:rsidP="00837006">
            <w:pPr>
              <w:pStyle w:val="Heading7"/>
              <w:shd w:val="clear" w:color="auto" w:fill="FFFFFF" w:themeFill="background1"/>
            </w:pPr>
            <w:r w:rsidRPr="006A4C93">
              <w:t xml:space="preserve">Kainuu </w:t>
            </w:r>
          </w:p>
          <w:p w14:paraId="4B20AF21" w14:textId="4B65755C" w:rsidR="009813E2" w:rsidRPr="0027228E" w:rsidRDefault="009813E2" w:rsidP="0027228E">
            <w:pPr>
              <w:pStyle w:val="Body3"/>
            </w:pPr>
            <w:r w:rsidRPr="00F45650">
              <w:rPr>
                <w:b/>
              </w:rPr>
              <w:t>RIS3 funding</w:t>
            </w:r>
            <w:r w:rsidRPr="0027228E">
              <w:t xml:space="preserve">: In principle,  </w:t>
            </w:r>
            <w:r w:rsidR="005761EB" w:rsidRPr="0027228E">
              <w:t xml:space="preserve">RIS3  is  funded by 1) the ESIF 2014-2020 (TO1 - Strengthening research, technological development and innovation and TO3 Enhancing the competitiveness of SMEs, agriculture (Rural Development Fund) and fisheries and aquafarming (EMFF); but also from national resources, and  2)  Aiko funding (Regional innovations and experimentations funding. </w:t>
            </w:r>
          </w:p>
          <w:p w14:paraId="75A80F72" w14:textId="77777777" w:rsidR="005761EB" w:rsidRPr="0027228E" w:rsidRDefault="005761EB" w:rsidP="0027228E">
            <w:pPr>
              <w:pStyle w:val="Body3"/>
            </w:pPr>
          </w:p>
          <w:p w14:paraId="01A30950" w14:textId="73559F38" w:rsidR="000C5965" w:rsidRPr="0027228E" w:rsidRDefault="009813E2" w:rsidP="0027228E">
            <w:pPr>
              <w:pStyle w:val="Body3"/>
            </w:pPr>
            <w:r w:rsidRPr="0027228E">
              <w:t>State of play of the RIS3 implementation:</w:t>
            </w:r>
            <w:r w:rsidR="0038532D" w:rsidRPr="0027228E">
              <w:t xml:space="preserve"> </w:t>
            </w:r>
            <w:r w:rsidR="00F77C84" w:rsidRPr="0027228E">
              <w:t>RIS3 calls have starte</w:t>
            </w:r>
            <w:r w:rsidR="0038532D" w:rsidRPr="0027228E">
              <w:t>d</w:t>
            </w:r>
            <w:r w:rsidR="000C5965" w:rsidRPr="0027228E">
              <w:t xml:space="preserve">  but not distinct </w:t>
            </w:r>
            <w:r w:rsidR="0038532D" w:rsidRPr="0027228E">
              <w:t>visibility</w:t>
            </w:r>
            <w:r w:rsidR="000C5965" w:rsidRPr="0027228E">
              <w:t>,  RIS3 is part of the project evaluation criteria.</w:t>
            </w:r>
          </w:p>
        </w:tc>
        <w:tc>
          <w:tcPr>
            <w:tcW w:w="0" w:type="auto"/>
            <w:shd w:val="clear" w:color="auto" w:fill="FFFFFF" w:themeFill="background1"/>
            <w:vAlign w:val="center"/>
          </w:tcPr>
          <w:p w14:paraId="66CCE8B9" w14:textId="77777777" w:rsidR="009228A0" w:rsidRPr="0027228E" w:rsidRDefault="00347477" w:rsidP="0027228E">
            <w:pPr>
              <w:pStyle w:val="Body3"/>
            </w:pPr>
            <w:r w:rsidRPr="0027228E">
              <w:t>Technological connectivity week;  more than ESIF funds are often used for RIS3 implementation</w:t>
            </w:r>
            <w:r w:rsidR="00E34297" w:rsidRPr="0027228E">
              <w:t>.</w:t>
            </w:r>
          </w:p>
          <w:p w14:paraId="467D7783" w14:textId="5DFB879E" w:rsidR="00E34297" w:rsidRPr="006A4C93" w:rsidRDefault="00E34297" w:rsidP="0027228E">
            <w:pPr>
              <w:pStyle w:val="Body3"/>
            </w:pPr>
          </w:p>
        </w:tc>
      </w:tr>
      <w:tr w:rsidR="002772FD" w:rsidRPr="006A4C93" w14:paraId="0AC2CB82" w14:textId="05D58504" w:rsidTr="0027228E">
        <w:trPr>
          <w:trHeight w:val="192"/>
        </w:trPr>
        <w:tc>
          <w:tcPr>
            <w:tcW w:w="3275" w:type="pct"/>
            <w:shd w:val="clear" w:color="auto" w:fill="FFFFFF" w:themeFill="background1"/>
          </w:tcPr>
          <w:p w14:paraId="4B12D3E3" w14:textId="1A6107EA" w:rsidR="002772FD" w:rsidRPr="006A4C93" w:rsidRDefault="000B7CC0" w:rsidP="00837006">
            <w:pPr>
              <w:pStyle w:val="Heading7"/>
              <w:shd w:val="clear" w:color="auto" w:fill="FFFFFF" w:themeFill="background1"/>
            </w:pPr>
            <w:r w:rsidRPr="006A4C93">
              <w:t>Lubelskie</w:t>
            </w:r>
          </w:p>
          <w:p w14:paraId="5F7C4DF6" w14:textId="673C2F55" w:rsidR="00A65F95" w:rsidRPr="00837006" w:rsidRDefault="00F77C84" w:rsidP="00F45650">
            <w:pPr>
              <w:pStyle w:val="Body3"/>
              <w:rPr>
                <w:shd w:val="clear" w:color="auto" w:fill="FFFFFF" w:themeFill="background1"/>
              </w:rPr>
            </w:pPr>
            <w:r w:rsidRPr="00F45650">
              <w:rPr>
                <w:b/>
                <w:shd w:val="clear" w:color="auto" w:fill="FFFFFF" w:themeFill="background1"/>
              </w:rPr>
              <w:lastRenderedPageBreak/>
              <w:t>RIS3 funding</w:t>
            </w:r>
            <w:r w:rsidRPr="0027228E">
              <w:rPr>
                <w:shd w:val="clear" w:color="auto" w:fill="FFFFFF" w:themeFill="background1"/>
              </w:rPr>
              <w:t>:</w:t>
            </w:r>
            <w:r w:rsidR="00A65F95" w:rsidRPr="006A4C93">
              <w:t xml:space="preserve"> </w:t>
            </w:r>
            <w:r w:rsidR="00EA4461" w:rsidRPr="00837006">
              <w:rPr>
                <w:shd w:val="clear" w:color="auto" w:fill="FFFFFF" w:themeFill="background1"/>
              </w:rPr>
              <w:t>ESIF 2014-2020 is dedicated to RIS3 implementation directly under the first thematic objective (TO1). Although some actions will also be undertaken within the other priority axes in the ROP</w:t>
            </w:r>
          </w:p>
          <w:p w14:paraId="26355BA6" w14:textId="77777777" w:rsidR="005F4386" w:rsidRPr="0027228E" w:rsidRDefault="005F4386" w:rsidP="0027228E">
            <w:pPr>
              <w:pStyle w:val="Body3"/>
            </w:pPr>
          </w:p>
          <w:p w14:paraId="3056BDF9" w14:textId="0EC81B9C" w:rsidR="008849A7" w:rsidRPr="0027228E" w:rsidRDefault="00A65F95" w:rsidP="0027228E">
            <w:pPr>
              <w:pStyle w:val="Body3"/>
            </w:pPr>
            <w:r w:rsidRPr="0027228E">
              <w:t>State of play of the RIS3 implementation:</w:t>
            </w:r>
            <w:r w:rsidR="008849A7" w:rsidRPr="0027228E">
              <w:t>ESIF 2014-2020 is fully funding RIS3 implementation.</w:t>
            </w:r>
            <w:r w:rsidR="00EA4461" w:rsidRPr="0027228E">
              <w:t>. The first calls under the ROP have already been finished and the projects have been started but they are at the initial stage. That is why the effects will be evaluated at a later stage.</w:t>
            </w:r>
          </w:p>
        </w:tc>
        <w:tc>
          <w:tcPr>
            <w:tcW w:w="0" w:type="auto"/>
            <w:shd w:val="clear" w:color="auto" w:fill="FFFFFF" w:themeFill="background1"/>
            <w:vAlign w:val="center"/>
          </w:tcPr>
          <w:p w14:paraId="724C4EEE" w14:textId="77777777" w:rsidR="002772FD" w:rsidRPr="0027228E" w:rsidRDefault="00347477" w:rsidP="0027228E">
            <w:pPr>
              <w:pStyle w:val="Body3"/>
            </w:pPr>
            <w:r w:rsidRPr="0027228E">
              <w:lastRenderedPageBreak/>
              <w:t xml:space="preserve">Polish NOP &amp; ROP:s 2014-2020 among the best well designed  </w:t>
            </w:r>
            <w:r w:rsidRPr="0027228E">
              <w:lastRenderedPageBreak/>
              <w:t>provisions for supporting innovation and technological connectivity, including at interregional level.</w:t>
            </w:r>
          </w:p>
          <w:p w14:paraId="6B5CB142" w14:textId="747CED2E" w:rsidR="00E34297" w:rsidRPr="0027228E" w:rsidRDefault="00E34297" w:rsidP="0027228E">
            <w:pPr>
              <w:pStyle w:val="Body3"/>
            </w:pPr>
            <w:r w:rsidRPr="0027228E">
              <w:t>RIS3 calls have started.</w:t>
            </w:r>
          </w:p>
        </w:tc>
      </w:tr>
      <w:tr w:rsidR="002772FD" w:rsidRPr="006A4C93" w14:paraId="73E48AEA" w14:textId="5E0923C4" w:rsidTr="0027228E">
        <w:trPr>
          <w:trHeight w:val="511"/>
        </w:trPr>
        <w:tc>
          <w:tcPr>
            <w:tcW w:w="3275" w:type="pct"/>
            <w:shd w:val="clear" w:color="auto" w:fill="FFFFFF" w:themeFill="background1"/>
          </w:tcPr>
          <w:p w14:paraId="7B01E3DC" w14:textId="77777777" w:rsidR="002772FD" w:rsidRPr="006A4C93" w:rsidRDefault="002772FD" w:rsidP="00837006">
            <w:pPr>
              <w:pStyle w:val="Heading7"/>
              <w:shd w:val="clear" w:color="auto" w:fill="FFFFFF" w:themeFill="background1"/>
            </w:pPr>
            <w:r w:rsidRPr="006A4C93">
              <w:t>Uusimaa</w:t>
            </w:r>
          </w:p>
          <w:p w14:paraId="28BE9DE0" w14:textId="67371068" w:rsidR="005761EB" w:rsidRPr="0027228E" w:rsidRDefault="00A65F95" w:rsidP="0027228E">
            <w:pPr>
              <w:pStyle w:val="Body3"/>
            </w:pPr>
            <w:r w:rsidRPr="00F45650">
              <w:rPr>
                <w:b/>
              </w:rPr>
              <w:t>RIS3 funding:</w:t>
            </w:r>
            <w:r w:rsidRPr="0027228E">
              <w:t xml:space="preserve"> </w:t>
            </w:r>
            <w:r w:rsidR="009813E2" w:rsidRPr="0027228E">
              <w:t xml:space="preserve">In principle,  RIS3  is  funded by </w:t>
            </w:r>
            <w:r w:rsidR="005761EB" w:rsidRPr="0027228E">
              <w:t>1) the ESIF 2014-2020 (</w:t>
            </w:r>
            <w:r w:rsidR="009813E2" w:rsidRPr="0027228E">
              <w:t>TO1</w:t>
            </w:r>
            <w:r w:rsidR="005761EB" w:rsidRPr="0027228E">
              <w:t xml:space="preserve"> - Strengthening research, technological development and innovation and TO3 Enhancing the competitiveness of SMEs, agriculture (Rural Development Fund) and fisheries and aquafarming (EMFF); but also from national resources 2)  Aiko funding (Regional innovations and experimentations funding) and 3)   Makera funding (Regional development funding)</w:t>
            </w:r>
          </w:p>
          <w:p w14:paraId="5BE744DC" w14:textId="4260CD8A" w:rsidR="009813E2" w:rsidRPr="0027228E" w:rsidRDefault="009813E2" w:rsidP="0027228E">
            <w:pPr>
              <w:pStyle w:val="Body3"/>
            </w:pPr>
          </w:p>
          <w:p w14:paraId="0D32032E" w14:textId="77777777" w:rsidR="000C5965" w:rsidRPr="0027228E" w:rsidRDefault="00A65F95" w:rsidP="0027228E">
            <w:pPr>
              <w:pStyle w:val="Body3"/>
            </w:pPr>
            <w:r w:rsidRPr="0027228E">
              <w:t>State of play of the RIS3 implementation:</w:t>
            </w:r>
            <w:r w:rsidR="0038532D" w:rsidRPr="0027228E">
              <w:t xml:space="preserve"> RIS3 calls have started  but not distinct visibility,  RIS3 is part of the project evaluation criteria.</w:t>
            </w:r>
            <w:r w:rsidR="00824C98" w:rsidRPr="0027228E">
              <w:t xml:space="preserve"> </w:t>
            </w:r>
          </w:p>
          <w:p w14:paraId="6E05E9BB" w14:textId="2C4741F8" w:rsidR="005761EB" w:rsidRPr="006A4C93" w:rsidRDefault="005761EB" w:rsidP="0027228E">
            <w:pPr>
              <w:pStyle w:val="Body3"/>
            </w:pPr>
          </w:p>
        </w:tc>
        <w:tc>
          <w:tcPr>
            <w:tcW w:w="0" w:type="auto"/>
            <w:shd w:val="clear" w:color="auto" w:fill="FFFFFF" w:themeFill="background1"/>
            <w:vAlign w:val="center"/>
          </w:tcPr>
          <w:p w14:paraId="6AE2D8D4" w14:textId="77777777" w:rsidR="002772FD" w:rsidRPr="0027228E" w:rsidRDefault="0044556A" w:rsidP="0027228E">
            <w:pPr>
              <w:pStyle w:val="Body3"/>
            </w:pPr>
            <w:r w:rsidRPr="0027228E">
              <w:t>ESIF does not suffice for RIS3 implementation and additional funding and financing schemes are needed.</w:t>
            </w:r>
          </w:p>
          <w:p w14:paraId="1FADFA89" w14:textId="1BA53AE6" w:rsidR="000C5965" w:rsidRPr="0027228E" w:rsidRDefault="000C5965" w:rsidP="0027228E">
            <w:pPr>
              <w:pStyle w:val="Body3"/>
            </w:pPr>
            <w:r w:rsidRPr="0027228E">
              <w:t xml:space="preserve">Have there been </w:t>
            </w:r>
          </w:p>
        </w:tc>
      </w:tr>
      <w:tr w:rsidR="002772FD" w:rsidRPr="006A4C93" w14:paraId="554B7DDB" w14:textId="7071158F" w:rsidTr="0027228E">
        <w:trPr>
          <w:trHeight w:val="713"/>
        </w:trPr>
        <w:tc>
          <w:tcPr>
            <w:tcW w:w="3275" w:type="pct"/>
            <w:shd w:val="clear" w:color="auto" w:fill="FFFFFF" w:themeFill="background1"/>
          </w:tcPr>
          <w:p w14:paraId="6104D6F4" w14:textId="77777777" w:rsidR="002772FD" w:rsidRPr="006A4C93" w:rsidRDefault="002772FD" w:rsidP="00837006">
            <w:pPr>
              <w:pStyle w:val="Heading7"/>
              <w:shd w:val="clear" w:color="auto" w:fill="FFFFFF" w:themeFill="background1"/>
            </w:pPr>
            <w:r w:rsidRPr="006A4C93">
              <w:t>Western Macedonia</w:t>
            </w:r>
          </w:p>
          <w:p w14:paraId="31240009" w14:textId="0062E63B" w:rsidR="00A65F95" w:rsidRPr="00F45650" w:rsidRDefault="00A65F95" w:rsidP="0027228E">
            <w:pPr>
              <w:pStyle w:val="Otsikko13"/>
              <w:rPr>
                <w:snapToGrid/>
                <w:color w:val="000A11"/>
                <w:szCs w:val="16"/>
                <w:shd w:val="clear" w:color="auto" w:fill="auto"/>
                <w:lang w:val="en-US"/>
              </w:rPr>
            </w:pPr>
            <w:r w:rsidRPr="00F45650">
              <w:rPr>
                <w:snapToGrid/>
                <w:color w:val="000A11"/>
                <w:szCs w:val="16"/>
                <w:shd w:val="clear" w:color="auto" w:fill="auto"/>
                <w:lang w:val="en-US"/>
              </w:rPr>
              <w:t xml:space="preserve">RIS3 funding: </w:t>
            </w:r>
            <w:r w:rsidR="00DE7D49" w:rsidRPr="00F45650">
              <w:rPr>
                <w:snapToGrid/>
                <w:color w:val="000A11"/>
                <w:szCs w:val="16"/>
                <w:shd w:val="clear" w:color="auto" w:fill="auto"/>
                <w:lang w:val="en-US"/>
              </w:rPr>
              <w:t>ROP 2014-2020</w:t>
            </w:r>
          </w:p>
          <w:p w14:paraId="3FD64DB4" w14:textId="77777777" w:rsidR="00A65F95" w:rsidRPr="006A4C93" w:rsidRDefault="00A65F95" w:rsidP="0027228E">
            <w:pPr>
              <w:pStyle w:val="Otsikko13"/>
            </w:pPr>
          </w:p>
          <w:p w14:paraId="0AB65B40" w14:textId="466A4A27" w:rsidR="00A65F95" w:rsidRPr="0027228E" w:rsidRDefault="00A65F95" w:rsidP="0027228E">
            <w:pPr>
              <w:pStyle w:val="Body3"/>
            </w:pPr>
            <w:r w:rsidRPr="0027228E">
              <w:t>State of play of the RIS3 implementation:</w:t>
            </w:r>
            <w:r w:rsidR="009214E1" w:rsidRPr="0027228E">
              <w:t xml:space="preserve"> RIS3 calls have not started yet.</w:t>
            </w:r>
          </w:p>
          <w:p w14:paraId="4A91C550" w14:textId="3123F6FC" w:rsidR="000C5965" w:rsidRPr="006A4C93" w:rsidRDefault="000C5965" w:rsidP="0027228E">
            <w:pPr>
              <w:pStyle w:val="Body3"/>
            </w:pPr>
          </w:p>
        </w:tc>
        <w:tc>
          <w:tcPr>
            <w:tcW w:w="0" w:type="auto"/>
            <w:shd w:val="clear" w:color="auto" w:fill="FFFFFF" w:themeFill="background1"/>
            <w:vAlign w:val="center"/>
          </w:tcPr>
          <w:p w14:paraId="3D550D34" w14:textId="5C9987C6" w:rsidR="00E34297" w:rsidRPr="0027228E" w:rsidRDefault="00347477" w:rsidP="0027228E">
            <w:pPr>
              <w:pStyle w:val="Body3"/>
            </w:pPr>
            <w:r w:rsidRPr="0027228E">
              <w:t>RIS3 has good provisions, including  technological interregional connectivity; these provisions need to be adopted, considered by the MA of the region.</w:t>
            </w:r>
          </w:p>
        </w:tc>
      </w:tr>
      <w:tr w:rsidR="002772FD" w:rsidRPr="006A4C93" w14:paraId="38AEDE36" w14:textId="02E86048" w:rsidTr="0027228E">
        <w:trPr>
          <w:trHeight w:val="192"/>
        </w:trPr>
        <w:tc>
          <w:tcPr>
            <w:tcW w:w="3275" w:type="pct"/>
            <w:shd w:val="clear" w:color="auto" w:fill="FFFFFF" w:themeFill="background1"/>
          </w:tcPr>
          <w:p w14:paraId="173362D8" w14:textId="2380271B" w:rsidR="002772FD" w:rsidRPr="006A4C93" w:rsidRDefault="00A32AFE" w:rsidP="00837006">
            <w:pPr>
              <w:pStyle w:val="Heading7"/>
              <w:shd w:val="clear" w:color="auto" w:fill="FFFFFF" w:themeFill="background1"/>
            </w:pPr>
            <w:r w:rsidRPr="006A4C93">
              <w:t>Goriška</w:t>
            </w:r>
          </w:p>
          <w:p w14:paraId="5DC4B485" w14:textId="64313C0A" w:rsidR="00A32AFE" w:rsidRPr="0027228E" w:rsidRDefault="00A65F95" w:rsidP="0027228E">
            <w:pPr>
              <w:pStyle w:val="Body3"/>
            </w:pPr>
            <w:r w:rsidRPr="0027228E">
              <w:t xml:space="preserve">RIS3 funding: </w:t>
            </w:r>
            <w:r w:rsidR="00B56FE3" w:rsidRPr="0027228E">
              <w:t xml:space="preserve"> All the fu</w:t>
            </w:r>
            <w:r w:rsidR="00903190" w:rsidRPr="0027228E">
              <w:t>n</w:t>
            </w:r>
            <w:r w:rsidR="00B56FE3" w:rsidRPr="0027228E">
              <w:t>d</w:t>
            </w:r>
            <w:r w:rsidR="00903190" w:rsidRPr="0027228E">
              <w:t>ing that comes from the ESIF</w:t>
            </w:r>
            <w:r w:rsidR="00B56FE3" w:rsidRPr="0027228E">
              <w:t xml:space="preserve"> </w:t>
            </w:r>
            <w:r w:rsidR="00903190" w:rsidRPr="0027228E">
              <w:t>prioriti</w:t>
            </w:r>
            <w:r w:rsidR="00B56FE3" w:rsidRPr="0027228E">
              <w:t>s</w:t>
            </w:r>
            <w:r w:rsidR="00903190" w:rsidRPr="0027228E">
              <w:t>es the RIS3</w:t>
            </w:r>
            <w:r w:rsidR="00B56FE3" w:rsidRPr="0027228E">
              <w:t xml:space="preserve"> industries</w:t>
            </w:r>
            <w:r w:rsidR="00903190" w:rsidRPr="0027228E">
              <w:t>, both at national and at regional levels.</w:t>
            </w:r>
            <w:r w:rsidR="00B56FE3" w:rsidRPr="0027228E">
              <w:t xml:space="preserve"> Funding is centralised However,  there is the option of the </w:t>
            </w:r>
            <w:r w:rsidR="00A32AFE" w:rsidRPr="0027228E">
              <w:t xml:space="preserve">LAG mechanism </w:t>
            </w:r>
            <w:r w:rsidR="00B56FE3" w:rsidRPr="0027228E">
              <w:t xml:space="preserve">allowing funding </w:t>
            </w:r>
            <w:r w:rsidR="00A32AFE" w:rsidRPr="0027228E">
              <w:t xml:space="preserve">decisions </w:t>
            </w:r>
            <w:r w:rsidR="00B56FE3" w:rsidRPr="0027228E">
              <w:t xml:space="preserve">to be made </w:t>
            </w:r>
            <w:r w:rsidR="00A32AFE" w:rsidRPr="0027228E">
              <w:t>locally</w:t>
            </w:r>
            <w:r w:rsidR="00B56FE3" w:rsidRPr="0027228E">
              <w:t xml:space="preserve">. </w:t>
            </w:r>
          </w:p>
          <w:p w14:paraId="1CAD4FAC" w14:textId="77777777" w:rsidR="00A65F95" w:rsidRPr="0027228E" w:rsidRDefault="00A65F95" w:rsidP="0027228E">
            <w:pPr>
              <w:pStyle w:val="Body3"/>
            </w:pPr>
          </w:p>
          <w:p w14:paraId="0668EF62" w14:textId="354DA3BC" w:rsidR="00A32AFE" w:rsidRPr="0027228E" w:rsidRDefault="00A65F95" w:rsidP="0027228E">
            <w:pPr>
              <w:pStyle w:val="Body3"/>
            </w:pPr>
            <w:r w:rsidRPr="0027228E">
              <w:t>State of play of the RIS3 implementation:</w:t>
            </w:r>
            <w:r w:rsidR="00903190" w:rsidRPr="0027228E">
              <w:t xml:space="preserve"> RIS3 calls =</w:t>
            </w:r>
            <w:r w:rsidR="00B56FE3" w:rsidRPr="0027228E">
              <w:t xml:space="preserve"> ESIF calls  have stared since </w:t>
            </w:r>
            <w:r w:rsidR="00903190" w:rsidRPr="0027228E">
              <w:t>2 yea</w:t>
            </w:r>
            <w:r w:rsidR="00B56FE3" w:rsidRPr="0027228E">
              <w:t xml:space="preserve">rs. There are special targeted </w:t>
            </w:r>
            <w:r w:rsidR="00903190" w:rsidRPr="0027228E">
              <w:t xml:space="preserve">calls </w:t>
            </w:r>
            <w:r w:rsidR="00B56FE3" w:rsidRPr="0027228E">
              <w:t xml:space="preserve">aiming at </w:t>
            </w:r>
            <w:r w:rsidR="00903190" w:rsidRPr="0027228E">
              <w:t>connect</w:t>
            </w:r>
            <w:r w:rsidR="00B56FE3" w:rsidRPr="0027228E">
              <w:t>ing</w:t>
            </w:r>
            <w:r w:rsidR="00903190" w:rsidRPr="0027228E">
              <w:t xml:space="preserve"> research to business.</w:t>
            </w:r>
          </w:p>
          <w:p w14:paraId="4C2814B2" w14:textId="41C1B787" w:rsidR="008849A7" w:rsidRPr="006A4C93" w:rsidRDefault="008849A7" w:rsidP="0027228E">
            <w:pPr>
              <w:pStyle w:val="Body3"/>
            </w:pPr>
          </w:p>
        </w:tc>
        <w:tc>
          <w:tcPr>
            <w:tcW w:w="0" w:type="auto"/>
            <w:shd w:val="clear" w:color="auto" w:fill="FFFFFF" w:themeFill="background1"/>
            <w:vAlign w:val="center"/>
          </w:tcPr>
          <w:p w14:paraId="7781C741" w14:textId="02C51F52" w:rsidR="002772FD" w:rsidRPr="0027228E" w:rsidRDefault="00903190" w:rsidP="0027228E">
            <w:pPr>
              <w:pStyle w:val="Body3"/>
            </w:pPr>
            <w:r w:rsidRPr="0027228E">
              <w:t>It would be possible t</w:t>
            </w:r>
            <w:r w:rsidR="00B56FE3" w:rsidRPr="0027228E">
              <w:t>o have interregional calls, provided there is justification for this.</w:t>
            </w:r>
          </w:p>
          <w:p w14:paraId="7E8F3BC9" w14:textId="4BF94A45" w:rsidR="00271C49" w:rsidRPr="0027228E" w:rsidRDefault="00271C49" w:rsidP="0027228E">
            <w:pPr>
              <w:pStyle w:val="Body3"/>
            </w:pPr>
            <w:r w:rsidRPr="0027228E">
              <w:t>Cross border cooperation with the University of Udine a very encouraging background (and mayeb a good impact of Interreg A programmes).</w:t>
            </w:r>
          </w:p>
          <w:p w14:paraId="27C25C36" w14:textId="4FD929F8" w:rsidR="00903190" w:rsidRPr="006A4C93" w:rsidRDefault="00903190" w:rsidP="0027228E">
            <w:pPr>
              <w:pStyle w:val="Body3"/>
            </w:pPr>
          </w:p>
        </w:tc>
      </w:tr>
      <w:tr w:rsidR="002772FD" w:rsidRPr="006A4C93" w14:paraId="4ADA4F47" w14:textId="665843FB" w:rsidTr="0027228E">
        <w:trPr>
          <w:trHeight w:val="192"/>
        </w:trPr>
        <w:tc>
          <w:tcPr>
            <w:tcW w:w="3275" w:type="pct"/>
            <w:shd w:val="clear" w:color="auto" w:fill="FFFFFF" w:themeFill="background1"/>
          </w:tcPr>
          <w:p w14:paraId="73F86458" w14:textId="5C43CF87" w:rsidR="002772FD" w:rsidRPr="006A4C93" w:rsidRDefault="002772FD" w:rsidP="00837006">
            <w:pPr>
              <w:pStyle w:val="Heading7"/>
              <w:shd w:val="clear" w:color="auto" w:fill="FFFFFF" w:themeFill="background1"/>
            </w:pPr>
            <w:r w:rsidRPr="006A4C93">
              <w:t>Western Transdanubia</w:t>
            </w:r>
          </w:p>
          <w:p w14:paraId="6E50BE2B" w14:textId="44BA995D" w:rsidR="00A65F95" w:rsidRPr="0027228E" w:rsidRDefault="00A65F95" w:rsidP="0027228E">
            <w:pPr>
              <w:pStyle w:val="Body3"/>
            </w:pPr>
            <w:r w:rsidRPr="0027228E">
              <w:t>RIS3 funding: 1) HU has a nartional  RIS3; 2) funding from TO1: Descriptions: Advanced technologies in the vehicle and other machine industries; Capabilities: 1. Manufacturing and Industry; 2. Machinery and equipment; Target markets: 1. Manufacturing and Industry; 2. Motor vehicles and other transport equipments;  EU priorities: 1. Key Enabling Technologies (KETs); 2. Advanced manufacturing systems.</w:t>
            </w:r>
          </w:p>
          <w:p w14:paraId="1301E5D1" w14:textId="2E2CB593" w:rsidR="00BD3F70" w:rsidRPr="0027228E" w:rsidRDefault="00A65F95" w:rsidP="0027228E">
            <w:pPr>
              <w:pStyle w:val="Body3"/>
            </w:pPr>
            <w:r w:rsidRPr="0027228E">
              <w:t>State of play of the RIS3 implementation:</w:t>
            </w:r>
            <w:r w:rsidR="006056FE" w:rsidRPr="0027228E">
              <w:t xml:space="preserve">   Provisions in  projects exist.</w:t>
            </w:r>
          </w:p>
        </w:tc>
        <w:tc>
          <w:tcPr>
            <w:tcW w:w="0" w:type="auto"/>
            <w:shd w:val="clear" w:color="auto" w:fill="FFFFFF" w:themeFill="background1"/>
            <w:vAlign w:val="center"/>
          </w:tcPr>
          <w:p w14:paraId="6334E626" w14:textId="2A6CBCB2" w:rsidR="002772FD" w:rsidRPr="0027228E" w:rsidRDefault="00F77C84" w:rsidP="0027228E">
            <w:pPr>
              <w:pStyle w:val="Body3"/>
            </w:pPr>
            <w:r w:rsidRPr="0027228E">
              <w:t>There is possibilty for cross fertilisation with technologies that re also prioritised, e.g. special material, advanced materials,  etc.   Therefore, cross fertilisation strategy document might be needed.</w:t>
            </w:r>
          </w:p>
        </w:tc>
      </w:tr>
    </w:tbl>
    <w:p w14:paraId="2C990AF9" w14:textId="77777777" w:rsidR="00583DFE" w:rsidRDefault="00583DFE" w:rsidP="00837006">
      <w:pPr>
        <w:pStyle w:val="Heading8"/>
        <w:shd w:val="clear" w:color="auto" w:fill="FFFFFF" w:themeFill="background1"/>
      </w:pPr>
      <w:bookmarkStart w:id="63" w:name="_Ref355167453"/>
    </w:p>
    <w:p w14:paraId="3E33B709" w14:textId="51AAD9A6" w:rsidR="00480270" w:rsidRDefault="00480270" w:rsidP="00F51ACF">
      <w:pPr>
        <w:pStyle w:val="Caption"/>
        <w:numPr>
          <w:ilvl w:val="0"/>
          <w:numId w:val="0"/>
        </w:numPr>
      </w:pPr>
      <w:bookmarkStart w:id="64" w:name="_Toc526591119"/>
      <w:bookmarkEnd w:id="63"/>
      <w:r>
        <w:t xml:space="preserve">Insights Table  </w:t>
      </w:r>
      <w:bookmarkEnd w:id="64"/>
      <w:r w:rsidR="00945BF2">
        <w:t>6</w:t>
      </w:r>
    </w:p>
    <w:p w14:paraId="7BD1F56F" w14:textId="5DBCC1E5" w:rsidR="004B15F9" w:rsidRPr="006A4C93" w:rsidRDefault="004B15F9" w:rsidP="00F45650">
      <w:pPr>
        <w:pStyle w:val="ListParagraph"/>
      </w:pPr>
      <w:r w:rsidRPr="006A4C93">
        <w:t>In general,  RIS3 implementation is part of the ESIF implementation, i.e. no special clals, only additional provisions. These provisions refer for the most part to RIS3 prioritised industries but not to cross cutting issues  such  as KET applications, or commercialisation of research, or TRL improvement (with some exceptions in one or two regions). It implies, in the action plans, one  aspect to consider would be to include such provisions in the forthcoming ESIF /RIS3 calls.</w:t>
      </w:r>
    </w:p>
    <w:p w14:paraId="2241905A" w14:textId="76E97545" w:rsidR="00660170" w:rsidRPr="006A4C93" w:rsidRDefault="00660170" w:rsidP="00F45650">
      <w:pPr>
        <w:pStyle w:val="ListParagraph"/>
      </w:pPr>
      <w:r w:rsidRPr="006A4C93">
        <w:t>RIS3 is meant to be funded by the structuta</w:t>
      </w:r>
      <w:r w:rsidR="004B15F9" w:rsidRPr="006A4C93">
        <w:t>l funds. However, in some regio</w:t>
      </w:r>
      <w:r w:rsidRPr="006A4C93">
        <w:t>n</w:t>
      </w:r>
      <w:r w:rsidR="004B15F9" w:rsidRPr="006A4C93">
        <w:t>s</w:t>
      </w:r>
      <w:r w:rsidRPr="006A4C93">
        <w:t xml:space="preserve">, the structural funds are rather </w:t>
      </w:r>
      <w:r w:rsidR="004B15F9" w:rsidRPr="006A4C93">
        <w:t>small</w:t>
      </w:r>
      <w:r w:rsidRPr="006A4C93">
        <w:t>. A question is, then, how can a policy be implemented effectively if there are no suitable funds.</w:t>
      </w:r>
      <w:r w:rsidR="0089622B" w:rsidRPr="006A4C93">
        <w:t xml:space="preserve"> At the moment there do not appear </w:t>
      </w:r>
      <w:r w:rsidR="004B15F9" w:rsidRPr="006A4C93">
        <w:t>formal approach</w:t>
      </w:r>
      <w:r w:rsidR="0089622B" w:rsidRPr="006A4C93">
        <w:t>es combining</w:t>
      </w:r>
      <w:r w:rsidR="004B15F9" w:rsidRPr="006A4C93">
        <w:t xml:space="preserve"> national innovation funds with cohesion funding.</w:t>
      </w:r>
    </w:p>
    <w:p w14:paraId="0275C39A" w14:textId="656982A0" w:rsidR="00660170" w:rsidRPr="006A4C93" w:rsidRDefault="003A0995" w:rsidP="00F45650">
      <w:pPr>
        <w:pStyle w:val="ListParagraph"/>
      </w:pPr>
      <w:r w:rsidRPr="006A4C93">
        <w:t>In some m</w:t>
      </w:r>
      <w:r w:rsidR="0089622B" w:rsidRPr="006A4C93">
        <w:t>ember states there are good prac</w:t>
      </w:r>
      <w:r w:rsidRPr="006A4C93">
        <w:t xml:space="preserve">tices both in the ESIF and at national level promoting new business ideas from research. </w:t>
      </w:r>
      <w:r w:rsidR="0089622B" w:rsidRPr="006A4C93">
        <w:t>Such good practices could be transferred and adopted by the other regions.</w:t>
      </w:r>
    </w:p>
    <w:p w14:paraId="7560B069" w14:textId="77777777" w:rsidR="0044556A" w:rsidRPr="006A4C93" w:rsidRDefault="0044556A" w:rsidP="00F45650">
      <w:pPr>
        <w:pStyle w:val="Heading2"/>
      </w:pPr>
      <w:bookmarkStart w:id="65" w:name="_Toc526593126"/>
      <w:r w:rsidRPr="006A4C93">
        <w:t>Suggestions included in the innovation maps</w:t>
      </w:r>
      <w:bookmarkEnd w:id="65"/>
    </w:p>
    <w:p w14:paraId="65A3241F" w14:textId="246066FD" w:rsidR="00C15523" w:rsidRDefault="00C15523" w:rsidP="00837006">
      <w:pPr>
        <w:shd w:val="clear" w:color="auto" w:fill="FFFFFF" w:themeFill="background1"/>
      </w:pPr>
      <w:r w:rsidRPr="006A4C93">
        <w:t>All innovation map reports (except one) include suggestions and recommendations f</w:t>
      </w:r>
      <w:r w:rsidR="00F45650">
        <w:t>rom the exper</w:t>
      </w:r>
      <w:r w:rsidRPr="006A4C93">
        <w:t xml:space="preserve">ts who wrote the </w:t>
      </w:r>
      <w:r w:rsidR="00F45650">
        <w:t xml:space="preserve">respective </w:t>
      </w:r>
      <w:r w:rsidRPr="006A4C93">
        <w:t>approved RIS3 document</w:t>
      </w:r>
      <w:r w:rsidR="00F45650">
        <w:t xml:space="preserve"> for each region</w:t>
      </w:r>
      <w:r w:rsidRPr="006A4C93">
        <w:t>. Thes</w:t>
      </w:r>
      <w:r w:rsidR="00F45650">
        <w:t>e suggestuons should be taken into</w:t>
      </w:r>
      <w:r w:rsidRPr="006A4C93">
        <w:t xml:space="preserve"> accou</w:t>
      </w:r>
      <w:r w:rsidR="00F45650">
        <w:t xml:space="preserve">nt </w:t>
      </w:r>
      <w:r w:rsidRPr="006A4C93">
        <w:t>when dicusisng the BRIDGES 2</w:t>
      </w:r>
      <w:r w:rsidRPr="006A4C93">
        <w:rPr>
          <w:vertAlign w:val="superscript"/>
        </w:rPr>
        <w:t>nd</w:t>
      </w:r>
      <w:r w:rsidRPr="006A4C93">
        <w:t xml:space="preserve"> readin</w:t>
      </w:r>
      <w:r w:rsidR="00F45650">
        <w:t xml:space="preserve">gs and actions plans. To facilitate the process </w:t>
      </w:r>
      <w:r w:rsidR="00F45650">
        <w:fldChar w:fldCharType="begin"/>
      </w:r>
      <w:r w:rsidR="00F45650">
        <w:instrText xml:space="preserve"> REF _Ref502664957 \h </w:instrText>
      </w:r>
      <w:r w:rsidR="00F45650">
        <w:fldChar w:fldCharType="separate"/>
      </w:r>
      <w:r w:rsidR="00BA7AA6">
        <w:t>Table 7</w:t>
      </w:r>
      <w:r w:rsidR="00F45650">
        <w:fldChar w:fldCharType="end"/>
      </w:r>
      <w:r w:rsidR="00F45650">
        <w:t xml:space="preserve"> briefly refers to these recommendations. </w:t>
      </w:r>
    </w:p>
    <w:p w14:paraId="0F22EBAF" w14:textId="01427DD4" w:rsidR="00EB68EB" w:rsidRPr="006A4C93" w:rsidRDefault="00EB68EB" w:rsidP="00F51ACF">
      <w:pPr>
        <w:pStyle w:val="Caption"/>
        <w:numPr>
          <w:ilvl w:val="0"/>
          <w:numId w:val="0"/>
        </w:numPr>
        <w:ind w:left="720"/>
      </w:pPr>
      <w:bookmarkStart w:id="66" w:name="_Ref502664957"/>
      <w:bookmarkStart w:id="67" w:name="_Toc502665500"/>
      <w:bookmarkStart w:id="68" w:name="_Ref502695094"/>
      <w:bookmarkStart w:id="69" w:name="_Toc526593329"/>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7</w:t>
      </w:r>
      <w:r w:rsidR="00F01E0F">
        <w:rPr>
          <w:noProof/>
        </w:rPr>
        <w:fldChar w:fldCharType="end"/>
      </w:r>
      <w:bookmarkEnd w:id="66"/>
      <w:r>
        <w:t xml:space="preserve">  Sugges</w:t>
      </w:r>
      <w:r w:rsidR="00F45650">
        <w:t>t</w:t>
      </w:r>
      <w:r>
        <w:t>ions</w:t>
      </w:r>
      <w:bookmarkEnd w:id="67"/>
      <w:bookmarkEnd w:id="68"/>
      <w:bookmarkEnd w:id="69"/>
    </w:p>
    <w:tbl>
      <w:tblPr>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dotted" w:sz="2" w:space="0" w:color="F9D98C" w:themeColor="accent5" w:themeTint="99"/>
          <w:insideV w:val="dotted" w:sz="2" w:space="0" w:color="F9D98C" w:themeColor="accent5" w:themeTint="99"/>
        </w:tblBorders>
        <w:tblLook w:val="04A0" w:firstRow="1" w:lastRow="0" w:firstColumn="1" w:lastColumn="0" w:noHBand="0" w:noVBand="1"/>
      </w:tblPr>
      <w:tblGrid>
        <w:gridCol w:w="5942"/>
        <w:gridCol w:w="3130"/>
      </w:tblGrid>
      <w:tr w:rsidR="0044556A" w:rsidRPr="006A4C93" w14:paraId="154B33F4" w14:textId="77777777" w:rsidTr="00C15523">
        <w:trPr>
          <w:trHeight w:val="112"/>
          <w:tblHeader/>
        </w:trPr>
        <w:tc>
          <w:tcPr>
            <w:tcW w:w="3275" w:type="pct"/>
            <w:shd w:val="clear" w:color="auto" w:fill="F2F2F2" w:themeFill="background1" w:themeFillShade="F2"/>
          </w:tcPr>
          <w:p w14:paraId="2D3E182C" w14:textId="77777777" w:rsidR="0044556A" w:rsidRPr="00EB68EB" w:rsidRDefault="0044556A" w:rsidP="00EB68EB">
            <w:pPr>
              <w:rPr>
                <w:b/>
              </w:rPr>
            </w:pPr>
            <w:r w:rsidRPr="00EB68EB">
              <w:rPr>
                <w:b/>
              </w:rPr>
              <w:t>Suggestions</w:t>
            </w:r>
          </w:p>
        </w:tc>
        <w:tc>
          <w:tcPr>
            <w:tcW w:w="1725" w:type="pct"/>
            <w:shd w:val="clear" w:color="auto" w:fill="F2F2F2" w:themeFill="background1" w:themeFillShade="F2"/>
          </w:tcPr>
          <w:p w14:paraId="42320DE0" w14:textId="77777777" w:rsidR="0044556A" w:rsidRPr="00EB68EB" w:rsidRDefault="0044556A" w:rsidP="00EB68EB">
            <w:pPr>
              <w:rPr>
                <w:b/>
              </w:rPr>
            </w:pPr>
            <w:r w:rsidRPr="00EB68EB">
              <w:rPr>
                <w:b/>
              </w:rPr>
              <w:t>Comments</w:t>
            </w:r>
          </w:p>
        </w:tc>
      </w:tr>
      <w:tr w:rsidR="0044556A" w:rsidRPr="006A4C93" w14:paraId="00E67FD5" w14:textId="77777777" w:rsidTr="00C15523">
        <w:trPr>
          <w:trHeight w:val="192"/>
        </w:trPr>
        <w:tc>
          <w:tcPr>
            <w:tcW w:w="3275" w:type="pct"/>
          </w:tcPr>
          <w:p w14:paraId="0114C87F" w14:textId="77777777" w:rsidR="0044556A" w:rsidRPr="00EB68EB" w:rsidRDefault="0044556A" w:rsidP="00EB68EB">
            <w:pPr>
              <w:pStyle w:val="Body3"/>
              <w:rPr>
                <w:b/>
              </w:rPr>
            </w:pPr>
            <w:r w:rsidRPr="00EB68EB">
              <w:rPr>
                <w:b/>
              </w:rPr>
              <w:t xml:space="preserve">Kainuu </w:t>
            </w:r>
          </w:p>
          <w:p w14:paraId="155C741A" w14:textId="446F0B07" w:rsidR="0044556A" w:rsidRPr="00EB68EB" w:rsidRDefault="0044556A" w:rsidP="00EB68EB">
            <w:pPr>
              <w:pStyle w:val="Body3"/>
            </w:pPr>
            <w:bookmarkStart w:id="70" w:name="_Ref354989755"/>
            <w:r w:rsidRPr="00EB68EB">
              <w:t>“It clearly seems that the most promising innovation potential in Kainuu are (1) Bioethanol production (2) Wood construction in Kantola business park (3) Modern pulp mill (Bio product factory) (4) Concentration and utilization of valuable components of biomasses such as berries and their industrial side streams.</w:t>
            </w:r>
            <w:bookmarkEnd w:id="70"/>
          </w:p>
        </w:tc>
        <w:tc>
          <w:tcPr>
            <w:tcW w:w="1725" w:type="pct"/>
          </w:tcPr>
          <w:p w14:paraId="16DEB342" w14:textId="77777777" w:rsidR="0044556A" w:rsidRPr="0027228E" w:rsidRDefault="0044556A" w:rsidP="0027228E">
            <w:pPr>
              <w:pStyle w:val="Body3"/>
            </w:pPr>
            <w:r w:rsidRPr="0027228E">
              <w:t>Critical mass issues not addressed</w:t>
            </w:r>
          </w:p>
          <w:p w14:paraId="7C5C3B8A" w14:textId="77777777" w:rsidR="0044556A" w:rsidRPr="0027228E" w:rsidRDefault="0044556A" w:rsidP="0027228E">
            <w:pPr>
              <w:pStyle w:val="Body3"/>
            </w:pPr>
            <w:r w:rsidRPr="0027228E">
              <w:t>Lack of investors not taken into account</w:t>
            </w:r>
            <w:r w:rsidR="00EE4DF4" w:rsidRPr="0027228E">
              <w:t>. </w:t>
            </w:r>
            <w:r w:rsidRPr="0027228E">
              <w:t>Region made and circulated within the RSK additional questions to get working insights into the business situation</w:t>
            </w:r>
            <w:r w:rsidR="00EE4DF4" w:rsidRPr="0027228E">
              <w:t>.</w:t>
            </w:r>
          </w:p>
          <w:p w14:paraId="79651C6F" w14:textId="77777777" w:rsidR="00EE4DF4" w:rsidRPr="0027228E" w:rsidRDefault="00EE4DF4" w:rsidP="0027228E">
            <w:pPr>
              <w:pStyle w:val="Body3"/>
            </w:pPr>
          </w:p>
          <w:p w14:paraId="24CCD24D" w14:textId="77777777" w:rsidR="00EE4DF4" w:rsidRPr="0027228E" w:rsidRDefault="00EE4DF4" w:rsidP="0027228E">
            <w:pPr>
              <w:pStyle w:val="Body3"/>
            </w:pPr>
            <w:r w:rsidRPr="0027228E">
              <w:t>EDP evolving.</w:t>
            </w:r>
          </w:p>
          <w:p w14:paraId="60ACA92A" w14:textId="77777777" w:rsidR="00EE4DF4" w:rsidRPr="0027228E" w:rsidRDefault="00EE4DF4" w:rsidP="0027228E">
            <w:pPr>
              <w:pStyle w:val="Body3"/>
            </w:pPr>
          </w:p>
          <w:p w14:paraId="08676050" w14:textId="13CA1510" w:rsidR="00EE4DF4" w:rsidRPr="0027228E" w:rsidRDefault="00EE4DF4" w:rsidP="0027228E">
            <w:pPr>
              <w:pStyle w:val="Body3"/>
            </w:pPr>
            <w:r w:rsidRPr="0027228E">
              <w:t>C</w:t>
            </w:r>
            <w:r w:rsidR="00DA4CE6">
              <w:t>ontacts to</w:t>
            </w:r>
            <w:r w:rsidRPr="0027228E">
              <w:t xml:space="preserve"> TEKES (</w:t>
            </w:r>
            <w:r w:rsidR="00DA4CE6">
              <w:t xml:space="preserve">ZIM </w:t>
            </w:r>
            <w:r w:rsidRPr="0027228E">
              <w:t>&amp; BBI (bio based industries) support the gradual formulation of the regional action plan.</w:t>
            </w:r>
          </w:p>
        </w:tc>
      </w:tr>
      <w:tr w:rsidR="0044556A" w:rsidRPr="006A4C93" w14:paraId="11340CB0" w14:textId="77777777" w:rsidTr="00C15523">
        <w:trPr>
          <w:trHeight w:val="725"/>
        </w:trPr>
        <w:tc>
          <w:tcPr>
            <w:tcW w:w="3275" w:type="pct"/>
          </w:tcPr>
          <w:p w14:paraId="25C2CCA5" w14:textId="77777777" w:rsidR="0044556A" w:rsidRPr="00EB68EB" w:rsidRDefault="0044556A" w:rsidP="00EB68EB">
            <w:pPr>
              <w:pStyle w:val="Body3"/>
              <w:rPr>
                <w:b/>
              </w:rPr>
            </w:pPr>
            <w:r w:rsidRPr="00EB68EB">
              <w:rPr>
                <w:b/>
              </w:rPr>
              <w:t>Lubelskie</w:t>
            </w:r>
          </w:p>
          <w:p w14:paraId="3D31AD9C" w14:textId="77777777" w:rsidR="0044556A" w:rsidRPr="006A4C93" w:rsidRDefault="0044556A" w:rsidP="005A4A10">
            <w:pPr>
              <w:pStyle w:val="ListBullet2"/>
            </w:pPr>
            <w:r w:rsidRPr="006A4C93">
              <w:t>Three businesses available for EUREKA cooperation, however one more can qualify: NexBio Sp. z o.o., biotechnology eneterprise that creates innovative solutions for agri-food industry. It is a start-up, established in 2015, that won the second edition of Chivas The Venture competition and was qualified to the world final. The firm provides molecular tests (DNA analysis) which enable identification of organisms present in agri-food products and measurement of their quantity.</w:t>
            </w:r>
          </w:p>
          <w:p w14:paraId="35DE0C95" w14:textId="77777777" w:rsidR="0044556A" w:rsidRPr="006A4C93" w:rsidRDefault="0044556A" w:rsidP="005A4A10">
            <w:pPr>
              <w:pStyle w:val="ListBullet2"/>
            </w:pPr>
            <w:r w:rsidRPr="006A4C93">
              <w:lastRenderedPageBreak/>
              <w:t xml:space="preserve">Ranks high in the country’s production of herbs, the enterprises of the herb industry should also be considered as businesses with development potential (Herbapol and Krautex), however they met only third criterion.  </w:t>
            </w:r>
          </w:p>
          <w:p w14:paraId="22957644" w14:textId="77777777" w:rsidR="0044556A" w:rsidRPr="006A4C93" w:rsidRDefault="0044556A" w:rsidP="005A4A10">
            <w:pPr>
              <w:pStyle w:val="ListBullet2"/>
            </w:pPr>
            <w:r w:rsidRPr="006A4C93">
              <w:t>National leader in cultivation of soft fruits (raspberries - 75% of domestic production, currants - 32% of domestic production, strawberries - 18% of domestic production) the absence of enterprises representing this sector in the results of mapping is thought-provoking. Among selected businesses there are firms that process and preserve the fruits (Agram, Chłodnia Mors, Herbapol).</w:t>
            </w:r>
          </w:p>
          <w:p w14:paraId="5AE6C2C7" w14:textId="77777777" w:rsidR="0044556A" w:rsidRPr="006A4C93" w:rsidRDefault="0044556A" w:rsidP="005A4A10">
            <w:pPr>
              <w:pStyle w:val="ListBullet2"/>
            </w:pPr>
            <w:r w:rsidRPr="006A4C93">
              <w:t xml:space="preserve">National leader in hop cultivation (83% of domestic production), so  the beer industry has a great development potential. The leader of beer industry in Lubelskie is Perła S.A., however it met only one of selected measurement indicators of BRIDGES project. </w:t>
            </w:r>
          </w:p>
          <w:p w14:paraId="61CB2F59" w14:textId="77777777" w:rsidR="0044556A" w:rsidRPr="006A4C93" w:rsidRDefault="0044556A" w:rsidP="00EB68EB">
            <w:pPr>
              <w:pStyle w:val="Body3"/>
            </w:pPr>
            <w:r w:rsidRPr="006A4C93">
              <w:t xml:space="preserve">The Lubelskie Voivodeship takes 3rd place in Poland regarding the number of licensed organic farms. However, these entities seem to be not active in applying for public financial support and not in undertaking collaboration on R&amp;D activities. </w:t>
            </w:r>
          </w:p>
          <w:p w14:paraId="623B2781" w14:textId="77777777" w:rsidR="00EA4461" w:rsidRPr="006A4C93" w:rsidRDefault="0044556A" w:rsidP="00EB68EB">
            <w:pPr>
              <w:pStyle w:val="Body3"/>
            </w:pPr>
            <w:r w:rsidRPr="006A4C93">
              <w:t>As a part of producer groups there are the pre-recognized ones who consist of fruit and vegetables producers. In most cases, they do not have the technical equipment and have no experience in administration, management and conduct of fruit and vegetables sale produced by its members. These groups must obtain legal personality, which is a prerequisite for bringing the group to a full recognition of the common market organization for fruit and vegetables. Currently, 33 groups of fruit and vegetables producers operate in Lubelskie Voivodeship, which gives them the 3rd place in the country.</w:t>
            </w:r>
          </w:p>
          <w:p w14:paraId="4AE4481E" w14:textId="6938B2CA" w:rsidR="00EA4461" w:rsidRPr="006A4C93" w:rsidRDefault="00EA4461" w:rsidP="00EB68EB">
            <w:pPr>
              <w:pStyle w:val="Body3"/>
            </w:pPr>
            <w:r w:rsidRPr="006A4C93">
              <w:t>Measures to increasie the engagement and improving consumers’ awareness.</w:t>
            </w:r>
          </w:p>
        </w:tc>
        <w:tc>
          <w:tcPr>
            <w:tcW w:w="1725" w:type="pct"/>
          </w:tcPr>
          <w:p w14:paraId="32AF781F" w14:textId="77777777" w:rsidR="0044556A" w:rsidRPr="0027228E" w:rsidRDefault="0044556A" w:rsidP="0027228E">
            <w:pPr>
              <w:pStyle w:val="Body3"/>
            </w:pPr>
          </w:p>
          <w:p w14:paraId="3BAD42B0" w14:textId="77777777" w:rsidR="00E2753C" w:rsidRPr="0027228E" w:rsidRDefault="00E2753C" w:rsidP="0027228E">
            <w:pPr>
              <w:pStyle w:val="Body3"/>
            </w:pPr>
          </w:p>
          <w:p w14:paraId="00E42CD0" w14:textId="77777777" w:rsidR="00E2753C" w:rsidRPr="0027228E" w:rsidRDefault="00E2753C" w:rsidP="0027228E">
            <w:pPr>
              <w:pStyle w:val="Body3"/>
            </w:pPr>
          </w:p>
          <w:p w14:paraId="10A01335" w14:textId="0A82FE73" w:rsidR="0044556A" w:rsidRPr="0027228E" w:rsidRDefault="0044556A" w:rsidP="0027228E">
            <w:pPr>
              <w:pStyle w:val="Body3"/>
            </w:pPr>
            <w:r w:rsidRPr="0027228E">
              <w:t>Agree the</w:t>
            </w:r>
            <w:r w:rsidR="00EE4DF4" w:rsidRPr="0027228E">
              <w:t xml:space="preserve"> RIS3 sub industry focus, to be able to proceed with connectivty issues. </w:t>
            </w:r>
            <w:r w:rsidRPr="0027228E">
              <w:t xml:space="preserve"> </w:t>
            </w:r>
          </w:p>
          <w:p w14:paraId="680D98D7" w14:textId="77777777" w:rsidR="0044556A" w:rsidRPr="0027228E" w:rsidRDefault="0044556A" w:rsidP="0027228E">
            <w:pPr>
              <w:pStyle w:val="Body3"/>
            </w:pPr>
          </w:p>
          <w:p w14:paraId="6CAD5FF9" w14:textId="77777777" w:rsidR="0044556A" w:rsidRPr="0027228E" w:rsidRDefault="0044556A" w:rsidP="0027228E">
            <w:pPr>
              <w:pStyle w:val="Body3"/>
            </w:pPr>
          </w:p>
          <w:p w14:paraId="4C97D6FE" w14:textId="77777777" w:rsidR="00E2753C" w:rsidRPr="0027228E" w:rsidRDefault="00E2753C" w:rsidP="0027228E">
            <w:pPr>
              <w:pStyle w:val="Body3"/>
            </w:pPr>
          </w:p>
          <w:p w14:paraId="4921340F" w14:textId="77777777" w:rsidR="00E2753C" w:rsidRPr="0027228E" w:rsidRDefault="00E2753C" w:rsidP="0027228E">
            <w:pPr>
              <w:pStyle w:val="Body3"/>
            </w:pPr>
          </w:p>
          <w:p w14:paraId="5247B490" w14:textId="42032DB1" w:rsidR="0044556A" w:rsidRPr="0027228E" w:rsidRDefault="00EE4DF4" w:rsidP="0027228E">
            <w:pPr>
              <w:pStyle w:val="Body3"/>
            </w:pPr>
            <w:r w:rsidRPr="0027228E">
              <w:lastRenderedPageBreak/>
              <w:t>T</w:t>
            </w:r>
            <w:r w:rsidR="00781ECE" w:rsidRPr="0027228E">
              <w:t xml:space="preserve">he </w:t>
            </w:r>
            <w:r w:rsidR="0044556A" w:rsidRPr="0027228E">
              <w:t>partner  benefit from Saffronomics GP?</w:t>
            </w:r>
          </w:p>
          <w:p w14:paraId="4F0319A8" w14:textId="77777777" w:rsidR="00781ECE" w:rsidRPr="0027228E" w:rsidRDefault="00781ECE" w:rsidP="0027228E">
            <w:pPr>
              <w:pStyle w:val="Body3"/>
            </w:pPr>
          </w:p>
          <w:p w14:paraId="4D854C6C" w14:textId="430E40EF" w:rsidR="00781ECE" w:rsidRPr="0027228E" w:rsidRDefault="00781ECE" w:rsidP="0027228E">
            <w:pPr>
              <w:pStyle w:val="Body3"/>
            </w:pPr>
          </w:p>
          <w:p w14:paraId="0DD1AD65" w14:textId="77777777" w:rsidR="00781ECE" w:rsidRPr="0027228E" w:rsidRDefault="00781ECE" w:rsidP="0027228E">
            <w:pPr>
              <w:pStyle w:val="Body3"/>
            </w:pPr>
            <w:r w:rsidRPr="0027228E">
              <w:t> </w:t>
            </w:r>
          </w:p>
          <w:p w14:paraId="23E6E1BD" w14:textId="77777777" w:rsidR="0044556A" w:rsidRPr="0027228E" w:rsidRDefault="0044556A" w:rsidP="0027228E">
            <w:pPr>
              <w:pStyle w:val="Body3"/>
            </w:pPr>
          </w:p>
          <w:p w14:paraId="68A5C735" w14:textId="77777777" w:rsidR="00E2753C" w:rsidRPr="0027228E" w:rsidRDefault="00E2753C" w:rsidP="0027228E">
            <w:pPr>
              <w:pStyle w:val="Body3"/>
            </w:pPr>
          </w:p>
          <w:p w14:paraId="065CE40D" w14:textId="638CD876" w:rsidR="00781ECE" w:rsidRPr="0027228E" w:rsidRDefault="00781ECE" w:rsidP="0027228E">
            <w:pPr>
              <w:pStyle w:val="Body3"/>
            </w:pPr>
            <w:r w:rsidRPr="0027228E">
              <w:t xml:space="preserve">Increase the engagement of stakeholders and improve insights of the consumer segment  and projected demand. </w:t>
            </w:r>
          </w:p>
          <w:p w14:paraId="6B6ED8F0" w14:textId="77777777" w:rsidR="0044556A" w:rsidRPr="0027228E" w:rsidRDefault="0044556A" w:rsidP="0027228E">
            <w:pPr>
              <w:pStyle w:val="Body3"/>
            </w:pPr>
          </w:p>
          <w:p w14:paraId="168561C1" w14:textId="77777777" w:rsidR="0044556A" w:rsidRPr="0027228E" w:rsidRDefault="0044556A" w:rsidP="0027228E">
            <w:pPr>
              <w:pStyle w:val="Body3"/>
            </w:pPr>
          </w:p>
          <w:p w14:paraId="1603F89D" w14:textId="77777777" w:rsidR="0044556A" w:rsidRPr="0027228E" w:rsidRDefault="0044556A" w:rsidP="0027228E">
            <w:pPr>
              <w:pStyle w:val="Body3"/>
            </w:pPr>
          </w:p>
          <w:p w14:paraId="3AD8253B" w14:textId="77777777" w:rsidR="00E2753C" w:rsidRPr="0027228E" w:rsidRDefault="00E2753C" w:rsidP="0027228E">
            <w:pPr>
              <w:pStyle w:val="Body3"/>
            </w:pPr>
          </w:p>
          <w:p w14:paraId="11190E45" w14:textId="77777777" w:rsidR="00E2753C" w:rsidRPr="0027228E" w:rsidRDefault="00E2753C" w:rsidP="0027228E">
            <w:pPr>
              <w:pStyle w:val="Body3"/>
            </w:pPr>
          </w:p>
          <w:p w14:paraId="09452BA3" w14:textId="77777777" w:rsidR="00E2753C" w:rsidRPr="0027228E" w:rsidRDefault="00E2753C" w:rsidP="0027228E">
            <w:pPr>
              <w:pStyle w:val="Body3"/>
            </w:pPr>
          </w:p>
          <w:p w14:paraId="31656E29" w14:textId="77777777" w:rsidR="0044556A" w:rsidRPr="0027228E" w:rsidRDefault="0044556A" w:rsidP="0027228E">
            <w:pPr>
              <w:pStyle w:val="Body3"/>
            </w:pPr>
            <w:r w:rsidRPr="0027228E">
              <w:t>Very nice idea to focus on beer</w:t>
            </w:r>
          </w:p>
          <w:p w14:paraId="1B3FED8B" w14:textId="77777777" w:rsidR="0044556A" w:rsidRPr="0027228E" w:rsidRDefault="0044556A" w:rsidP="0027228E">
            <w:pPr>
              <w:pStyle w:val="Body3"/>
            </w:pPr>
          </w:p>
          <w:p w14:paraId="7E88AE61" w14:textId="77777777" w:rsidR="0044556A" w:rsidRPr="0027228E" w:rsidRDefault="0044556A" w:rsidP="0027228E">
            <w:pPr>
              <w:pStyle w:val="Body3"/>
            </w:pPr>
          </w:p>
          <w:p w14:paraId="3DA7B307" w14:textId="77777777" w:rsidR="00E2753C" w:rsidRPr="0027228E" w:rsidRDefault="00E2753C" w:rsidP="0027228E">
            <w:pPr>
              <w:pStyle w:val="Body3"/>
            </w:pPr>
          </w:p>
          <w:p w14:paraId="658BF0D4" w14:textId="77777777" w:rsidR="00E2753C" w:rsidRPr="0027228E" w:rsidRDefault="00E2753C" w:rsidP="0027228E">
            <w:pPr>
              <w:pStyle w:val="Body3"/>
            </w:pPr>
          </w:p>
          <w:p w14:paraId="44A2D453" w14:textId="77777777" w:rsidR="00E2753C" w:rsidRPr="0027228E" w:rsidRDefault="00E2753C" w:rsidP="0027228E">
            <w:pPr>
              <w:pStyle w:val="Body3"/>
            </w:pPr>
          </w:p>
          <w:p w14:paraId="5C96CAFA" w14:textId="77777777" w:rsidR="0044556A" w:rsidRPr="0027228E" w:rsidRDefault="0044556A" w:rsidP="0027228E">
            <w:pPr>
              <w:pStyle w:val="Body3"/>
            </w:pPr>
            <w:r w:rsidRPr="0027228E">
              <w:t>Introduce guidance services for organic farms to access funding</w:t>
            </w:r>
          </w:p>
          <w:p w14:paraId="1FF5CFE2" w14:textId="77777777" w:rsidR="0044556A" w:rsidRPr="0027228E" w:rsidRDefault="0044556A" w:rsidP="0027228E">
            <w:pPr>
              <w:pStyle w:val="Body3"/>
            </w:pPr>
          </w:p>
          <w:p w14:paraId="3434DCA1" w14:textId="77777777" w:rsidR="0044556A" w:rsidRPr="0027228E" w:rsidRDefault="0044556A" w:rsidP="0027228E">
            <w:pPr>
              <w:pStyle w:val="Body3"/>
            </w:pPr>
          </w:p>
          <w:p w14:paraId="6B00E9EC" w14:textId="77777777" w:rsidR="0044556A" w:rsidRPr="0027228E" w:rsidRDefault="0044556A" w:rsidP="0027228E">
            <w:pPr>
              <w:pStyle w:val="Body3"/>
            </w:pPr>
          </w:p>
          <w:p w14:paraId="1D1AEFFB" w14:textId="77777777" w:rsidR="0044556A" w:rsidRPr="0027228E" w:rsidRDefault="0044556A" w:rsidP="0027228E">
            <w:pPr>
              <w:pStyle w:val="Body3"/>
            </w:pPr>
          </w:p>
          <w:p w14:paraId="47F15AC5" w14:textId="28885BFB" w:rsidR="0044556A" w:rsidRPr="0027228E" w:rsidRDefault="0044556A" w:rsidP="0027228E">
            <w:pPr>
              <w:pStyle w:val="Body3"/>
            </w:pPr>
            <w:r w:rsidRPr="0027228E">
              <w:t>Needs comprehensive actions</w:t>
            </w:r>
            <w:r w:rsidR="00490754" w:rsidRPr="0027228E">
              <w:t>.</w:t>
            </w:r>
          </w:p>
        </w:tc>
      </w:tr>
      <w:tr w:rsidR="0044556A" w:rsidRPr="006A4C93" w14:paraId="1E425C5C" w14:textId="77777777" w:rsidTr="00C15523">
        <w:trPr>
          <w:trHeight w:val="192"/>
        </w:trPr>
        <w:tc>
          <w:tcPr>
            <w:tcW w:w="3275" w:type="pct"/>
          </w:tcPr>
          <w:p w14:paraId="14D77C9B" w14:textId="77777777" w:rsidR="0044556A" w:rsidRPr="00EB68EB" w:rsidRDefault="0044556A" w:rsidP="00EB68EB">
            <w:pPr>
              <w:pStyle w:val="Body3"/>
              <w:rPr>
                <w:b/>
              </w:rPr>
            </w:pPr>
            <w:r w:rsidRPr="00EB68EB">
              <w:rPr>
                <w:b/>
              </w:rPr>
              <w:t>Uusimaa</w:t>
            </w:r>
          </w:p>
          <w:p w14:paraId="29D3F06C" w14:textId="77777777" w:rsidR="0044556A" w:rsidRPr="0027228E" w:rsidRDefault="0044556A" w:rsidP="00EB68EB">
            <w:pPr>
              <w:pStyle w:val="Body3"/>
            </w:pPr>
            <w:r w:rsidRPr="0027228E">
              <w:t>n/a</w:t>
            </w:r>
          </w:p>
        </w:tc>
        <w:tc>
          <w:tcPr>
            <w:tcW w:w="1725" w:type="pct"/>
          </w:tcPr>
          <w:p w14:paraId="54399412" w14:textId="77777777" w:rsidR="0044556A" w:rsidRPr="0027228E" w:rsidRDefault="00EE4DF4" w:rsidP="0027228E">
            <w:pPr>
              <w:pStyle w:val="Body3"/>
            </w:pPr>
            <w:r w:rsidRPr="0027228E">
              <w:t>Research institutions have expressed interest in cooperating with, e.g.  Helsinki University; LUKE</w:t>
            </w:r>
          </w:p>
          <w:p w14:paraId="42BB15DB" w14:textId="249FE2CF" w:rsidR="00EE4DF4" w:rsidRPr="0027228E" w:rsidRDefault="00EE4DF4" w:rsidP="0027228E">
            <w:pPr>
              <w:pStyle w:val="Body3"/>
            </w:pPr>
            <w:r w:rsidRPr="0027228E">
              <w:t>National funding organisation (TEKES) has encoutaged cooperation BRIDGES cases-cooperation through EUREKA processes.</w:t>
            </w:r>
          </w:p>
        </w:tc>
      </w:tr>
      <w:tr w:rsidR="0044556A" w:rsidRPr="006A4C93" w14:paraId="37B924EF" w14:textId="77777777" w:rsidTr="00EC0217">
        <w:trPr>
          <w:trHeight w:val="1388"/>
        </w:trPr>
        <w:tc>
          <w:tcPr>
            <w:tcW w:w="3275" w:type="pct"/>
          </w:tcPr>
          <w:p w14:paraId="123D67E8" w14:textId="3FF25ADE" w:rsidR="0044556A" w:rsidRPr="00EB68EB" w:rsidRDefault="0044556A" w:rsidP="00EB68EB">
            <w:pPr>
              <w:pStyle w:val="Body3"/>
              <w:rPr>
                <w:b/>
              </w:rPr>
            </w:pPr>
            <w:r w:rsidRPr="00EB68EB">
              <w:rPr>
                <w:b/>
              </w:rPr>
              <w:t>Western Macedonia</w:t>
            </w:r>
          </w:p>
          <w:p w14:paraId="06FC4043" w14:textId="77777777" w:rsidR="00C705FC" w:rsidRPr="00EB68EB" w:rsidRDefault="00C705FC" w:rsidP="005A4A10">
            <w:pPr>
              <w:pStyle w:val="ListBullet2"/>
            </w:pPr>
            <w:r w:rsidRPr="00EB68EB">
              <w:t xml:space="preserve">Policies for regional innovation should be based on the priorities defined by previous projects such as RIS, RIS+, K-Clusters, which still remain relevant. The strategy should include a long-term vision for the region with measures of diversification but also of technological modernization of existing companies. </w:t>
            </w:r>
          </w:p>
          <w:p w14:paraId="163A0D67" w14:textId="77777777" w:rsidR="00C705FC" w:rsidRPr="00EB68EB" w:rsidRDefault="00C705FC" w:rsidP="005A4A10">
            <w:pPr>
              <w:pStyle w:val="ListBullet2"/>
            </w:pPr>
            <w:r w:rsidRPr="00EB68EB">
              <w:t>Support to existing clusters should be the central element of the RIS3 of Western Macedonia. However, clustering should be organized from a bottom-up perspective, as emerging networks among companies.</w:t>
            </w:r>
          </w:p>
          <w:p w14:paraId="4C20F1B3" w14:textId="77777777" w:rsidR="00C705FC" w:rsidRPr="00EB68EB" w:rsidRDefault="00C705FC" w:rsidP="005A4A10">
            <w:pPr>
              <w:pStyle w:val="ListBullet2"/>
            </w:pPr>
            <w:r w:rsidRPr="00EB68EB">
              <w:t xml:space="preserve">As the region does not have significant RDTI infrastructures, platform mechanisms could be considered as a solution for </w:t>
            </w:r>
            <w:r w:rsidRPr="00EB68EB">
              <w:lastRenderedPageBreak/>
              <w:t xml:space="preserve">offering market and technology intelligence, incubation of new companies, export advice and support etc. </w:t>
            </w:r>
          </w:p>
          <w:p w14:paraId="26E52C3B" w14:textId="77777777" w:rsidR="00C705FC" w:rsidRPr="00EB68EB" w:rsidRDefault="00C705FC" w:rsidP="005A4A10">
            <w:pPr>
              <w:pStyle w:val="ListBullet2"/>
            </w:pPr>
            <w:r w:rsidRPr="00EB68EB">
              <w:t>Innovation actions and initiatives should be carefully selected with respect to criteria of (1) sustainability in the long run and mainly after the initial support period; (2) creation of capabilities and know how in the region; (3) offering integrated solutions to technology-production-market-funding; (4) leading to high leverage of private investments; (5) involving a large number of beneficiaries; and (6) contribution to development goals of competitiveness and employment.</w:t>
            </w:r>
          </w:p>
          <w:p w14:paraId="381A9A14" w14:textId="77777777" w:rsidR="00C705FC" w:rsidRPr="00EB68EB" w:rsidRDefault="00C705FC" w:rsidP="00F45650">
            <w:pPr>
              <w:pStyle w:val="ListBullet2"/>
              <w:numPr>
                <w:ilvl w:val="0"/>
                <w:numId w:val="0"/>
              </w:numPr>
              <w:ind w:left="227"/>
            </w:pPr>
            <w:r w:rsidRPr="00EB68EB">
              <w:t xml:space="preserve">At the same report Regional stakeholders highlighted the following issues: </w:t>
            </w:r>
          </w:p>
          <w:p w14:paraId="6F95C808" w14:textId="77777777" w:rsidR="00C705FC" w:rsidRPr="00EB68EB" w:rsidRDefault="00C705FC" w:rsidP="005A4A10">
            <w:pPr>
              <w:pStyle w:val="ListBullet2"/>
            </w:pPr>
            <w:r w:rsidRPr="00EB68EB">
              <w:t>Creation of sustainable research infrastructures</w:t>
            </w:r>
          </w:p>
          <w:p w14:paraId="6027C1C8" w14:textId="77777777" w:rsidR="00C705FC" w:rsidRPr="00EB68EB" w:rsidRDefault="00C705FC" w:rsidP="005A4A10">
            <w:pPr>
              <w:pStyle w:val="ListBullet2"/>
            </w:pPr>
            <w:r w:rsidRPr="00EB68EB">
              <w:t>Targeted actions supporting entrepreneurship and business clusters</w:t>
            </w:r>
          </w:p>
          <w:p w14:paraId="7041FEA1" w14:textId="77777777" w:rsidR="00C705FC" w:rsidRPr="00EB68EB" w:rsidRDefault="00C705FC" w:rsidP="005A4A10">
            <w:pPr>
              <w:pStyle w:val="ListBullet2"/>
            </w:pPr>
            <w:r w:rsidRPr="00EB68EB">
              <w:t>Collaboration of research and production organizations</w:t>
            </w:r>
          </w:p>
          <w:p w14:paraId="2ED252B0" w14:textId="77777777" w:rsidR="00C705FC" w:rsidRPr="00EB68EB" w:rsidRDefault="00C705FC" w:rsidP="005A4A10">
            <w:pPr>
              <w:pStyle w:val="ListBullet2"/>
            </w:pPr>
            <w:r w:rsidRPr="00EB68EB">
              <w:t>Creation of a pool of innovation ideas – Transfer of solutions from other regions</w:t>
            </w:r>
          </w:p>
          <w:p w14:paraId="55BAE880" w14:textId="77777777" w:rsidR="00C705FC" w:rsidRPr="00EB68EB" w:rsidRDefault="00C705FC" w:rsidP="005A4A10">
            <w:pPr>
              <w:pStyle w:val="ListBullet2"/>
            </w:pPr>
            <w:r w:rsidRPr="00EB68EB">
              <w:t>Ongoing measurement of innovation policy impact and ongoing measurement of innovation policy impact and adjustment</w:t>
            </w:r>
          </w:p>
          <w:p w14:paraId="7E766A09" w14:textId="77777777" w:rsidR="00C705FC" w:rsidRPr="00EB68EB" w:rsidRDefault="00C705FC" w:rsidP="005A4A10">
            <w:pPr>
              <w:pStyle w:val="ListBullet2"/>
            </w:pPr>
            <w:r w:rsidRPr="00EB68EB">
              <w:t>Mapping of investment and resources in networks and applications</w:t>
            </w:r>
          </w:p>
          <w:p w14:paraId="1FCEDEEC" w14:textId="77777777" w:rsidR="00C705FC" w:rsidRPr="00EB68EB" w:rsidRDefault="00C705FC" w:rsidP="005A4A10">
            <w:pPr>
              <w:pStyle w:val="ListBullet2"/>
            </w:pPr>
            <w:r w:rsidRPr="00EB68EB">
              <w:t xml:space="preserve">Opening of networks to private investors </w:t>
            </w:r>
          </w:p>
          <w:p w14:paraId="5E4ABCC1" w14:textId="77777777" w:rsidR="00C705FC" w:rsidRPr="00EB68EB" w:rsidRDefault="00C705FC" w:rsidP="005A4A10">
            <w:pPr>
              <w:pStyle w:val="ListBullet2"/>
            </w:pPr>
            <w:r w:rsidRPr="00EB68EB">
              <w:t>Use of local funds for innovation</w:t>
            </w:r>
          </w:p>
          <w:p w14:paraId="74381AB7" w14:textId="77777777" w:rsidR="00C705FC" w:rsidRPr="00EB68EB" w:rsidRDefault="00C705FC" w:rsidP="005A4A10">
            <w:pPr>
              <w:pStyle w:val="ListBullet2"/>
            </w:pPr>
            <w:r w:rsidRPr="00EB68EB">
              <w:t>Use of modern marketing practices to promote local products and clusters</w:t>
            </w:r>
          </w:p>
          <w:p w14:paraId="2765E02F" w14:textId="77777777" w:rsidR="00C705FC" w:rsidRPr="00EB68EB" w:rsidRDefault="00C705FC" w:rsidP="005A4A10">
            <w:pPr>
              <w:pStyle w:val="ListBullet2"/>
            </w:pPr>
            <w:r w:rsidRPr="00EB68EB">
              <w:t>Support to existing clusters should be the central element of the RIS3 of Western Macedonia. However, clustering should be organized from a bottom-up perspective, as emerging networks among companies.</w:t>
            </w:r>
          </w:p>
          <w:p w14:paraId="0A562EBD" w14:textId="77777777" w:rsidR="00C705FC" w:rsidRPr="00EB68EB" w:rsidRDefault="00C705FC" w:rsidP="005A4A10">
            <w:pPr>
              <w:pStyle w:val="ListBullet2"/>
            </w:pPr>
            <w:r w:rsidRPr="00EB68EB">
              <w:t xml:space="preserve">As the region does not have significant RDTI infrastructures, platform mechanisms could be considered as a solution for offering market and technology intelligence, incubation of new companies, export advice and support etc. </w:t>
            </w:r>
          </w:p>
          <w:p w14:paraId="274BBCF6" w14:textId="77777777" w:rsidR="00C705FC" w:rsidRPr="006A4C93" w:rsidRDefault="00C705FC" w:rsidP="00EB68EB">
            <w:pPr>
              <w:pStyle w:val="Body3"/>
            </w:pPr>
            <w:r w:rsidRPr="006A4C93">
              <w:t xml:space="preserve">Using the European Cluster Observatory rating system, the sectors in West Macedonia with the highest combined scores for size, specialization and focus are: </w:t>
            </w:r>
          </w:p>
          <w:p w14:paraId="1F9CFAF7" w14:textId="77777777" w:rsidR="00C705FC" w:rsidRPr="006A4C93" w:rsidRDefault="00C705FC" w:rsidP="00F45650">
            <w:pPr>
              <w:pStyle w:val="ListBullet2"/>
            </w:pPr>
            <w:r w:rsidRPr="006A4C93">
              <w:t xml:space="preserve">Leather products with 3 stars; </w:t>
            </w:r>
          </w:p>
          <w:p w14:paraId="6454A826" w14:textId="77777777" w:rsidR="00C705FC" w:rsidRPr="006A4C93" w:rsidRDefault="00C705FC" w:rsidP="00F45650">
            <w:pPr>
              <w:pStyle w:val="ListBullet2"/>
            </w:pPr>
            <w:r w:rsidRPr="006A4C93">
              <w:t xml:space="preserve">farming &amp; animal husbandry with 2 stars and </w:t>
            </w:r>
          </w:p>
          <w:p w14:paraId="1EC3B284" w14:textId="77777777" w:rsidR="00C705FC" w:rsidRPr="006A4C93" w:rsidRDefault="00C705FC" w:rsidP="00F45650">
            <w:pPr>
              <w:pStyle w:val="ListBullet2"/>
            </w:pPr>
            <w:r w:rsidRPr="006A4C93">
              <w:t xml:space="preserve">Οil &amp; gas, agricultural products, processed food, construction with 1 star. </w:t>
            </w:r>
          </w:p>
          <w:p w14:paraId="54A43D54" w14:textId="77777777" w:rsidR="00C705FC" w:rsidRPr="006A4C93" w:rsidRDefault="00C705FC" w:rsidP="00F45650">
            <w:pPr>
              <w:pStyle w:val="ListBullet2"/>
            </w:pPr>
            <w:r w:rsidRPr="006A4C93">
              <w:t xml:space="preserve">Furthermore, in the Region of West Macedonia there is one mature cluster, the Metal-manu (metal products clusters) and </w:t>
            </w:r>
            <w:r w:rsidRPr="006A4C93">
              <w:lastRenderedPageBreak/>
              <w:t xml:space="preserve">an emerging one, the Bio-energy and Environment of Western Macedonia, named “Clube” cluster. </w:t>
            </w:r>
          </w:p>
          <w:p w14:paraId="7728195C" w14:textId="77777777" w:rsidR="00C705FC" w:rsidRPr="0027228E" w:rsidRDefault="00C705FC" w:rsidP="00F45650">
            <w:pPr>
              <w:pStyle w:val="ListBullet2"/>
            </w:pPr>
            <w:r w:rsidRPr="0027228E">
              <w:t>According to the approved by EC Strategy, the RIS3 priorities comprise a mix of sectors and subsectors as follows:</w:t>
            </w:r>
          </w:p>
          <w:p w14:paraId="5861D76E" w14:textId="77777777" w:rsidR="00C705FC" w:rsidRPr="00F45650" w:rsidRDefault="00C705FC" w:rsidP="00F45650">
            <w:pPr>
              <w:pStyle w:val="ListBullet2"/>
            </w:pPr>
            <w:r w:rsidRPr="00F45650">
              <w:t xml:space="preserve">Energy / RES – District Heating </w:t>
            </w:r>
          </w:p>
          <w:p w14:paraId="3C927E4A" w14:textId="77777777" w:rsidR="00C705FC" w:rsidRPr="00F45650" w:rsidRDefault="00C705FC" w:rsidP="00F45650">
            <w:pPr>
              <w:pStyle w:val="ListBullet2"/>
            </w:pPr>
            <w:r w:rsidRPr="00F45650">
              <w:t>Integrated waste management</w:t>
            </w:r>
          </w:p>
          <w:p w14:paraId="5B03A2DD" w14:textId="77777777" w:rsidR="00C705FC" w:rsidRPr="006A4C93" w:rsidRDefault="00C705FC" w:rsidP="00EB68EB">
            <w:pPr>
              <w:pStyle w:val="Body3"/>
              <w:rPr>
                <w:szCs w:val="18"/>
              </w:rPr>
            </w:pPr>
            <w:r w:rsidRPr="006A4C93">
              <w:rPr>
                <w:szCs w:val="18"/>
              </w:rPr>
              <w:t xml:space="preserve">Traditional sectors of Agricultural Development and Manufacturing </w:t>
            </w:r>
          </w:p>
          <w:p w14:paraId="358BEB27" w14:textId="0469539B" w:rsidR="00C705FC" w:rsidRPr="006A4C93" w:rsidRDefault="004E3FD4" w:rsidP="00EB68EB">
            <w:pPr>
              <w:pStyle w:val="Body3"/>
            </w:pPr>
            <w:r w:rsidRPr="006A4C93">
              <w:rPr>
                <w:b/>
              </w:rPr>
              <w:t>a</w:t>
            </w:r>
            <w:r w:rsidRPr="006A4C93">
              <w:t>.</w:t>
            </w:r>
            <w:r w:rsidR="008F08B6" w:rsidRPr="006A4C93">
              <w:t xml:space="preserve"> </w:t>
            </w:r>
            <w:r w:rsidR="00C705FC" w:rsidRPr="006A4C93">
              <w:t>Manufacturing – Standardization of characteristic agricultural products</w:t>
            </w:r>
          </w:p>
          <w:p w14:paraId="53C8FC1A" w14:textId="0B4C03DD" w:rsidR="00C705FC" w:rsidRPr="006A4C93" w:rsidRDefault="004E3FD4" w:rsidP="00EB68EB">
            <w:pPr>
              <w:pStyle w:val="Body3"/>
            </w:pPr>
            <w:r w:rsidRPr="006A4C93">
              <w:rPr>
                <w:b/>
              </w:rPr>
              <w:t>b.</w:t>
            </w:r>
            <w:r w:rsidR="008F08B6" w:rsidRPr="006A4C93">
              <w:rPr>
                <w:b/>
              </w:rPr>
              <w:t xml:space="preserve"> </w:t>
            </w:r>
            <w:r w:rsidR="00C705FC" w:rsidRPr="006A4C93">
              <w:t>Fur farming - leather products</w:t>
            </w:r>
          </w:p>
          <w:p w14:paraId="607C4F7B" w14:textId="7E3CFAAA" w:rsidR="00C705FC" w:rsidRPr="006A4C93" w:rsidRDefault="004E3FD4" w:rsidP="00EB68EB">
            <w:pPr>
              <w:pStyle w:val="Body3"/>
            </w:pPr>
            <w:r w:rsidRPr="006A4C93">
              <w:rPr>
                <w:b/>
              </w:rPr>
              <w:t>c.</w:t>
            </w:r>
            <w:r w:rsidR="008F08B6" w:rsidRPr="006A4C93">
              <w:rPr>
                <w:b/>
              </w:rPr>
              <w:t xml:space="preserve"> </w:t>
            </w:r>
            <w:r w:rsidR="00C705FC" w:rsidRPr="006A4C93">
              <w:t>Agri-food, drinks / beverages, metal constructions</w:t>
            </w:r>
          </w:p>
          <w:p w14:paraId="62C476FE" w14:textId="77777777" w:rsidR="00F45650" w:rsidRDefault="00F45650" w:rsidP="00EB68EB">
            <w:pPr>
              <w:pStyle w:val="Body3"/>
              <w:rPr>
                <w:color w:val="021B2B" w:themeColor="background2" w:themeShade="1A"/>
                <w:szCs w:val="18"/>
              </w:rPr>
            </w:pPr>
          </w:p>
          <w:p w14:paraId="1C01F9F4" w14:textId="77777777" w:rsidR="00C705FC" w:rsidRPr="006A4C93" w:rsidRDefault="00C705FC" w:rsidP="00EB68EB">
            <w:pPr>
              <w:pStyle w:val="Body3"/>
              <w:rPr>
                <w:color w:val="021B2B" w:themeColor="background2" w:themeShade="1A"/>
                <w:szCs w:val="18"/>
              </w:rPr>
            </w:pPr>
            <w:r w:rsidRPr="006A4C93">
              <w:rPr>
                <w:color w:val="021B2B" w:themeColor="background2" w:themeShade="1A"/>
                <w:szCs w:val="18"/>
              </w:rPr>
              <w:t>Tourism</w:t>
            </w:r>
          </w:p>
          <w:p w14:paraId="05484762" w14:textId="77777777" w:rsidR="00C705FC" w:rsidRPr="0027228E" w:rsidRDefault="00C705FC" w:rsidP="00EB68EB">
            <w:pPr>
              <w:pStyle w:val="Body3"/>
            </w:pPr>
            <w:r w:rsidRPr="0027228E">
              <w:t>The RIS3 Strategy is funded under Thematic Objectives 1 – 4 of the ROP 2014 – 2020 (see above), including also Thematic Objective 8 for the promotion of self-employment and entrepreneurship with emphasis in RIS3  priority sectors.</w:t>
            </w:r>
          </w:p>
          <w:p w14:paraId="40E740F6" w14:textId="77777777" w:rsidR="00C705FC" w:rsidRPr="006A4C93" w:rsidRDefault="00C705FC" w:rsidP="00EB68EB">
            <w:pPr>
              <w:pStyle w:val="Body3"/>
              <w:rPr>
                <w:color w:val="021B2B" w:themeColor="background2" w:themeShade="1A"/>
                <w:szCs w:val="18"/>
              </w:rPr>
            </w:pPr>
            <w:r w:rsidRPr="006A4C93">
              <w:rPr>
                <w:color w:val="021B2B" w:themeColor="background2" w:themeShade="1A"/>
                <w:szCs w:val="18"/>
              </w:rPr>
              <w:t>Winery and viticulture</w:t>
            </w:r>
          </w:p>
          <w:p w14:paraId="02B3E65A" w14:textId="3E550200" w:rsidR="00C705FC" w:rsidRPr="0027228E" w:rsidRDefault="00C705FC" w:rsidP="00EB68EB">
            <w:pPr>
              <w:pStyle w:val="Body3"/>
            </w:pPr>
            <w:r w:rsidRPr="0027228E">
              <w:t xml:space="preserve">Support of the winery and viticulture sector (creation of integrated information system of innovative techniques for Precision Agriculture in the zones of grapes cultivation, provision – by implementing innovative measurements – of superior quality first raw materials etc.). </w:t>
            </w:r>
          </w:p>
          <w:p w14:paraId="4A98BB06" w14:textId="77777777" w:rsidR="00C705FC" w:rsidRPr="006A4C93" w:rsidRDefault="00C705FC" w:rsidP="00EB68EB">
            <w:pPr>
              <w:pStyle w:val="Body3"/>
            </w:pPr>
            <w:r w:rsidRPr="006A4C93">
              <w:t>Networking and Development of wine – tourism (genotyping of local vine varieties, production of high quality sparkling wines, identification of appropriate viticulture techniques etc.)</w:t>
            </w:r>
          </w:p>
          <w:p w14:paraId="604BB517" w14:textId="77777777" w:rsidR="00C705FC" w:rsidRPr="006A4C93" w:rsidRDefault="00C705FC" w:rsidP="00EB68EB">
            <w:pPr>
              <w:pStyle w:val="Body3"/>
            </w:pPr>
            <w:r w:rsidRPr="006A4C93">
              <w:t>Creation of Insects Observatory (development of strategies and methods for plant-protection in the zones of grapes cultivation etc.)</w:t>
            </w:r>
          </w:p>
          <w:p w14:paraId="536F1104" w14:textId="77777777" w:rsidR="00C705FC" w:rsidRPr="006A4C93" w:rsidRDefault="00C705FC" w:rsidP="00EB68EB">
            <w:pPr>
              <w:pStyle w:val="Body3"/>
              <w:rPr>
                <w:color w:val="021B2B" w:themeColor="background2" w:themeShade="1A"/>
                <w:szCs w:val="18"/>
              </w:rPr>
            </w:pPr>
            <w:r w:rsidRPr="006A4C93">
              <w:rPr>
                <w:color w:val="021B2B" w:themeColor="background2" w:themeShade="1A"/>
                <w:szCs w:val="18"/>
              </w:rPr>
              <w:t>Agri-food</w:t>
            </w:r>
          </w:p>
          <w:p w14:paraId="66ECA23D" w14:textId="77777777" w:rsidR="00C705FC" w:rsidRPr="006A4C93" w:rsidRDefault="00C705FC" w:rsidP="00EB68EB">
            <w:pPr>
              <w:pStyle w:val="Body3"/>
              <w:rPr>
                <w:rFonts w:cs="Tahoma"/>
                <w:szCs w:val="18"/>
              </w:rPr>
            </w:pPr>
            <w:r w:rsidRPr="006A4C93">
              <w:rPr>
                <w:rFonts w:cs="Tahoma"/>
                <w:szCs w:val="18"/>
              </w:rPr>
              <w:t xml:space="preserve">Creation of an exemplar for demonstration innovative agro-farm (operating in parallel as agro-touristic centre for networking and promotion of agro-tourism products etc.). </w:t>
            </w:r>
          </w:p>
          <w:p w14:paraId="1F18EB8F" w14:textId="77777777" w:rsidR="00C705FC" w:rsidRPr="006A4C93" w:rsidRDefault="00C705FC" w:rsidP="00EB68EB">
            <w:pPr>
              <w:pStyle w:val="Body3"/>
              <w:rPr>
                <w:rFonts w:cs="Tahoma"/>
                <w:szCs w:val="18"/>
              </w:rPr>
            </w:pPr>
            <w:r w:rsidRPr="006A4C93">
              <w:rPr>
                <w:rFonts w:cs="Tahoma"/>
                <w:szCs w:val="18"/>
              </w:rPr>
              <w:t>Creation of Community Co-operative Enterprise on local sectors of employment (i.e. beekeeping) </w:t>
            </w:r>
          </w:p>
          <w:p w14:paraId="72DDFB2D" w14:textId="5D6F0D9F" w:rsidR="00490754" w:rsidRPr="006A4C93" w:rsidRDefault="00C705FC" w:rsidP="00EB68EB">
            <w:pPr>
              <w:pStyle w:val="Body3"/>
              <w:rPr>
                <w:szCs w:val="18"/>
              </w:rPr>
            </w:pPr>
            <w:r w:rsidRPr="006A4C93">
              <w:rPr>
                <w:rFonts w:cs="Tahoma"/>
                <w:szCs w:val="18"/>
              </w:rPr>
              <w:t>Improvement of cultivation techniques (i.e. exploitation of Sideritis – type of tea, exploitation of herbs and cosmetic plants etc.)</w:t>
            </w:r>
            <w:r w:rsidR="00E34297" w:rsidRPr="006A4C93">
              <w:rPr>
                <w:rFonts w:cs="Tahoma"/>
                <w:szCs w:val="18"/>
              </w:rPr>
              <w:t>.</w:t>
            </w:r>
          </w:p>
        </w:tc>
        <w:tc>
          <w:tcPr>
            <w:tcW w:w="1725" w:type="pct"/>
            <w:vAlign w:val="center"/>
          </w:tcPr>
          <w:p w14:paraId="120445FB" w14:textId="77777777" w:rsidR="008F08B6" w:rsidRPr="0027228E" w:rsidRDefault="008F08B6" w:rsidP="0027228E">
            <w:pPr>
              <w:pStyle w:val="Body3"/>
            </w:pPr>
          </w:p>
          <w:p w14:paraId="48FD6C73" w14:textId="77777777" w:rsidR="008F08B6" w:rsidRPr="0027228E" w:rsidRDefault="008F08B6" w:rsidP="0027228E">
            <w:pPr>
              <w:pStyle w:val="Body3"/>
            </w:pPr>
          </w:p>
          <w:p w14:paraId="3D364F72" w14:textId="77777777" w:rsidR="008F08B6" w:rsidRPr="0027228E" w:rsidRDefault="008F08B6" w:rsidP="0027228E">
            <w:pPr>
              <w:pStyle w:val="Body3"/>
            </w:pPr>
          </w:p>
          <w:p w14:paraId="67928FD2" w14:textId="77777777" w:rsidR="008F08B6" w:rsidRPr="0027228E" w:rsidRDefault="008F08B6" w:rsidP="0027228E">
            <w:pPr>
              <w:pStyle w:val="Body3"/>
            </w:pPr>
          </w:p>
          <w:p w14:paraId="48F9F1AC" w14:textId="5A0AC64F" w:rsidR="0044556A" w:rsidRPr="0027228E" w:rsidRDefault="00C705FC" w:rsidP="0027228E">
            <w:pPr>
              <w:pStyle w:val="Body3"/>
            </w:pPr>
            <w:r w:rsidRPr="0027228E">
              <w:t xml:space="preserve">Path renewal of relevant traditional clusters; RIS3 acknowledges lack of RDTI infrastructures; </w:t>
            </w:r>
            <w:r w:rsidR="00D86DA6" w:rsidRPr="0027228E">
              <w:t>some renewal aspects (“precision agriculture”</w:t>
            </w:r>
            <w:r w:rsidR="00EE4DF4" w:rsidRPr="0027228E">
              <w:t xml:space="preserve"> can benefit from the OPIRIS GP </w:t>
            </w:r>
            <w:r w:rsidR="00D86DA6" w:rsidRPr="0027228E">
              <w:t>)</w:t>
            </w:r>
            <w:r w:rsidR="00EE4DF4" w:rsidRPr="0027228E">
              <w:t>; industry renewal</w:t>
            </w:r>
            <w:r w:rsidR="00D86DA6" w:rsidRPr="0027228E">
              <w:t xml:space="preserve"> need</w:t>
            </w:r>
            <w:r w:rsidR="003A52A7" w:rsidRPr="0027228E">
              <w:t>s compreh</w:t>
            </w:r>
            <w:r w:rsidR="00EE4DF4" w:rsidRPr="0027228E">
              <w:t>e</w:t>
            </w:r>
            <w:r w:rsidR="003A52A7" w:rsidRPr="0027228E">
              <w:t>nsive</w:t>
            </w:r>
            <w:r w:rsidR="00EE4DF4" w:rsidRPr="0027228E">
              <w:t xml:space="preserve"> + concretised</w:t>
            </w:r>
            <w:r w:rsidR="003A52A7" w:rsidRPr="0027228E">
              <w:t xml:space="preserve"> approach and cam</w:t>
            </w:r>
            <w:r w:rsidR="00D86DA6" w:rsidRPr="0027228E">
              <w:t xml:space="preserve"> be linked to BRIDGES;  RIS3 calls are delayed.</w:t>
            </w:r>
          </w:p>
        </w:tc>
      </w:tr>
      <w:tr w:rsidR="0044556A" w:rsidRPr="006A4C93" w14:paraId="6639DF82" w14:textId="77777777" w:rsidTr="00C15523">
        <w:trPr>
          <w:trHeight w:val="192"/>
        </w:trPr>
        <w:tc>
          <w:tcPr>
            <w:tcW w:w="3275" w:type="pct"/>
          </w:tcPr>
          <w:p w14:paraId="2F5957CD" w14:textId="77777777" w:rsidR="007008EA" w:rsidRPr="006A4C93" w:rsidRDefault="000531A3" w:rsidP="0027228E">
            <w:pPr>
              <w:pStyle w:val="Otsikko13"/>
            </w:pPr>
            <w:r w:rsidRPr="009F1929">
              <w:rPr>
                <w:shd w:val="clear" w:color="auto" w:fill="auto"/>
              </w:rPr>
              <w:lastRenderedPageBreak/>
              <w:t>Goriška</w:t>
            </w:r>
            <w:r w:rsidRPr="006A4C93">
              <w:t xml:space="preserve"> </w:t>
            </w:r>
          </w:p>
          <w:p w14:paraId="6C84F750" w14:textId="77777777" w:rsidR="00EE7899" w:rsidRPr="006A4C93" w:rsidRDefault="00EE7899" w:rsidP="00F45650">
            <w:pPr>
              <w:pStyle w:val="ListBullet2"/>
            </w:pPr>
            <w:r w:rsidRPr="006A4C93">
              <w:t xml:space="preserve">The new model / approach in the agri-food sector is not to increase the production but rather to increase the final outcome. </w:t>
            </w:r>
          </w:p>
          <w:p w14:paraId="4410B545" w14:textId="77777777" w:rsidR="00EE7899" w:rsidRPr="006A4C93" w:rsidRDefault="00EE7899" w:rsidP="00F45650">
            <w:pPr>
              <w:pStyle w:val="ListBullet2"/>
            </w:pPr>
            <w:r w:rsidRPr="006A4C93">
              <w:t>Product certification. This is essential for increasing sales, for exporting products and for achieving a higher price for the same products.</w:t>
            </w:r>
          </w:p>
          <w:p w14:paraId="5006DF9F" w14:textId="77777777" w:rsidR="00EE7899" w:rsidRPr="006A4C93" w:rsidRDefault="00EE7899" w:rsidP="00F45650">
            <w:pPr>
              <w:pStyle w:val="ListBullet2"/>
            </w:pPr>
            <w:r w:rsidRPr="006A4C93">
              <w:t>Using wastes or pruning for crops for energy production. This can add an extra income to the farmer / owner of the industry</w:t>
            </w:r>
          </w:p>
          <w:p w14:paraId="32BDC282" w14:textId="77777777" w:rsidR="00EE7899" w:rsidRPr="006A4C93" w:rsidRDefault="00EE7899" w:rsidP="00F45650">
            <w:pPr>
              <w:pStyle w:val="ListBullet2"/>
            </w:pPr>
            <w:r w:rsidRPr="006A4C93">
              <w:t>Closer collaboration with research institutes and educational organisation will help the relevant industries to adopt some level of innovation their production chain.</w:t>
            </w:r>
          </w:p>
          <w:p w14:paraId="34DBD6B6" w14:textId="77777777" w:rsidR="00EE7899" w:rsidRPr="006A4C93" w:rsidRDefault="00EE7899" w:rsidP="00F45650">
            <w:pPr>
              <w:pStyle w:val="ListBullet2"/>
            </w:pPr>
            <w:r w:rsidRPr="006A4C93">
              <w:t xml:space="preserve">Involvement in national and European projects, especially in those ones that targeted to SMEs. </w:t>
            </w:r>
          </w:p>
          <w:p w14:paraId="54CAA94F" w14:textId="61F2815B" w:rsidR="000531A3" w:rsidRPr="006A4C93" w:rsidRDefault="000531A3" w:rsidP="0027228E">
            <w:pPr>
              <w:pStyle w:val="Otsikko13"/>
            </w:pPr>
          </w:p>
        </w:tc>
        <w:tc>
          <w:tcPr>
            <w:tcW w:w="1725" w:type="pct"/>
          </w:tcPr>
          <w:p w14:paraId="7DCE1649" w14:textId="77777777" w:rsidR="0044556A" w:rsidRPr="006A4C93" w:rsidRDefault="0044556A" w:rsidP="0027228E">
            <w:pPr>
              <w:pStyle w:val="Otsikko13"/>
            </w:pPr>
          </w:p>
        </w:tc>
      </w:tr>
      <w:tr w:rsidR="0044556A" w:rsidRPr="006A4C93" w14:paraId="68C6D40D" w14:textId="77777777" w:rsidTr="00C15523">
        <w:trPr>
          <w:trHeight w:val="192"/>
        </w:trPr>
        <w:tc>
          <w:tcPr>
            <w:tcW w:w="3275" w:type="pct"/>
          </w:tcPr>
          <w:p w14:paraId="6AACD02C" w14:textId="77777777" w:rsidR="0044556A" w:rsidRPr="00F45650" w:rsidRDefault="0044556A" w:rsidP="0027228E">
            <w:pPr>
              <w:pStyle w:val="Body3"/>
              <w:rPr>
                <w:b/>
              </w:rPr>
            </w:pPr>
            <w:r w:rsidRPr="00F45650">
              <w:rPr>
                <w:b/>
              </w:rPr>
              <w:t>Western Transdanubia</w:t>
            </w:r>
          </w:p>
          <w:p w14:paraId="02BB269E" w14:textId="77777777" w:rsidR="001A5480" w:rsidRPr="0027228E" w:rsidRDefault="001A5480" w:rsidP="0027228E">
            <w:pPr>
              <w:pStyle w:val="Body3"/>
            </w:pPr>
            <w:r w:rsidRPr="0027228E">
              <w:t>Győr-Moson Sorpon County:</w:t>
            </w:r>
          </w:p>
          <w:p w14:paraId="60C52DD3" w14:textId="77777777" w:rsidR="001A5480" w:rsidRPr="006A4C93" w:rsidRDefault="001A5480" w:rsidP="0027228E">
            <w:pPr>
              <w:pStyle w:val="Listwithsmallreddot"/>
            </w:pPr>
            <w:r w:rsidRPr="006A4C93">
              <w:t>special materials, advanced materials, modern materials technologies</w:t>
            </w:r>
          </w:p>
          <w:p w14:paraId="077BDADD" w14:textId="77777777" w:rsidR="001A5480" w:rsidRPr="006A4C93" w:rsidRDefault="001A5480" w:rsidP="0027228E">
            <w:pPr>
              <w:pStyle w:val="Listwithsmallreddot"/>
            </w:pPr>
            <w:r w:rsidRPr="006A4C93">
              <w:t>metal fabrication other than machine industry</w:t>
            </w:r>
          </w:p>
          <w:p w14:paraId="35880749" w14:textId="77777777" w:rsidR="001A5480" w:rsidRPr="006A4C93" w:rsidRDefault="001A5480" w:rsidP="0027228E">
            <w:pPr>
              <w:pStyle w:val="Listwithsmallreddot"/>
            </w:pPr>
            <w:r w:rsidRPr="006A4C93">
              <w:t>building industry (building materials technologies)</w:t>
            </w:r>
          </w:p>
          <w:p w14:paraId="3E8C3B6F" w14:textId="77777777" w:rsidR="001A5480" w:rsidRPr="006A4C93" w:rsidRDefault="001A5480" w:rsidP="0027228E">
            <w:pPr>
              <w:pStyle w:val="Listwithsmallreddot"/>
            </w:pPr>
            <w:r w:rsidRPr="006A4C93">
              <w:t>textile industry</w:t>
            </w:r>
          </w:p>
          <w:p w14:paraId="24D0E8D8" w14:textId="77777777" w:rsidR="001A5480" w:rsidRPr="006A4C93" w:rsidRDefault="001A5480" w:rsidP="0027228E">
            <w:pPr>
              <w:pStyle w:val="Listwithsmallreddot"/>
            </w:pPr>
            <w:r w:rsidRPr="006A4C93">
              <w:t>wood and furniture industry</w:t>
            </w:r>
          </w:p>
          <w:p w14:paraId="2B5AED49" w14:textId="3684E60E" w:rsidR="001A5480" w:rsidRPr="006A4C93" w:rsidRDefault="001A5480" w:rsidP="0027228E">
            <w:pPr>
              <w:pStyle w:val="Listwithsmallreddot"/>
              <w:rPr>
                <w:rFonts w:cs="Tahoma"/>
                <w:b/>
                <w:szCs w:val="18"/>
              </w:rPr>
            </w:pPr>
            <w:r w:rsidRPr="006A4C93">
              <w:t>logistics</w:t>
            </w:r>
          </w:p>
          <w:p w14:paraId="5A4DDD4A" w14:textId="77777777" w:rsidR="001A5480" w:rsidRPr="0027228E" w:rsidRDefault="001A5480" w:rsidP="0027228E">
            <w:pPr>
              <w:pStyle w:val="Body3"/>
            </w:pPr>
            <w:r w:rsidRPr="0027228E">
              <w:t>Vas County:</w:t>
            </w:r>
          </w:p>
          <w:p w14:paraId="782F3C91" w14:textId="77777777" w:rsidR="001A5480" w:rsidRPr="006A4C93" w:rsidRDefault="001A5480" w:rsidP="0027228E">
            <w:pPr>
              <w:pStyle w:val="Listwithsmallreddot"/>
            </w:pPr>
            <w:r w:rsidRPr="006A4C93">
              <w:t>special materials, advanced materials, modern materials, technologies</w:t>
            </w:r>
          </w:p>
          <w:p w14:paraId="47337AF7" w14:textId="77777777" w:rsidR="001A5480" w:rsidRPr="006A4C93" w:rsidRDefault="001A5480" w:rsidP="0027228E">
            <w:pPr>
              <w:pStyle w:val="Listwithsmallreddot"/>
            </w:pPr>
            <w:r w:rsidRPr="006A4C93">
              <w:t>electronics and semiconductor technology</w:t>
            </w:r>
          </w:p>
          <w:p w14:paraId="1D012BFA" w14:textId="77777777" w:rsidR="001A5480" w:rsidRPr="006A4C93" w:rsidRDefault="001A5480" w:rsidP="0027228E">
            <w:pPr>
              <w:pStyle w:val="Listwithsmallreddot"/>
            </w:pPr>
            <w:r w:rsidRPr="006A4C93">
              <w:t>logistics</w:t>
            </w:r>
          </w:p>
          <w:p w14:paraId="5100CBEB" w14:textId="77777777" w:rsidR="001A5480" w:rsidRPr="006A4C93" w:rsidRDefault="001A5480" w:rsidP="0027228E">
            <w:pPr>
              <w:pStyle w:val="Listwithsmallreddot"/>
            </w:pPr>
            <w:r w:rsidRPr="006A4C93">
              <w:t>cultural and creative industry</w:t>
            </w:r>
          </w:p>
          <w:p w14:paraId="43642FB8" w14:textId="77777777" w:rsidR="001A5480" w:rsidRPr="0027228E" w:rsidRDefault="001A5480" w:rsidP="0027228E">
            <w:pPr>
              <w:pStyle w:val="Body3"/>
            </w:pPr>
            <w:r w:rsidRPr="0027228E">
              <w:t>Zala County</w:t>
            </w:r>
          </w:p>
          <w:p w14:paraId="7587812E" w14:textId="77777777" w:rsidR="001A5480" w:rsidRPr="006A4C93" w:rsidRDefault="001A5480" w:rsidP="0027228E">
            <w:pPr>
              <w:pStyle w:val="Listwithsmallreddot"/>
            </w:pPr>
            <w:r w:rsidRPr="006A4C93">
              <w:rPr>
                <w:rFonts w:cs="Tahoma"/>
              </w:rPr>
              <w:t>s</w:t>
            </w:r>
            <w:r w:rsidRPr="006A4C93">
              <w:t>pecial materials, advanced, materials, modern materials, technologies</w:t>
            </w:r>
          </w:p>
          <w:p w14:paraId="6A73ABA8" w14:textId="77777777" w:rsidR="001A5480" w:rsidRPr="006A4C93" w:rsidRDefault="001A5480" w:rsidP="0027228E">
            <w:pPr>
              <w:pStyle w:val="Listwithsmallreddot"/>
            </w:pPr>
            <w:r w:rsidRPr="006A4C93">
              <w:t xml:space="preserve">modern packaging technologies </w:t>
            </w:r>
          </w:p>
          <w:p w14:paraId="728D463D" w14:textId="77777777" w:rsidR="001A5480" w:rsidRPr="006A4C93" w:rsidRDefault="001A5480" w:rsidP="0027228E">
            <w:pPr>
              <w:pStyle w:val="Listwithsmallreddot"/>
            </w:pPr>
            <w:r w:rsidRPr="006A4C93">
              <w:t>chemical industry (e.g. rubber and plastics industry, production of intermediates, fertilizers and cosmetics)</w:t>
            </w:r>
          </w:p>
          <w:p w14:paraId="30CC75D1" w14:textId="77777777" w:rsidR="001A5480" w:rsidRPr="006A4C93" w:rsidRDefault="001A5480" w:rsidP="0027228E">
            <w:pPr>
              <w:pStyle w:val="Listwithsmallreddot"/>
            </w:pPr>
            <w:r w:rsidRPr="006A4C93">
              <w:t>wood and furniture industry</w:t>
            </w:r>
          </w:p>
          <w:p w14:paraId="2ED09CE2" w14:textId="77777777" w:rsidR="001A5480" w:rsidRPr="006A4C93" w:rsidRDefault="001A5480" w:rsidP="0027228E">
            <w:pPr>
              <w:pStyle w:val="Listwithsmallreddot"/>
            </w:pPr>
            <w:r w:rsidRPr="006A4C93">
              <w:t>logistics</w:t>
            </w:r>
          </w:p>
          <w:p w14:paraId="55407B22" w14:textId="21716AF6" w:rsidR="001A5480" w:rsidRPr="006A4C93" w:rsidRDefault="001A5480" w:rsidP="0027228E">
            <w:pPr>
              <w:pStyle w:val="Listwithsmallreddot"/>
            </w:pPr>
            <w:r w:rsidRPr="006A4C93">
              <w:t>cultural and creative industry</w:t>
            </w:r>
          </w:p>
        </w:tc>
        <w:tc>
          <w:tcPr>
            <w:tcW w:w="1725" w:type="pct"/>
          </w:tcPr>
          <w:p w14:paraId="25C09953" w14:textId="60D9B7D0" w:rsidR="0044556A" w:rsidRPr="0027228E" w:rsidRDefault="00EE4DF4" w:rsidP="0027228E">
            <w:pPr>
              <w:pStyle w:val="Body3"/>
            </w:pPr>
            <w:r w:rsidRPr="0027228E">
              <w:t>T</w:t>
            </w:r>
            <w:r w:rsidR="001A5480" w:rsidRPr="0027228E">
              <w:t xml:space="preserve">he renewal of the  furniture industry is </w:t>
            </w:r>
            <w:r w:rsidRPr="0027228E">
              <w:t xml:space="preserve">linked to </w:t>
            </w:r>
            <w:r w:rsidR="001A5480" w:rsidRPr="0027228E">
              <w:t xml:space="preserve">cross fertilisation with </w:t>
            </w:r>
            <w:r w:rsidRPr="0027228E">
              <w:t xml:space="preserve">new </w:t>
            </w:r>
            <w:r w:rsidR="001A5480" w:rsidRPr="0027228E">
              <w:t>technologies, e.g.</w:t>
            </w:r>
            <w:r w:rsidR="007008EA" w:rsidRPr="0027228E">
              <w:t xml:space="preserve"> special material</w:t>
            </w:r>
            <w:r w:rsidRPr="0027228E">
              <w:t>s</w:t>
            </w:r>
            <w:r w:rsidR="007008EA" w:rsidRPr="0027228E">
              <w:t xml:space="preserve">, advanced </w:t>
            </w:r>
            <w:r w:rsidRPr="0027228E">
              <w:t xml:space="preserve">materials,  etc. </w:t>
            </w:r>
            <w:r w:rsidR="00F77C84" w:rsidRPr="0027228E">
              <w:t xml:space="preserve">Therefore, </w:t>
            </w:r>
            <w:r w:rsidR="007008EA" w:rsidRPr="0027228E">
              <w:t>cross fertilisation strategy document might be needed.</w:t>
            </w:r>
            <w:r w:rsidRPr="0027228E">
              <w:t xml:space="preserve"> Interegional connectivity on centres of cometence deaign with these issues.</w:t>
            </w:r>
          </w:p>
        </w:tc>
      </w:tr>
    </w:tbl>
    <w:p w14:paraId="1BDE66FF" w14:textId="77777777" w:rsidR="00AA3F6B" w:rsidRDefault="00AA3F6B" w:rsidP="00F51ACF">
      <w:pPr>
        <w:pStyle w:val="Caption"/>
        <w:numPr>
          <w:ilvl w:val="0"/>
          <w:numId w:val="0"/>
        </w:numPr>
        <w:ind w:left="720"/>
      </w:pPr>
      <w:bookmarkStart w:id="71" w:name="_Ref355167526"/>
    </w:p>
    <w:p w14:paraId="3EC8AE82" w14:textId="410C5D8C" w:rsidR="00C15523" w:rsidRPr="006A4C93" w:rsidRDefault="00AA3F6B" w:rsidP="00F51ACF">
      <w:pPr>
        <w:pStyle w:val="Caption"/>
        <w:numPr>
          <w:ilvl w:val="0"/>
          <w:numId w:val="0"/>
        </w:numPr>
      </w:pPr>
      <w:bookmarkStart w:id="72" w:name="_Toc526591120"/>
      <w:r>
        <w:t xml:space="preserve">Insights Table  </w:t>
      </w:r>
      <w:fldSimple w:instr=" SEQ Insights_Table_ \* ARABIC ">
        <w:r>
          <w:rPr>
            <w:noProof/>
          </w:rPr>
          <w:t>7</w:t>
        </w:r>
        <w:bookmarkEnd w:id="72"/>
      </w:fldSimple>
      <w:bookmarkEnd w:id="71"/>
    </w:p>
    <w:p w14:paraId="0E2C6811" w14:textId="3B1D8489" w:rsidR="00733ED0" w:rsidRPr="006A4C93" w:rsidRDefault="006E13B9" w:rsidP="005F49CC">
      <w:pPr>
        <w:pStyle w:val="ListParagraph"/>
      </w:pPr>
      <w:r w:rsidRPr="006A4C93">
        <w:t>Three out of five innovation maps</w:t>
      </w:r>
      <w:r w:rsidR="00E92578" w:rsidRPr="006A4C93">
        <w:t xml:space="preserve"> benefit from </w:t>
      </w:r>
      <w:r w:rsidRPr="006A4C93">
        <w:t xml:space="preserve">detailed suggestions. </w:t>
      </w:r>
      <w:r w:rsidR="00E92578" w:rsidRPr="006A4C93">
        <w:t>However, when it comes to industry modernisation or industry renewa</w:t>
      </w:r>
      <w:r w:rsidR="00FC4422" w:rsidRPr="006A4C93">
        <w:t>l, there is need</w:t>
      </w:r>
      <w:r w:rsidR="00E92578" w:rsidRPr="006A4C93">
        <w:t xml:space="preserve"> for </w:t>
      </w:r>
      <w:r w:rsidR="00FC4422" w:rsidRPr="006A4C93">
        <w:t>strenghtened EDP (entrepreneurial discovery process). The findings could be part of the action plans, prioritising related investments.</w:t>
      </w:r>
    </w:p>
    <w:p w14:paraId="3995102D" w14:textId="7363159D" w:rsidR="00BD5DB2" w:rsidRPr="006A4C93" w:rsidRDefault="006C5A94" w:rsidP="005F49CC">
      <w:pPr>
        <w:pStyle w:val="ListParagraph"/>
      </w:pPr>
      <w:r w:rsidRPr="006A4C93">
        <w:t>With two exceptions, s</w:t>
      </w:r>
      <w:r w:rsidR="00BD5DB2" w:rsidRPr="006A4C93">
        <w:t xml:space="preserve">uggestions </w:t>
      </w:r>
      <w:r w:rsidRPr="006A4C93">
        <w:t xml:space="preserve">do not </w:t>
      </w:r>
      <w:r w:rsidR="00BD5DB2" w:rsidRPr="006A4C93">
        <w:t xml:space="preserve">refer to cluster priorities and </w:t>
      </w:r>
      <w:r w:rsidRPr="006A4C93">
        <w:t>very little to improvement of regional innov</w:t>
      </w:r>
      <w:r w:rsidR="00BD5DB2" w:rsidRPr="006A4C93">
        <w:t>ation systems.</w:t>
      </w:r>
    </w:p>
    <w:p w14:paraId="2690A667" w14:textId="0F11C5B1" w:rsidR="002F78DC" w:rsidRPr="006A4C93" w:rsidRDefault="002F78DC" w:rsidP="005F49CC">
      <w:pPr>
        <w:pStyle w:val="ListParagraph"/>
      </w:pPr>
      <w:r w:rsidRPr="006A4C93">
        <w:t>Regions with renewal priorties can benefit from cross fertilisation of  pre-existing industries, fragments of which remain as specialisation priorities in the regions, e.g. furntiture*special materials. The interregional connectivity, in such a case, could address the concept generation, the materials side, and / or the furniture side.</w:t>
      </w:r>
    </w:p>
    <w:p w14:paraId="4B5D8ED6" w14:textId="5F3D85C7" w:rsidR="00DB70ED" w:rsidRPr="006A4C93" w:rsidRDefault="00DB70ED" w:rsidP="005F49CC">
      <w:pPr>
        <w:pStyle w:val="ListParagraph"/>
        <w:rPr>
          <w:szCs w:val="21"/>
          <w:lang w:val="en-US"/>
        </w:rPr>
      </w:pPr>
      <w:r w:rsidRPr="006A4C93">
        <w:br w:type="page"/>
      </w:r>
    </w:p>
    <w:p w14:paraId="3AD32DD2" w14:textId="1E45B836" w:rsidR="000E56B6" w:rsidRPr="006A4C93" w:rsidRDefault="006E13B9" w:rsidP="00837006">
      <w:pPr>
        <w:pStyle w:val="Heading1"/>
        <w:shd w:val="clear" w:color="auto" w:fill="FFFFFF" w:themeFill="background1"/>
      </w:pPr>
      <w:bookmarkStart w:id="73" w:name="_Toc526593127"/>
      <w:r w:rsidRPr="006A4C93">
        <w:lastRenderedPageBreak/>
        <w:t xml:space="preserve">Conclusions  and </w:t>
      </w:r>
      <w:r w:rsidR="000E5D6F" w:rsidRPr="006A4C93">
        <w:t>recommendations</w:t>
      </w:r>
      <w:bookmarkEnd w:id="73"/>
    </w:p>
    <w:p w14:paraId="4EDDC99F" w14:textId="1933707C" w:rsidR="002D060E" w:rsidRPr="006A4C93" w:rsidRDefault="002D060E" w:rsidP="00837006">
      <w:pPr>
        <w:shd w:val="clear" w:color="auto" w:fill="FFFFFF" w:themeFill="background1"/>
      </w:pPr>
      <w:r w:rsidRPr="006A4C93">
        <w:t>The report summarises the six innovation maps, makes recommendations for the regional action plans prioritising types of technological connectivity between less and more advanced innovation regions, and draws conclusions regarding technological connectivities beyond locational proximities. The innovation maps indicate that while the number of innovation performing businesses is not as extensive as anticipated, RIS3 industries indicate strong potential for renewal and/or modernisation, and in one case, also diversification. Gaps in the regional innovation systems, lack of critical mass, and mismatches between productive and knowledge bases are sometimes present, too. RIS3 industries’ potential will be explored in the partner action plans. In the process, knowledge base gaps will be addressed through targeted partnerships and innovation management gaps through good practice transfer.</w:t>
      </w:r>
    </w:p>
    <w:p w14:paraId="20DC0DC8" w14:textId="51926BAB" w:rsidR="00B81956" w:rsidRPr="006A4C93" w:rsidRDefault="00E45931" w:rsidP="00EB68EB">
      <w:pPr>
        <w:pStyle w:val="Heading2"/>
      </w:pPr>
      <w:bookmarkStart w:id="74" w:name="_Toc526593128"/>
      <w:r w:rsidRPr="006A4C93">
        <w:t>C</w:t>
      </w:r>
      <w:r w:rsidR="00904CE9" w:rsidRPr="006A4C93">
        <w:t>onnectivity priorities</w:t>
      </w:r>
      <w:bookmarkEnd w:id="74"/>
      <w:r w:rsidR="00904CE9" w:rsidRPr="006A4C93">
        <w:t xml:space="preserve"> </w:t>
      </w:r>
    </w:p>
    <w:p w14:paraId="120D6D2B" w14:textId="09BFBD74" w:rsidR="00DB70ED" w:rsidRDefault="00DB70ED" w:rsidP="00837006">
      <w:pPr>
        <w:widowControl w:val="0"/>
        <w:shd w:val="clear" w:color="auto" w:fill="FFFFFF" w:themeFill="background1"/>
      </w:pPr>
      <w:r w:rsidRPr="006A4C93">
        <w:t>The findings of the innovation mapping exercise  can be  summarised in the Figure below:</w:t>
      </w:r>
    </w:p>
    <w:p w14:paraId="2768D8CA" w14:textId="24D4A20F" w:rsidR="0027228E" w:rsidRPr="006A4C93" w:rsidRDefault="0027228E" w:rsidP="00F51ACF">
      <w:pPr>
        <w:pStyle w:val="Caption"/>
        <w:numPr>
          <w:ilvl w:val="0"/>
          <w:numId w:val="0"/>
        </w:numPr>
        <w:ind w:left="720" w:hanging="360"/>
      </w:pPr>
      <w:bookmarkStart w:id="75" w:name="_Toc526593135"/>
      <w:r>
        <w:t xml:space="preserve">Figure </w:t>
      </w:r>
      <w:r w:rsidR="00F01E0F">
        <w:rPr>
          <w:noProof/>
        </w:rPr>
        <w:fldChar w:fldCharType="begin"/>
      </w:r>
      <w:r w:rsidR="00F01E0F">
        <w:rPr>
          <w:noProof/>
        </w:rPr>
        <w:instrText xml:space="preserve"> SEQ Figure \* ARABIC </w:instrText>
      </w:r>
      <w:r w:rsidR="00F01E0F">
        <w:rPr>
          <w:noProof/>
        </w:rPr>
        <w:fldChar w:fldCharType="separate"/>
      </w:r>
      <w:r w:rsidR="00AA7689">
        <w:rPr>
          <w:noProof/>
        </w:rPr>
        <w:t>2</w:t>
      </w:r>
      <w:r w:rsidR="00F01E0F">
        <w:rPr>
          <w:noProof/>
        </w:rPr>
        <w:fldChar w:fldCharType="end"/>
      </w:r>
      <w:r>
        <w:t xml:space="preserve"> Summary of the improvement needs based on the innovation maps</w:t>
      </w:r>
      <w:bookmarkEnd w:id="75"/>
    </w:p>
    <w:p w14:paraId="20DAB963" w14:textId="1BD3AEA9" w:rsidR="00EC0217" w:rsidRPr="006A4C93" w:rsidRDefault="0027228E" w:rsidP="00837006">
      <w:pPr>
        <w:widowControl w:val="0"/>
        <w:shd w:val="clear" w:color="auto" w:fill="FFFFFF" w:themeFill="background1"/>
      </w:pPr>
      <w:r w:rsidRPr="006A4C93">
        <w:rPr>
          <w:lang w:eastAsia="en-GB"/>
        </w:rPr>
        <w:drawing>
          <wp:inline distT="0" distB="0" distL="0" distR="0" wp14:anchorId="78D8BF0D" wp14:editId="2C85E32C">
            <wp:extent cx="4813935" cy="3562350"/>
            <wp:effectExtent l="0" t="0" r="12065"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3935" cy="3562350"/>
                    </a:xfrm>
                    <a:prstGeom prst="rect">
                      <a:avLst/>
                    </a:prstGeom>
                    <a:noFill/>
                    <a:ln>
                      <a:noFill/>
                    </a:ln>
                  </pic:spPr>
                </pic:pic>
              </a:graphicData>
            </a:graphic>
          </wp:inline>
        </w:drawing>
      </w:r>
    </w:p>
    <w:p w14:paraId="4763FA4B" w14:textId="3F4947FB" w:rsidR="00EC0217" w:rsidRPr="006A4C93" w:rsidRDefault="007862E8" w:rsidP="00EB68EB">
      <w:r w:rsidRPr="006A4C93">
        <w:t>T</w:t>
      </w:r>
      <w:r w:rsidR="00EC0217" w:rsidRPr="006A4C93">
        <w:t>his figure</w:t>
      </w:r>
      <w:r w:rsidRPr="006A4C93">
        <w:t xml:space="preserve"> indicates </w:t>
      </w:r>
      <w:r w:rsidR="00EC0217" w:rsidRPr="006A4C93">
        <w:t xml:space="preserve">that the innovation maps resulted in a wider range of connectivity options (needs/potential) than initially foreseen. The BRIDGES project’s initial objective was to identify and support cooperation under column 1 research-to-business, as a way to incure positive change in the less advanced regions. However, the innovation maps revealed  that while the </w:t>
      </w:r>
      <w:r w:rsidR="00EC0217" w:rsidRPr="006A4C93">
        <w:rPr>
          <w:i/>
        </w:rPr>
        <w:t>research-to-business</w:t>
      </w:r>
      <w:r w:rsidR="00EC0217" w:rsidRPr="006A4C93">
        <w:t xml:space="preserve"> options were rather the exception than the rule (see </w:t>
      </w:r>
      <w:r w:rsidR="00EB68EB">
        <w:fldChar w:fldCharType="begin"/>
      </w:r>
      <w:r w:rsidR="00EB68EB">
        <w:instrText xml:space="preserve"> REF _Ref355165315 \h  \* MERGEFORMAT </w:instrText>
      </w:r>
      <w:r w:rsidR="00EB68EB">
        <w:fldChar w:fldCharType="separate"/>
      </w:r>
      <w:r w:rsidR="00BA7AA6" w:rsidRPr="006A4C93">
        <w:t>Table 3 insights</w:t>
      </w:r>
      <w:r w:rsidR="00EB68EB">
        <w:fldChar w:fldCharType="end"/>
      </w:r>
      <w:r w:rsidR="00EC0217" w:rsidRPr="006A4C93">
        <w:t xml:space="preserve">), more fields of connectivity needs appeared, relating to </w:t>
      </w:r>
      <w:r w:rsidR="00EC0217" w:rsidRPr="006A4C93">
        <w:rPr>
          <w:i/>
        </w:rPr>
        <w:t>reasearch-to-industry</w:t>
      </w:r>
      <w:r w:rsidR="00EC0217" w:rsidRPr="006A4C93">
        <w:t xml:space="preserve"> and </w:t>
      </w:r>
      <w:r w:rsidR="00EC0217" w:rsidRPr="006A4C93">
        <w:rPr>
          <w:i/>
        </w:rPr>
        <w:t>research-to-regional innovation systems</w:t>
      </w:r>
      <w:r w:rsidR="00EC0217" w:rsidRPr="006A4C93">
        <w:t xml:space="preserve">. </w:t>
      </w:r>
    </w:p>
    <w:p w14:paraId="311A9306" w14:textId="01176923" w:rsidR="00851636" w:rsidRPr="006A4C93" w:rsidRDefault="00B81956" w:rsidP="00EB68EB">
      <w:r w:rsidRPr="006A4C93">
        <w:rPr>
          <w:i/>
        </w:rPr>
        <w:lastRenderedPageBreak/>
        <w:t>Research-to-industry</w:t>
      </w:r>
      <w:r w:rsidR="00B36B95" w:rsidRPr="006A4C93">
        <w:t xml:space="preserve"> connectivity needs are about knowledge transfers, knowledge applications </w:t>
      </w:r>
      <w:r w:rsidR="00343CF7" w:rsidRPr="006A4C93">
        <w:t xml:space="preserve"> in cases</w:t>
      </w:r>
      <w:r w:rsidR="008A3277" w:rsidRPr="006A4C93">
        <w:t xml:space="preserve"> </w:t>
      </w:r>
      <w:r w:rsidR="00B36B95" w:rsidRPr="006A4C93">
        <w:t xml:space="preserve">of </w:t>
      </w:r>
      <w:r w:rsidR="008A3277" w:rsidRPr="006A4C93">
        <w:t xml:space="preserve">industrial renewal and </w:t>
      </w:r>
      <w:r w:rsidR="00343CF7" w:rsidRPr="006A4C93">
        <w:t xml:space="preserve">–especially, </w:t>
      </w:r>
      <w:r w:rsidR="008A3277" w:rsidRPr="006A4C93">
        <w:t xml:space="preserve">modernisation situations. Industrial modernisation is not an exhaustively defined term, as it may refer to product improvement, process improvement, sustainability improvement, etc. </w:t>
      </w:r>
      <w:r w:rsidR="00555BF4" w:rsidRPr="006A4C93">
        <w:t>Out of the six BRIDGES</w:t>
      </w:r>
      <w:r w:rsidR="00851636" w:rsidRPr="006A4C93">
        <w:t> regions, four focus on industrial modernisation, two on industrial</w:t>
      </w:r>
      <w:r w:rsidR="00555BF4" w:rsidRPr="006A4C93">
        <w:t xml:space="preserve"> renewal, and two on </w:t>
      </w:r>
      <w:r w:rsidR="00851636" w:rsidRPr="006A4C93">
        <w:t xml:space="preserve">industrial </w:t>
      </w:r>
      <w:r w:rsidR="00555BF4" w:rsidRPr="006A4C93">
        <w:t xml:space="preserve">diversification (some regions preferred more than one priorities). </w:t>
      </w:r>
      <w:r w:rsidR="00851636" w:rsidRPr="006A4C93">
        <w:t>However, i</w:t>
      </w:r>
      <w:r w:rsidR="00B36B95" w:rsidRPr="006A4C93">
        <w:t>ndustrial modernisation was not defined in depth in the patner regions and</w:t>
      </w:r>
      <w:r w:rsidR="00555BF4" w:rsidRPr="006A4C93">
        <w:t xml:space="preserve"> the process of related entrepreneurial discovery (EDP) was not completed.</w:t>
      </w:r>
      <w:r w:rsidR="00851636" w:rsidRPr="006A4C93">
        <w:t xml:space="preserve"> To formulate the action plans, however, it will be necessary to decide concrete activities. Thus, it might require adopting the PDL approach (Project Development Lab</w:t>
      </w:r>
      <w:r w:rsidR="00851636" w:rsidRPr="006A4C93">
        <w:rPr>
          <w:rStyle w:val="Hyperlink"/>
          <w:color w:val="021B2B" w:themeColor="background2" w:themeShade="1A"/>
          <w:sz w:val="20"/>
        </w:rPr>
        <w:t xml:space="preserve">, </w:t>
      </w:r>
      <w:hyperlink w:anchor="_Boden,_M.,_Dos" w:history="1">
        <w:r w:rsidR="00851636" w:rsidRPr="006A4C93">
          <w:rPr>
            <w:rStyle w:val="Hyperlink"/>
            <w:color w:val="021B2B" w:themeColor="background2" w:themeShade="1A"/>
            <w:sz w:val="20"/>
          </w:rPr>
          <w:t>Boden 2016</w:t>
        </w:r>
      </w:hyperlink>
      <w:r w:rsidR="00851636" w:rsidRPr="006A4C93">
        <w:t xml:space="preserve">), and include the required expertise in this process regardless of location (local, national or internaitonal), as a way to avoid localised lock-ins, which is common in peripheral areas. </w:t>
      </w:r>
    </w:p>
    <w:p w14:paraId="404FC656" w14:textId="638717BB" w:rsidR="00851636" w:rsidRPr="006A4C93" w:rsidRDefault="00851636" w:rsidP="00EB68EB">
      <w:r w:rsidRPr="006A4C93">
        <w:t xml:space="preserve">A similar approach could be applied to the industry renewal partner region. For example, such expertise might refer to extensive knowledge of industrial trends, research trends, and / or benchmarking methodologies. We have realised the need for industrial expertise, often missing in lagging areas. In principle, we propose to institutionalise the PDL approach as part of the formulation of strategic documents for the RIS3 sub industries. </w:t>
      </w:r>
    </w:p>
    <w:p w14:paraId="0BA28816" w14:textId="14FCCB80" w:rsidR="00851636" w:rsidRPr="006A4C93" w:rsidRDefault="00851636" w:rsidP="00EB68EB">
      <w:r w:rsidRPr="006A4C93">
        <w:t>In the case of diversification regions, o</w:t>
      </w:r>
      <w:r w:rsidR="007862E8" w:rsidRPr="006A4C93">
        <w:t xml:space="preserve">ne path to consider </w:t>
      </w:r>
      <w:r w:rsidR="006A4C93" w:rsidRPr="006A4C93">
        <w:t xml:space="preserve">might be </w:t>
      </w:r>
      <w:r w:rsidR="00B81956" w:rsidRPr="006A4C93">
        <w:t>build</w:t>
      </w:r>
      <w:r w:rsidR="007862E8" w:rsidRPr="006A4C93">
        <w:t>ing</w:t>
      </w:r>
      <w:r w:rsidR="00B81956" w:rsidRPr="006A4C93">
        <w:t xml:space="preserve"> </w:t>
      </w:r>
      <w:r w:rsidR="00655D80" w:rsidRPr="006A4C93">
        <w:t>on/ expand</w:t>
      </w:r>
      <w:r w:rsidR="007862E8" w:rsidRPr="006A4C93">
        <w:t>ing</w:t>
      </w:r>
      <w:r w:rsidR="00655D80" w:rsidRPr="006A4C93">
        <w:t xml:space="preserve"> </w:t>
      </w:r>
      <w:r w:rsidR="00B81956" w:rsidRPr="006A4C93">
        <w:t xml:space="preserve">the economic base of the </w:t>
      </w:r>
      <w:r w:rsidR="00655D80" w:rsidRPr="006A4C93">
        <w:t xml:space="preserve">industries of the </w:t>
      </w:r>
      <w:r w:rsidR="00B81956" w:rsidRPr="006A4C93">
        <w:t>most performing businesses</w:t>
      </w:r>
      <w:r w:rsidR="007862E8" w:rsidRPr="006A4C93">
        <w:t xml:space="preserve"> </w:t>
      </w:r>
      <w:r w:rsidR="00655D80" w:rsidRPr="006A4C93">
        <w:t>and strengthen the relevant  knowledge-connectivity system</w:t>
      </w:r>
      <w:r w:rsidR="00B81956" w:rsidRPr="006A4C93">
        <w:rPr>
          <w:rStyle w:val="FootnoteReference"/>
          <w:color w:val="021B2B" w:themeColor="background2" w:themeShade="1A"/>
        </w:rPr>
        <w:footnoteReference w:id="21"/>
      </w:r>
      <w:r w:rsidR="00655D80" w:rsidRPr="006A4C93">
        <w:t>.</w:t>
      </w:r>
      <w:r w:rsidR="00B81956" w:rsidRPr="006A4C93">
        <w:t xml:space="preserve"> </w:t>
      </w:r>
    </w:p>
    <w:p w14:paraId="60598AD4" w14:textId="1F3D2A08" w:rsidR="00B81956" w:rsidRPr="006A4C93" w:rsidRDefault="00B81956" w:rsidP="00EB68EB">
      <w:r w:rsidRPr="006A4C93">
        <w:rPr>
          <w:i/>
        </w:rPr>
        <w:t>Research-to-regional innovation systems</w:t>
      </w:r>
      <w:r w:rsidRPr="006A4C93">
        <w:t xml:space="preserve"> connectivity needs </w:t>
      </w:r>
      <w:r w:rsidR="00B83987" w:rsidRPr="006A4C93">
        <w:t xml:space="preserve">are about </w:t>
      </w:r>
      <w:r w:rsidRPr="006A4C93">
        <w:t>the</w:t>
      </w:r>
      <w:r w:rsidR="00FE6ADC" w:rsidRPr="006A4C93">
        <w:t xml:space="preserve"> function </w:t>
      </w:r>
      <w:r w:rsidRPr="006A4C93">
        <w:t xml:space="preserve">of </w:t>
      </w:r>
      <w:r w:rsidR="006A4C93" w:rsidRPr="006A4C93">
        <w:t xml:space="preserve">regional </w:t>
      </w:r>
      <w:r w:rsidRPr="006A4C93">
        <w:t xml:space="preserve">triple (and quadruple) helices. There is a nominal tirple helix in all the regions, which however, does not always work either because of knowledge mismatches (i.e. the knowledge and productiver bases are not demonstrating effetive complementarities), or because the localised triple helix is not </w:t>
      </w:r>
      <w:r w:rsidR="006A4C93" w:rsidRPr="006A4C93">
        <w:t xml:space="preserve">functioning, is only partially </w:t>
      </w:r>
      <w:r w:rsidRPr="006A4C93">
        <w:t>meaningful, or even because the needed specialisation is missing als</w:t>
      </w:r>
      <w:r w:rsidR="00B83987" w:rsidRPr="006A4C93">
        <w:t>o from national level</w:t>
      </w:r>
      <w:r w:rsidRPr="006A4C93">
        <w:t xml:space="preserve">. Four out of five regions confirm these observations, as they are interested to develop industry-led centres of competence with project </w:t>
      </w:r>
      <w:r w:rsidRPr="006A4C93">
        <w:lastRenderedPageBreak/>
        <w:t xml:space="preserve">generation linkages to businesses, i.e. to improve the function of their innovation system adopting regionalised (rather than localised) solutions. </w:t>
      </w:r>
    </w:p>
    <w:p w14:paraId="662FBF34" w14:textId="0DBD9B98" w:rsidR="00B81956" w:rsidRPr="006A4C93" w:rsidRDefault="00B81956" w:rsidP="00EB68EB">
      <w:r w:rsidRPr="006A4C93">
        <w:t xml:space="preserve">Another “gap” –in most regions, is the lack of the institutions and functions of </w:t>
      </w:r>
      <w:r w:rsidR="00B83987" w:rsidRPr="006A4C93">
        <w:t>innovation</w:t>
      </w:r>
      <w:r w:rsidRPr="006A4C93">
        <w:t xml:space="preserve"> management chains. Innovation maps and further discussions with the partners showed that the lower the related variety in a region, the higher the need for awareness &amp; understanding of the need for </w:t>
      </w:r>
      <w:r w:rsidR="00B83987" w:rsidRPr="006A4C93">
        <w:t>innovation management processes and expertise</w:t>
      </w:r>
      <w:r w:rsidRPr="006A4C93">
        <w:t xml:space="preserve">. </w:t>
      </w:r>
      <w:r w:rsidR="00355103" w:rsidRPr="006A4C93">
        <w:t xml:space="preserve"> </w:t>
      </w:r>
      <w:r w:rsidRPr="006A4C93">
        <w:t>In general, the parametres of critical mass and connectivity, so strong in the RIS3 lit</w:t>
      </w:r>
      <w:r w:rsidR="00A34497" w:rsidRPr="006A4C93">
        <w:t xml:space="preserve">erature (and with acknowledged </w:t>
      </w:r>
      <w:r w:rsidRPr="006A4C93">
        <w:t>challenges</w:t>
      </w:r>
      <w:r w:rsidRPr="006A4C93">
        <w:rPr>
          <w:rStyle w:val="FootnoteReference"/>
          <w:color w:val="021B2B" w:themeColor="background2" w:themeShade="1A"/>
        </w:rPr>
        <w:footnoteReference w:id="22"/>
      </w:r>
      <w:r w:rsidRPr="006A4C93">
        <w:t>), are usually not addressed in sufficient depth in the RIS3 suggestions. This might risk endangering the feasibility of the suggestions, as some local pre-conditions might be absent</w:t>
      </w:r>
      <w:r w:rsidRPr="006A4C93">
        <w:rPr>
          <w:rStyle w:val="FootnoteReference"/>
          <w:color w:val="021B2B" w:themeColor="background2" w:themeShade="1A"/>
        </w:rPr>
        <w:footnoteReference w:id="23"/>
      </w:r>
      <w:r w:rsidRPr="006A4C93">
        <w:t xml:space="preserve">. </w:t>
      </w:r>
    </w:p>
    <w:p w14:paraId="50C72613" w14:textId="3E5C2E80" w:rsidR="00B81956" w:rsidRPr="006A4C93" w:rsidRDefault="00B81956" w:rsidP="00EB68EB">
      <w:r w:rsidRPr="006A4C93">
        <w:t xml:space="preserve">On the other hand, the innovation map of the more advanced region showed that the research and knowledge bases of PP4 have the potential to address all specialisation and technological connectivity needs of PP2,3,5,6 and </w:t>
      </w:r>
      <w:r w:rsidR="007E6087" w:rsidRPr="006A4C93">
        <w:t>7 (</w:t>
      </w:r>
      <w:r w:rsidR="00EB68EB">
        <w:fldChar w:fldCharType="begin"/>
      </w:r>
      <w:r w:rsidR="00EB68EB">
        <w:instrText xml:space="preserve"> REF _Ref355165334 \h </w:instrText>
      </w:r>
      <w:r w:rsidR="00EB68EB">
        <w:fldChar w:fldCharType="separate"/>
      </w:r>
      <w:r w:rsidR="00BA7AA6" w:rsidRPr="0027228E">
        <w:t>T</w:t>
      </w:r>
      <w:r w:rsidR="00BA7AA6">
        <w:t>able 4</w:t>
      </w:r>
      <w:r w:rsidR="00BA7AA6" w:rsidRPr="006A4C93">
        <w:t xml:space="preserve"> Insights</w:t>
      </w:r>
      <w:r w:rsidR="00EB68EB">
        <w:fldChar w:fldCharType="end"/>
      </w:r>
      <w:r w:rsidR="00EB68EB">
        <w:t xml:space="preserve"> </w:t>
      </w:r>
      <w:r w:rsidR="007E6087" w:rsidRPr="006A4C93">
        <w:t xml:space="preserve">and </w:t>
      </w:r>
      <w:r w:rsidR="00EB68EB">
        <w:fldChar w:fldCharType="begin"/>
      </w:r>
      <w:r w:rsidR="00EB68EB">
        <w:instrText xml:space="preserve"> REF _Ref355165412 \h </w:instrText>
      </w:r>
      <w:r w:rsidR="00EB68EB">
        <w:fldChar w:fldCharType="separate"/>
      </w:r>
      <w:r w:rsidR="00BA7AA6" w:rsidRPr="006A4C93">
        <w:t>Table 5 insights</w:t>
      </w:r>
      <w:r w:rsidR="00EB68EB">
        <w:fldChar w:fldCharType="end"/>
      </w:r>
      <w:r w:rsidR="007E6087" w:rsidRPr="006A4C93">
        <w:t>).</w:t>
      </w:r>
    </w:p>
    <w:p w14:paraId="393B5462" w14:textId="2BC8EC32" w:rsidR="00F9210B" w:rsidRPr="006A4C93" w:rsidRDefault="00F9210B" w:rsidP="00152A24">
      <w:pPr>
        <w:pStyle w:val="Heading2"/>
      </w:pPr>
      <w:bookmarkStart w:id="76" w:name="_Toc526593129"/>
      <w:r w:rsidRPr="006A4C93">
        <w:t xml:space="preserve">Excellence </w:t>
      </w:r>
      <w:r w:rsidR="00A5193B" w:rsidRPr="006A4C93">
        <w:t xml:space="preserve">in the connectivity </w:t>
      </w:r>
      <w:r w:rsidRPr="006A4C93">
        <w:t>options</w:t>
      </w:r>
      <w:bookmarkEnd w:id="76"/>
    </w:p>
    <w:p w14:paraId="57E07594" w14:textId="573286A4" w:rsidR="00CC3202" w:rsidRPr="006A4C93" w:rsidRDefault="00F9210B" w:rsidP="00837006">
      <w:pPr>
        <w:shd w:val="clear" w:color="auto" w:fill="FFFFFF" w:themeFill="background1"/>
      </w:pPr>
      <w:r w:rsidRPr="006A4C93">
        <w:t>The BRIDGES project promised to promote excelle</w:t>
      </w:r>
      <w:r w:rsidR="00BE65D2" w:rsidRPr="006A4C93">
        <w:t>nce-based interregional coopera</w:t>
      </w:r>
      <w:r w:rsidRPr="006A4C93">
        <w:t>t</w:t>
      </w:r>
      <w:r w:rsidR="00BE65D2" w:rsidRPr="006A4C93">
        <w:t>i</w:t>
      </w:r>
      <w:r w:rsidRPr="006A4C93">
        <w:t xml:space="preserve">on as a way of improving the RIS3 implementation performance of the less innovation-advanced regions. The </w:t>
      </w:r>
      <w:r w:rsidR="006C51B6" w:rsidRPr="006A4C93">
        <w:t>mapping of the innovation abs</w:t>
      </w:r>
      <w:r w:rsidR="00BE65D2" w:rsidRPr="006A4C93">
        <w:t>oprtiveness capacity of the RIS3 sub industries and the</w:t>
      </w:r>
      <w:r w:rsidR="006C51B6" w:rsidRPr="006A4C93">
        <w:t>i</w:t>
      </w:r>
      <w:r w:rsidR="00BE65D2" w:rsidRPr="006A4C93">
        <w:t xml:space="preserve">r environment, </w:t>
      </w:r>
      <w:r w:rsidRPr="006A4C93">
        <w:t xml:space="preserve">indicate that </w:t>
      </w:r>
      <w:r w:rsidR="00665901" w:rsidRPr="006A4C93">
        <w:t>intreregional connectiv</w:t>
      </w:r>
      <w:r w:rsidR="00BE65D2" w:rsidRPr="006A4C93">
        <w:t>ity needs /potential can be grouped into nto two categories</w:t>
      </w:r>
      <w:r w:rsidR="006C51B6" w:rsidRPr="006A4C93">
        <w:t>:</w:t>
      </w:r>
      <w:r w:rsidR="00BE65D2" w:rsidRPr="006A4C93">
        <w:t xml:space="preserve"> </w:t>
      </w:r>
      <w:r w:rsidRPr="006A4C93">
        <w:t>innovation management and exce</w:t>
      </w:r>
      <w:r w:rsidR="000F53A7" w:rsidRPr="006A4C93">
        <w:t>l</w:t>
      </w:r>
      <w:r w:rsidR="006C51B6" w:rsidRPr="006A4C93">
        <w:t>lence-based</w:t>
      </w:r>
      <w:r w:rsidR="00B83987" w:rsidRPr="006A4C93">
        <w:t>. As ex</w:t>
      </w:r>
      <w:r w:rsidR="000F53A7" w:rsidRPr="006A4C93">
        <w:t>p</w:t>
      </w:r>
      <w:r w:rsidR="00B83987" w:rsidRPr="006A4C93">
        <w:t>l</w:t>
      </w:r>
      <w:r w:rsidR="000F53A7" w:rsidRPr="006A4C93">
        <w:t xml:space="preserve">ained </w:t>
      </w:r>
      <w:r w:rsidR="00B83987" w:rsidRPr="006A4C93">
        <w:t xml:space="preserve">above, </w:t>
      </w:r>
      <w:r w:rsidR="00E240EF" w:rsidRPr="006A4C93">
        <w:t>both of these categories appear essential for the regions and so they are accepted</w:t>
      </w:r>
      <w:r w:rsidR="00B83987" w:rsidRPr="006A4C93">
        <w:t xml:space="preserve"> as potential action plan objectives</w:t>
      </w:r>
      <w:r w:rsidR="00E240EF" w:rsidRPr="006A4C93">
        <w:t>, i.e. we have ex</w:t>
      </w:r>
      <w:r w:rsidR="00B83987" w:rsidRPr="006A4C93">
        <w:t xml:space="preserve">panded the range of “eligible” </w:t>
      </w:r>
      <w:r w:rsidR="00CC3202" w:rsidRPr="006A4C93">
        <w:t xml:space="preserve">connectivity, while we have also agreed the types of interregional connectivity to promote: interregional connectivity </w:t>
      </w:r>
      <w:r w:rsidR="00FA18E3" w:rsidRPr="006A4C93">
        <w:t>recommendations come</w:t>
      </w:r>
      <w:r w:rsidR="00CC3202" w:rsidRPr="006A4C93">
        <w:t xml:space="preserve"> from the gaps identified in the knowledge and methodological bases</w:t>
      </w:r>
      <w:r w:rsidR="00087D97" w:rsidRPr="006A4C93">
        <w:t xml:space="preserve"> and discussed in the </w:t>
      </w:r>
      <w:r w:rsidR="00CC3202" w:rsidRPr="006A4C93">
        <w:rPr>
          <w:i/>
        </w:rPr>
        <w:t>Co</w:t>
      </w:r>
      <w:r w:rsidR="00087D97" w:rsidRPr="006A4C93">
        <w:rPr>
          <w:i/>
        </w:rPr>
        <w:t xml:space="preserve">lumn </w:t>
      </w:r>
      <w:r w:rsidR="00665901" w:rsidRPr="006A4C93">
        <w:rPr>
          <w:i/>
        </w:rPr>
        <w:t>sections</w:t>
      </w:r>
      <w:r w:rsidR="00665901" w:rsidRPr="006A4C93">
        <w:t xml:space="preserve"> </w:t>
      </w:r>
      <w:r w:rsidR="00087D97" w:rsidRPr="006A4C93">
        <w:t>in Tables 4,5,6,and 7</w:t>
      </w:r>
      <w:r w:rsidR="00694558" w:rsidRPr="006A4C93">
        <w:rPr>
          <w:rStyle w:val="FootnoteReference"/>
          <w:color w:val="021B2B" w:themeColor="background2" w:themeShade="1A"/>
        </w:rPr>
        <w:footnoteReference w:id="24"/>
      </w:r>
      <w:r w:rsidR="00087D97" w:rsidRPr="006A4C93">
        <w:t xml:space="preserve">. </w:t>
      </w:r>
    </w:p>
    <w:p w14:paraId="41AD4670" w14:textId="77777777" w:rsidR="00601BAB" w:rsidRPr="006A4C93" w:rsidRDefault="00DF18E6" w:rsidP="00EB68EB">
      <w:pPr>
        <w:pStyle w:val="ListParagraph"/>
      </w:pPr>
      <w:r w:rsidRPr="006A4C93">
        <w:t>Excellence-based connectivity, in this case, means industry-led (issues prioritised by industry) excell</w:t>
      </w:r>
      <w:r w:rsidR="00F650D6" w:rsidRPr="006A4C93">
        <w:t xml:space="preserve">ent </w:t>
      </w:r>
      <w:r w:rsidR="00F650D6" w:rsidRPr="006A4C93">
        <w:lastRenderedPageBreak/>
        <w:t>science activities and the eventual ac</w:t>
      </w:r>
      <w:r w:rsidRPr="006A4C93">
        <w:t xml:space="preserve">cess </w:t>
      </w:r>
      <w:r w:rsidR="00F650D6" w:rsidRPr="006A4C93">
        <w:t xml:space="preserve">of their results </w:t>
      </w:r>
      <w:r w:rsidRPr="006A4C93">
        <w:t>to</w:t>
      </w:r>
      <w:r w:rsidR="00F650D6" w:rsidRPr="006A4C93">
        <w:t xml:space="preserve"> the market</w:t>
      </w:r>
      <w:r w:rsidR="0090039D" w:rsidRPr="006A4C93">
        <w:t>; th</w:t>
      </w:r>
      <w:r w:rsidR="00DB6F3C" w:rsidRPr="006A4C93">
        <w:t>e</w:t>
      </w:r>
      <w:r w:rsidR="0090039D" w:rsidRPr="006A4C93">
        <w:t>y</w:t>
      </w:r>
      <w:r w:rsidR="00DB6F3C" w:rsidRPr="006A4C93">
        <w:t xml:space="preserve"> are reflected on Types 1,7 and 8 of connectiv</w:t>
      </w:r>
      <w:r w:rsidR="00087D97" w:rsidRPr="006A4C93">
        <w:t>i</w:t>
      </w:r>
      <w:r w:rsidR="00DB6F3C" w:rsidRPr="006A4C93">
        <w:t>ty (Table 5 section).</w:t>
      </w:r>
      <w:r w:rsidR="006C51A9" w:rsidRPr="006A4C93">
        <w:t xml:space="preserve"> </w:t>
      </w:r>
      <w:r w:rsidR="00087D97" w:rsidRPr="006A4C93">
        <w:t>T</w:t>
      </w:r>
      <w:r w:rsidR="006C51A9" w:rsidRPr="006A4C93">
        <w:t>hree out of five regions wish to set up centres of competence</w:t>
      </w:r>
      <w:r w:rsidR="00E941BB" w:rsidRPr="006A4C93">
        <w:t xml:space="preserve"> (part also of the BRIDGES good practice theme 1)</w:t>
      </w:r>
      <w:r w:rsidR="006C51A9" w:rsidRPr="006A4C93">
        <w:t xml:space="preserve">. Competence centres are centres of high quality collaborative research. The precondition </w:t>
      </w:r>
      <w:r w:rsidR="00087D97" w:rsidRPr="006A4C93">
        <w:t xml:space="preserve">we have set in the BRIDGES project </w:t>
      </w:r>
      <w:r w:rsidR="006C51A9" w:rsidRPr="006A4C93">
        <w:t>is that the approach will be planned so that the results of the collaborative research will be applicable to the prioritised industries</w:t>
      </w:r>
      <w:r w:rsidR="00087D97" w:rsidRPr="006A4C93">
        <w:t xml:space="preserve"> in the regions through foreseen (in the action plans) project and investment generation. </w:t>
      </w:r>
      <w:r w:rsidR="00E941BB" w:rsidRPr="006A4C93">
        <w:t>Therefore there will be two programmes, collaborative research projects, and transfer of knowledge to businesses projects.</w:t>
      </w:r>
      <w:r w:rsidR="00087D97" w:rsidRPr="006A4C93">
        <w:t xml:space="preserve"> Interregional connectivity in this case, is </w:t>
      </w:r>
      <w:r w:rsidR="00FA70AC" w:rsidRPr="006A4C93">
        <w:t>related to missing knowledge and research resources on regional and national levels, and availability of such resources in the innovation advanced region.</w:t>
      </w:r>
      <w:r w:rsidR="00601BAB" w:rsidRPr="006A4C93">
        <w:t xml:space="preserve">  </w:t>
      </w:r>
    </w:p>
    <w:p w14:paraId="29340779" w14:textId="2F741BD8" w:rsidR="001656D6" w:rsidRPr="006A4C93" w:rsidRDefault="001656D6" w:rsidP="00EB68EB">
      <w:pPr>
        <w:pStyle w:val="ListParagraph"/>
      </w:pPr>
      <w:r w:rsidRPr="006A4C93">
        <w:t>Innovation management needs are research/university-to-business/industry/region interactions that improve the quality &amp; embeddendness of triple helix processes and ensure access to research results. They are about complementarity of innovation management  at interregional level is a certain knowledge source is not available locally or if research commercialisation needs can benefit from interregional solutions, e.g. through access to larger markets; they are reflected on Types 2,3,4,5 and 6 of connectivity (Table 5 section).</w:t>
      </w:r>
    </w:p>
    <w:p w14:paraId="5FD901C4" w14:textId="651AA210" w:rsidR="00E1019E" w:rsidRPr="006A4C93" w:rsidRDefault="00FA70AC" w:rsidP="00152A24">
      <w:pPr>
        <w:pStyle w:val="Heading2"/>
      </w:pPr>
      <w:bookmarkStart w:id="77" w:name="_Toc526593130"/>
      <w:r w:rsidRPr="006A4C93">
        <w:t>Project resources and f</w:t>
      </w:r>
      <w:r w:rsidR="00E1019E" w:rsidRPr="006A4C93">
        <w:t xml:space="preserve">unding </w:t>
      </w:r>
      <w:r w:rsidRPr="006A4C93">
        <w:t xml:space="preserve">suggestions for </w:t>
      </w:r>
      <w:r w:rsidR="00E1019E" w:rsidRPr="006A4C93">
        <w:t>connectivity</w:t>
      </w:r>
      <w:r w:rsidRPr="006A4C93">
        <w:t xml:space="preserve"> improvement</w:t>
      </w:r>
      <w:bookmarkEnd w:id="77"/>
      <w:r w:rsidR="00F0644A" w:rsidRPr="006A4C93">
        <w:t xml:space="preserve"> </w:t>
      </w:r>
    </w:p>
    <w:p w14:paraId="43E19467" w14:textId="49C8330D" w:rsidR="009A5D37" w:rsidRPr="006A4C93" w:rsidRDefault="00EB5A19" w:rsidP="00837006">
      <w:pPr>
        <w:shd w:val="clear" w:color="auto" w:fill="FFFFFF" w:themeFill="background1"/>
      </w:pPr>
      <w:r w:rsidRPr="006A4C93">
        <w:t>The purpose of the innovation maps are to form bases for th</w:t>
      </w:r>
      <w:r w:rsidR="008E771E" w:rsidRPr="006A4C93">
        <w:t xml:space="preserve">e action plans of the regions. </w:t>
      </w:r>
      <w:r w:rsidRPr="006A4C93">
        <w:t>The</w:t>
      </w:r>
      <w:r w:rsidR="009A5D37" w:rsidRPr="006A4C93">
        <w:t xml:space="preserve">y are expected to </w:t>
      </w:r>
      <w:r w:rsidRPr="006A4C93">
        <w:t xml:space="preserve">bring together </w:t>
      </w:r>
      <w:r w:rsidR="009A5D37" w:rsidRPr="006A4C93">
        <w:t xml:space="preserve">the most performing parts of the partner regions’ economic base with </w:t>
      </w:r>
      <w:r w:rsidRPr="006A4C93">
        <w:t xml:space="preserve">trechnological </w:t>
      </w:r>
      <w:r w:rsidR="009A5D37" w:rsidRPr="006A4C93">
        <w:t xml:space="preserve">connectivity needs (pages 12-33 of this document), facilitated </w:t>
      </w:r>
      <w:r w:rsidRPr="006A4C93">
        <w:t xml:space="preserve">by </w:t>
      </w:r>
      <w:r w:rsidR="009A5D37" w:rsidRPr="006A4C93">
        <w:t>the project good practices, and</w:t>
      </w:r>
      <w:r w:rsidRPr="006A4C93">
        <w:t xml:space="preserve"> </w:t>
      </w:r>
      <w:r w:rsidR="009A5D37" w:rsidRPr="006A4C93">
        <w:t xml:space="preserve">funding options.  </w:t>
      </w:r>
    </w:p>
    <w:p w14:paraId="04F8AEB0" w14:textId="48208720" w:rsidR="00F12CE4" w:rsidRDefault="009A5D37" w:rsidP="00837006">
      <w:pPr>
        <w:shd w:val="clear" w:color="auto" w:fill="FFFFFF" w:themeFill="background1"/>
      </w:pPr>
      <w:r w:rsidRPr="006A4C93">
        <w:t>The project good practices are summarised and analy</w:t>
      </w:r>
      <w:r w:rsidR="006147BB">
        <w:t>s</w:t>
      </w:r>
      <w:r w:rsidRPr="006A4C93">
        <w:t xml:space="preserve">ed </w:t>
      </w:r>
      <w:r w:rsidR="006147BB">
        <w:t>elsewhere. For the purpose</w:t>
      </w:r>
      <w:r w:rsidRPr="006A4C93">
        <w:t xml:space="preserve"> of this document, it is reminded that there are </w:t>
      </w:r>
      <w:r w:rsidR="00405E7E" w:rsidRPr="006A4C93">
        <w:t>three types (theme</w:t>
      </w:r>
      <w:r w:rsidR="00F12CE4" w:rsidRPr="006A4C93">
        <w:t>s) of good practice</w:t>
      </w:r>
      <w:r w:rsidR="006147BB">
        <w:t xml:space="preserve">s: </w:t>
      </w:r>
      <w:r w:rsidR="00405E7E" w:rsidRPr="006A4C93">
        <w:t xml:space="preserve">Good Practice (GP) theme 1 </w:t>
      </w:r>
      <w:r w:rsidR="00F12CE4" w:rsidRPr="006A4C93">
        <w:t xml:space="preserve">industry-led </w:t>
      </w:r>
      <w:r w:rsidR="006147BB">
        <w:t>centres of competence, GP theme</w:t>
      </w:r>
      <w:r w:rsidR="00F12CE4" w:rsidRPr="006A4C93">
        <w:t>2 research-to-business solutions (‘</w:t>
      </w:r>
      <w:r w:rsidR="00F12CE4" w:rsidRPr="006A4C93">
        <w:rPr>
          <w:i/>
        </w:rPr>
        <w:t xml:space="preserve">innovation partnerships’ </w:t>
      </w:r>
      <w:r w:rsidR="00F12CE4" w:rsidRPr="006A4C93">
        <w:t>in t</w:t>
      </w:r>
      <w:r w:rsidR="006147BB">
        <w:t>he project jargon) and GP theme</w:t>
      </w:r>
      <w:r w:rsidR="00F12CE4" w:rsidRPr="006A4C93">
        <w:t>3 multi-level synergies, demonstrating cross-broder/interregional innovation partnerships and  / or combination of funds. Table 8 below summarises how the GP themes &amp; contributions reflect the eight types of connectivities.</w:t>
      </w:r>
    </w:p>
    <w:p w14:paraId="7170CAD9" w14:textId="13B8FC46" w:rsidR="00EB68EB" w:rsidRPr="006A4C93" w:rsidRDefault="00F45650" w:rsidP="00F51ACF">
      <w:pPr>
        <w:pStyle w:val="Caption"/>
        <w:numPr>
          <w:ilvl w:val="0"/>
          <w:numId w:val="0"/>
        </w:numPr>
        <w:ind w:left="720"/>
      </w:pPr>
      <w:bookmarkStart w:id="78" w:name="_Toc502665501"/>
      <w:bookmarkStart w:id="79" w:name="_Toc526593330"/>
      <w:r>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8</w:t>
      </w:r>
      <w:r w:rsidR="00F01E0F">
        <w:rPr>
          <w:noProof/>
        </w:rPr>
        <w:fldChar w:fldCharType="end"/>
      </w:r>
      <w:r>
        <w:t xml:space="preserve"> </w:t>
      </w:r>
      <w:r w:rsidRPr="006A4C93">
        <w:t xml:space="preserve">BRIDGES good practice themes &amp; </w:t>
      </w:r>
      <w:r w:rsidR="00643EE8">
        <w:t>type of technological connectivity</w:t>
      </w:r>
      <w:bookmarkEnd w:id="78"/>
      <w:bookmarkEnd w:id="79"/>
    </w:p>
    <w:tbl>
      <w:tblPr>
        <w:tblW w:w="896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dotted" w:sz="4" w:space="0" w:color="D9D9D9" w:themeColor="background1" w:themeShade="D9"/>
          <w:insideV w:val="single" w:sz="4" w:space="0" w:color="808080" w:themeColor="background1" w:themeShade="80"/>
        </w:tblBorders>
        <w:tblLook w:val="04A0" w:firstRow="1" w:lastRow="0" w:firstColumn="1" w:lastColumn="0" w:noHBand="0" w:noVBand="1"/>
      </w:tblPr>
      <w:tblGrid>
        <w:gridCol w:w="3402"/>
        <w:gridCol w:w="1843"/>
        <w:gridCol w:w="1985"/>
        <w:gridCol w:w="1734"/>
      </w:tblGrid>
      <w:tr w:rsidR="00F12CE4" w:rsidRPr="00C675F3" w14:paraId="1C28E47B" w14:textId="77777777" w:rsidTr="00C675F3">
        <w:trPr>
          <w:trHeight w:val="112"/>
          <w:tblHeader/>
        </w:trPr>
        <w:tc>
          <w:tcPr>
            <w:tcW w:w="1898" w:type="pct"/>
            <w:vMerge w:val="restart"/>
            <w:shd w:val="clear" w:color="auto" w:fill="F2F2F2" w:themeFill="background1" w:themeFillShade="F2"/>
          </w:tcPr>
          <w:p w14:paraId="259A888E" w14:textId="75DC40AF" w:rsidR="00F12CE4" w:rsidRPr="00C675F3" w:rsidRDefault="00F12CE4" w:rsidP="00643EE8">
            <w:pPr>
              <w:pStyle w:val="Body3"/>
              <w:rPr>
                <w:b/>
                <w:szCs w:val="18"/>
              </w:rPr>
            </w:pPr>
            <w:r w:rsidRPr="00C675F3">
              <w:rPr>
                <w:b/>
                <w:szCs w:val="18"/>
              </w:rPr>
              <w:t>Types of technologial connectivity</w:t>
            </w:r>
          </w:p>
        </w:tc>
        <w:tc>
          <w:tcPr>
            <w:tcW w:w="3102" w:type="pct"/>
            <w:gridSpan w:val="3"/>
            <w:shd w:val="clear" w:color="auto" w:fill="F2F2F2" w:themeFill="background1" w:themeFillShade="F2"/>
          </w:tcPr>
          <w:p w14:paraId="3774F006" w14:textId="6F7F1CDE" w:rsidR="00F12CE4" w:rsidRPr="00C675F3" w:rsidRDefault="00F12CE4" w:rsidP="00643EE8">
            <w:pPr>
              <w:pStyle w:val="Body3"/>
              <w:rPr>
                <w:b/>
                <w:szCs w:val="18"/>
              </w:rPr>
            </w:pPr>
            <w:r w:rsidRPr="00C675F3">
              <w:rPr>
                <w:b/>
                <w:szCs w:val="18"/>
              </w:rPr>
              <w:t>Good practice themes and contributions</w:t>
            </w:r>
          </w:p>
        </w:tc>
      </w:tr>
      <w:tr w:rsidR="002816DC" w:rsidRPr="00C675F3" w14:paraId="60097F85" w14:textId="77777777" w:rsidTr="00C675F3">
        <w:trPr>
          <w:trHeight w:val="112"/>
          <w:tblHeader/>
        </w:trPr>
        <w:tc>
          <w:tcPr>
            <w:tcW w:w="1898" w:type="pct"/>
            <w:vMerge/>
            <w:shd w:val="clear" w:color="auto" w:fill="F2F2F2" w:themeFill="background1" w:themeFillShade="F2"/>
          </w:tcPr>
          <w:p w14:paraId="6629FA1E" w14:textId="77777777" w:rsidR="00F12CE4" w:rsidRPr="00C675F3" w:rsidRDefault="00F12CE4" w:rsidP="00643EE8">
            <w:pPr>
              <w:pStyle w:val="Body3"/>
              <w:rPr>
                <w:b/>
                <w:szCs w:val="18"/>
              </w:rPr>
            </w:pPr>
          </w:p>
        </w:tc>
        <w:tc>
          <w:tcPr>
            <w:tcW w:w="1028" w:type="pct"/>
            <w:shd w:val="clear" w:color="auto" w:fill="F2F2F2" w:themeFill="background1" w:themeFillShade="F2"/>
          </w:tcPr>
          <w:p w14:paraId="736D2D22" w14:textId="218E6C2A" w:rsidR="00F12CE4" w:rsidRPr="00C675F3" w:rsidRDefault="00F12CE4" w:rsidP="00643EE8">
            <w:pPr>
              <w:pStyle w:val="Body3"/>
              <w:rPr>
                <w:b/>
                <w:szCs w:val="18"/>
              </w:rPr>
            </w:pPr>
            <w:r w:rsidRPr="00C675F3">
              <w:rPr>
                <w:b/>
                <w:szCs w:val="18"/>
              </w:rPr>
              <w:t>Industry-led centres of competence</w:t>
            </w:r>
          </w:p>
        </w:tc>
        <w:tc>
          <w:tcPr>
            <w:tcW w:w="1107" w:type="pct"/>
            <w:shd w:val="clear" w:color="auto" w:fill="F2F2F2" w:themeFill="background1" w:themeFillShade="F2"/>
          </w:tcPr>
          <w:p w14:paraId="3E696232" w14:textId="6FD8405A" w:rsidR="00F12CE4" w:rsidRPr="00C675F3" w:rsidRDefault="00F12CE4" w:rsidP="00643EE8">
            <w:pPr>
              <w:pStyle w:val="Body3"/>
              <w:rPr>
                <w:b/>
                <w:szCs w:val="18"/>
              </w:rPr>
            </w:pPr>
            <w:r w:rsidRPr="00C675F3">
              <w:rPr>
                <w:b/>
                <w:szCs w:val="18"/>
              </w:rPr>
              <w:t>Research-to-business innovation partnerships</w:t>
            </w:r>
          </w:p>
        </w:tc>
        <w:tc>
          <w:tcPr>
            <w:tcW w:w="967" w:type="pct"/>
            <w:shd w:val="clear" w:color="auto" w:fill="F2F2F2" w:themeFill="background1" w:themeFillShade="F2"/>
          </w:tcPr>
          <w:p w14:paraId="6BE8E0EB" w14:textId="42686248" w:rsidR="00F12CE4" w:rsidRPr="00C675F3" w:rsidRDefault="002816DC" w:rsidP="00643EE8">
            <w:pPr>
              <w:pStyle w:val="Body3"/>
              <w:rPr>
                <w:b/>
                <w:szCs w:val="18"/>
              </w:rPr>
            </w:pPr>
            <w:r w:rsidRPr="00C675F3">
              <w:rPr>
                <w:b/>
                <w:szCs w:val="18"/>
              </w:rPr>
              <w:t>Multi-level synrgies</w:t>
            </w:r>
          </w:p>
        </w:tc>
      </w:tr>
      <w:tr w:rsidR="002816DC" w:rsidRPr="006A4C93" w14:paraId="4515F170" w14:textId="77777777" w:rsidTr="00C675F3">
        <w:trPr>
          <w:trHeight w:val="112"/>
          <w:tblHeader/>
        </w:trPr>
        <w:tc>
          <w:tcPr>
            <w:tcW w:w="1898" w:type="pct"/>
            <w:shd w:val="clear" w:color="auto" w:fill="auto"/>
          </w:tcPr>
          <w:p w14:paraId="5444F37B" w14:textId="2ACBDC78" w:rsidR="00F12CE4" w:rsidRPr="0027228E" w:rsidRDefault="002816DC" w:rsidP="0027228E">
            <w:pPr>
              <w:pStyle w:val="Body3"/>
            </w:pPr>
            <w:r w:rsidRPr="0027228E">
              <w:t>Type 1 Programme based</w:t>
            </w:r>
          </w:p>
        </w:tc>
        <w:tc>
          <w:tcPr>
            <w:tcW w:w="1028" w:type="pct"/>
            <w:shd w:val="clear" w:color="auto" w:fill="auto"/>
          </w:tcPr>
          <w:p w14:paraId="743D86C1" w14:textId="1E995F44" w:rsidR="00F12CE4" w:rsidRPr="0027228E" w:rsidRDefault="002816DC" w:rsidP="0027228E">
            <w:pPr>
              <w:pStyle w:val="Body3"/>
            </w:pPr>
            <w:r w:rsidRPr="0027228E">
              <w:t>x</w:t>
            </w:r>
          </w:p>
        </w:tc>
        <w:tc>
          <w:tcPr>
            <w:tcW w:w="1107" w:type="pct"/>
            <w:shd w:val="clear" w:color="auto" w:fill="auto"/>
          </w:tcPr>
          <w:p w14:paraId="7767887B" w14:textId="77777777" w:rsidR="00F12CE4" w:rsidRPr="006A4C93" w:rsidRDefault="00F12CE4" w:rsidP="0027228E">
            <w:pPr>
              <w:pStyle w:val="Body3"/>
            </w:pPr>
          </w:p>
        </w:tc>
        <w:tc>
          <w:tcPr>
            <w:tcW w:w="967" w:type="pct"/>
            <w:shd w:val="clear" w:color="auto" w:fill="auto"/>
          </w:tcPr>
          <w:p w14:paraId="59EBC5F3" w14:textId="77777777" w:rsidR="00F12CE4" w:rsidRPr="006A4C93" w:rsidRDefault="00F12CE4" w:rsidP="0027228E">
            <w:pPr>
              <w:pStyle w:val="Body3"/>
            </w:pPr>
          </w:p>
        </w:tc>
      </w:tr>
      <w:tr w:rsidR="002816DC" w:rsidRPr="006A4C93" w14:paraId="149A0721" w14:textId="77777777" w:rsidTr="00C675F3">
        <w:trPr>
          <w:trHeight w:val="112"/>
          <w:tblHeader/>
        </w:trPr>
        <w:tc>
          <w:tcPr>
            <w:tcW w:w="1898" w:type="pct"/>
            <w:shd w:val="clear" w:color="auto" w:fill="auto"/>
          </w:tcPr>
          <w:p w14:paraId="08A342C4" w14:textId="2BD4054E" w:rsidR="00F12CE4" w:rsidRPr="0027228E" w:rsidRDefault="002816DC" w:rsidP="0027228E">
            <w:pPr>
              <w:pStyle w:val="Body3"/>
            </w:pPr>
            <w:r w:rsidRPr="0027228E">
              <w:t>Type 2 Access to research services</w:t>
            </w:r>
          </w:p>
        </w:tc>
        <w:tc>
          <w:tcPr>
            <w:tcW w:w="1028" w:type="pct"/>
            <w:shd w:val="clear" w:color="auto" w:fill="auto"/>
          </w:tcPr>
          <w:p w14:paraId="7A45172A" w14:textId="77777777" w:rsidR="00F12CE4" w:rsidRPr="006A4C93" w:rsidRDefault="00F12CE4" w:rsidP="0027228E">
            <w:pPr>
              <w:pStyle w:val="Body3"/>
            </w:pPr>
          </w:p>
        </w:tc>
        <w:tc>
          <w:tcPr>
            <w:tcW w:w="1107" w:type="pct"/>
            <w:shd w:val="clear" w:color="auto" w:fill="auto"/>
          </w:tcPr>
          <w:p w14:paraId="4796AEC7" w14:textId="7CE879D5" w:rsidR="00F12CE4" w:rsidRPr="0027228E" w:rsidRDefault="002816DC" w:rsidP="0027228E">
            <w:pPr>
              <w:pStyle w:val="Body3"/>
            </w:pPr>
            <w:r w:rsidRPr="0027228E">
              <w:t>x</w:t>
            </w:r>
          </w:p>
        </w:tc>
        <w:tc>
          <w:tcPr>
            <w:tcW w:w="967" w:type="pct"/>
            <w:shd w:val="clear" w:color="auto" w:fill="auto"/>
          </w:tcPr>
          <w:p w14:paraId="7ABBE055" w14:textId="77777777" w:rsidR="00F12CE4" w:rsidRPr="006A4C93" w:rsidRDefault="00F12CE4" w:rsidP="0027228E">
            <w:pPr>
              <w:pStyle w:val="Body3"/>
            </w:pPr>
          </w:p>
        </w:tc>
      </w:tr>
      <w:tr w:rsidR="002816DC" w:rsidRPr="006A4C93" w14:paraId="436E3C61" w14:textId="77777777" w:rsidTr="00C675F3">
        <w:trPr>
          <w:trHeight w:val="112"/>
          <w:tblHeader/>
        </w:trPr>
        <w:tc>
          <w:tcPr>
            <w:tcW w:w="1898" w:type="pct"/>
            <w:shd w:val="clear" w:color="auto" w:fill="auto"/>
          </w:tcPr>
          <w:p w14:paraId="74104657" w14:textId="1A2305E6" w:rsidR="002816DC" w:rsidRPr="0027228E" w:rsidRDefault="002816DC" w:rsidP="0027228E">
            <w:pPr>
              <w:pStyle w:val="Body3"/>
            </w:pPr>
            <w:r w:rsidRPr="0027228E">
              <w:t>Type 3 KET applications</w:t>
            </w:r>
          </w:p>
        </w:tc>
        <w:tc>
          <w:tcPr>
            <w:tcW w:w="1028" w:type="pct"/>
            <w:shd w:val="clear" w:color="auto" w:fill="auto"/>
          </w:tcPr>
          <w:p w14:paraId="2F677124" w14:textId="77777777" w:rsidR="002816DC" w:rsidRPr="006A4C93" w:rsidRDefault="002816DC" w:rsidP="0027228E">
            <w:pPr>
              <w:pStyle w:val="Body3"/>
            </w:pPr>
          </w:p>
        </w:tc>
        <w:tc>
          <w:tcPr>
            <w:tcW w:w="1107" w:type="pct"/>
            <w:shd w:val="clear" w:color="auto" w:fill="auto"/>
          </w:tcPr>
          <w:p w14:paraId="2E6C3D88" w14:textId="7D96E12D" w:rsidR="002816DC" w:rsidRPr="0027228E" w:rsidRDefault="002816DC" w:rsidP="0027228E">
            <w:pPr>
              <w:pStyle w:val="Body3"/>
            </w:pPr>
            <w:r w:rsidRPr="0027228E">
              <w:t>x</w:t>
            </w:r>
          </w:p>
        </w:tc>
        <w:tc>
          <w:tcPr>
            <w:tcW w:w="967" w:type="pct"/>
            <w:shd w:val="clear" w:color="auto" w:fill="auto"/>
          </w:tcPr>
          <w:p w14:paraId="098160E1" w14:textId="77777777" w:rsidR="002816DC" w:rsidRPr="006A4C93" w:rsidRDefault="002816DC" w:rsidP="0027228E">
            <w:pPr>
              <w:pStyle w:val="Body3"/>
            </w:pPr>
          </w:p>
        </w:tc>
      </w:tr>
      <w:tr w:rsidR="002816DC" w:rsidRPr="006A4C93" w14:paraId="4BA1F1F9" w14:textId="77777777" w:rsidTr="00C675F3">
        <w:trPr>
          <w:trHeight w:val="112"/>
          <w:tblHeader/>
        </w:trPr>
        <w:tc>
          <w:tcPr>
            <w:tcW w:w="1898" w:type="pct"/>
            <w:shd w:val="clear" w:color="auto" w:fill="auto"/>
          </w:tcPr>
          <w:p w14:paraId="00CAEEF9" w14:textId="4CA60685" w:rsidR="002816DC" w:rsidRPr="0027228E" w:rsidRDefault="002816DC" w:rsidP="0027228E">
            <w:pPr>
              <w:pStyle w:val="Body3"/>
            </w:pPr>
            <w:r w:rsidRPr="0027228E">
              <w:t>Type 4 TRL improvement / certification</w:t>
            </w:r>
          </w:p>
        </w:tc>
        <w:tc>
          <w:tcPr>
            <w:tcW w:w="1028" w:type="pct"/>
            <w:shd w:val="clear" w:color="auto" w:fill="auto"/>
          </w:tcPr>
          <w:p w14:paraId="043E67A7" w14:textId="77777777" w:rsidR="002816DC" w:rsidRPr="006A4C93" w:rsidRDefault="002816DC" w:rsidP="0027228E">
            <w:pPr>
              <w:pStyle w:val="Body3"/>
            </w:pPr>
          </w:p>
        </w:tc>
        <w:tc>
          <w:tcPr>
            <w:tcW w:w="1107" w:type="pct"/>
            <w:shd w:val="clear" w:color="auto" w:fill="auto"/>
          </w:tcPr>
          <w:p w14:paraId="691B370D" w14:textId="204984D8" w:rsidR="002816DC" w:rsidRPr="0027228E" w:rsidRDefault="002816DC" w:rsidP="0027228E">
            <w:pPr>
              <w:pStyle w:val="Body3"/>
            </w:pPr>
            <w:r w:rsidRPr="0027228E">
              <w:t>x</w:t>
            </w:r>
          </w:p>
        </w:tc>
        <w:tc>
          <w:tcPr>
            <w:tcW w:w="967" w:type="pct"/>
            <w:shd w:val="clear" w:color="auto" w:fill="auto"/>
          </w:tcPr>
          <w:p w14:paraId="541BDAB3" w14:textId="77777777" w:rsidR="002816DC" w:rsidRPr="006A4C93" w:rsidRDefault="002816DC" w:rsidP="0027228E">
            <w:pPr>
              <w:pStyle w:val="Body3"/>
            </w:pPr>
          </w:p>
        </w:tc>
      </w:tr>
      <w:tr w:rsidR="002816DC" w:rsidRPr="006A4C93" w14:paraId="38A2F5AC" w14:textId="77777777" w:rsidTr="00C675F3">
        <w:trPr>
          <w:trHeight w:val="112"/>
          <w:tblHeader/>
        </w:trPr>
        <w:tc>
          <w:tcPr>
            <w:tcW w:w="1898" w:type="pct"/>
            <w:shd w:val="clear" w:color="auto" w:fill="auto"/>
          </w:tcPr>
          <w:p w14:paraId="1ECCBB58" w14:textId="1854FE7A" w:rsidR="002816DC" w:rsidRPr="0027228E" w:rsidRDefault="002816DC" w:rsidP="0027228E">
            <w:pPr>
              <w:pStyle w:val="Body3"/>
            </w:pPr>
            <w:r w:rsidRPr="0027228E">
              <w:t>Type 5 Innovation management chain</w:t>
            </w:r>
          </w:p>
        </w:tc>
        <w:tc>
          <w:tcPr>
            <w:tcW w:w="1028" w:type="pct"/>
            <w:shd w:val="clear" w:color="auto" w:fill="auto"/>
          </w:tcPr>
          <w:p w14:paraId="2F3BE94D" w14:textId="58971063" w:rsidR="002816DC" w:rsidRPr="0027228E" w:rsidRDefault="002816DC" w:rsidP="0027228E">
            <w:pPr>
              <w:pStyle w:val="Body3"/>
            </w:pPr>
            <w:r w:rsidRPr="0027228E">
              <w:t>x</w:t>
            </w:r>
          </w:p>
        </w:tc>
        <w:tc>
          <w:tcPr>
            <w:tcW w:w="1107" w:type="pct"/>
            <w:shd w:val="clear" w:color="auto" w:fill="auto"/>
          </w:tcPr>
          <w:p w14:paraId="2871E9A5" w14:textId="3F7A11EF" w:rsidR="002816DC" w:rsidRPr="0027228E" w:rsidRDefault="002816DC" w:rsidP="0027228E">
            <w:pPr>
              <w:pStyle w:val="Body3"/>
            </w:pPr>
            <w:r w:rsidRPr="0027228E">
              <w:t>x</w:t>
            </w:r>
          </w:p>
        </w:tc>
        <w:tc>
          <w:tcPr>
            <w:tcW w:w="967" w:type="pct"/>
            <w:shd w:val="clear" w:color="auto" w:fill="auto"/>
          </w:tcPr>
          <w:p w14:paraId="351D1B09" w14:textId="490ED1E5" w:rsidR="002816DC" w:rsidRPr="0027228E" w:rsidRDefault="002816DC" w:rsidP="0027228E">
            <w:pPr>
              <w:pStyle w:val="Body3"/>
            </w:pPr>
            <w:r w:rsidRPr="0027228E">
              <w:t>x</w:t>
            </w:r>
          </w:p>
        </w:tc>
      </w:tr>
      <w:tr w:rsidR="002816DC" w:rsidRPr="006A4C93" w14:paraId="1A8A1676" w14:textId="77777777" w:rsidTr="00C675F3">
        <w:trPr>
          <w:trHeight w:val="112"/>
          <w:tblHeader/>
        </w:trPr>
        <w:tc>
          <w:tcPr>
            <w:tcW w:w="1898" w:type="pct"/>
            <w:shd w:val="clear" w:color="auto" w:fill="auto"/>
          </w:tcPr>
          <w:p w14:paraId="5EB7934F" w14:textId="4B6EBF4C" w:rsidR="002816DC" w:rsidRPr="0027228E" w:rsidRDefault="002816DC" w:rsidP="0027228E">
            <w:pPr>
              <w:pStyle w:val="Body3"/>
            </w:pPr>
            <w:r w:rsidRPr="0027228E">
              <w:t>Type 6 Constant renewal services</w:t>
            </w:r>
          </w:p>
        </w:tc>
        <w:tc>
          <w:tcPr>
            <w:tcW w:w="1028" w:type="pct"/>
            <w:shd w:val="clear" w:color="auto" w:fill="auto"/>
          </w:tcPr>
          <w:p w14:paraId="439B3702" w14:textId="77777777" w:rsidR="002816DC" w:rsidRPr="006A4C93" w:rsidRDefault="002816DC" w:rsidP="0027228E">
            <w:pPr>
              <w:pStyle w:val="Body3"/>
            </w:pPr>
          </w:p>
        </w:tc>
        <w:tc>
          <w:tcPr>
            <w:tcW w:w="1107" w:type="pct"/>
            <w:shd w:val="clear" w:color="auto" w:fill="auto"/>
          </w:tcPr>
          <w:p w14:paraId="349A247D" w14:textId="365C89C5" w:rsidR="002816DC" w:rsidRPr="0027228E" w:rsidRDefault="002816DC" w:rsidP="0027228E">
            <w:pPr>
              <w:pStyle w:val="Body3"/>
            </w:pPr>
            <w:r w:rsidRPr="0027228E">
              <w:t>x</w:t>
            </w:r>
          </w:p>
        </w:tc>
        <w:tc>
          <w:tcPr>
            <w:tcW w:w="967" w:type="pct"/>
            <w:shd w:val="clear" w:color="auto" w:fill="auto"/>
          </w:tcPr>
          <w:p w14:paraId="1876A44F" w14:textId="77777777" w:rsidR="002816DC" w:rsidRPr="006A4C93" w:rsidRDefault="002816DC" w:rsidP="0027228E">
            <w:pPr>
              <w:pStyle w:val="Body3"/>
            </w:pPr>
          </w:p>
        </w:tc>
      </w:tr>
      <w:tr w:rsidR="002816DC" w:rsidRPr="006A4C93" w14:paraId="3A53508E" w14:textId="77777777" w:rsidTr="00C675F3">
        <w:trPr>
          <w:trHeight w:val="112"/>
          <w:tblHeader/>
        </w:trPr>
        <w:tc>
          <w:tcPr>
            <w:tcW w:w="1898" w:type="pct"/>
            <w:shd w:val="clear" w:color="auto" w:fill="auto"/>
          </w:tcPr>
          <w:p w14:paraId="4F44A556" w14:textId="72ADA984" w:rsidR="002816DC" w:rsidRPr="0027228E" w:rsidRDefault="002816DC" w:rsidP="0027228E">
            <w:pPr>
              <w:pStyle w:val="Body3"/>
            </w:pPr>
            <w:r w:rsidRPr="0027228E">
              <w:t>Type 7 Commercialisation of research, cross border</w:t>
            </w:r>
          </w:p>
        </w:tc>
        <w:tc>
          <w:tcPr>
            <w:tcW w:w="1028" w:type="pct"/>
            <w:shd w:val="clear" w:color="auto" w:fill="auto"/>
          </w:tcPr>
          <w:p w14:paraId="1787C23D" w14:textId="77777777" w:rsidR="002816DC" w:rsidRPr="006A4C93" w:rsidRDefault="002816DC" w:rsidP="0027228E">
            <w:pPr>
              <w:pStyle w:val="Body3"/>
            </w:pPr>
          </w:p>
        </w:tc>
        <w:tc>
          <w:tcPr>
            <w:tcW w:w="1107" w:type="pct"/>
            <w:shd w:val="clear" w:color="auto" w:fill="auto"/>
          </w:tcPr>
          <w:p w14:paraId="4E336A83" w14:textId="171E224F" w:rsidR="002816DC" w:rsidRPr="0027228E" w:rsidRDefault="002816DC" w:rsidP="0027228E">
            <w:pPr>
              <w:pStyle w:val="Body3"/>
            </w:pPr>
            <w:r w:rsidRPr="0027228E">
              <w:t>x</w:t>
            </w:r>
          </w:p>
        </w:tc>
        <w:tc>
          <w:tcPr>
            <w:tcW w:w="967" w:type="pct"/>
            <w:shd w:val="clear" w:color="auto" w:fill="auto"/>
          </w:tcPr>
          <w:p w14:paraId="258A00F4" w14:textId="7A16FF12" w:rsidR="002816DC" w:rsidRPr="0027228E" w:rsidRDefault="002816DC" w:rsidP="0027228E">
            <w:pPr>
              <w:pStyle w:val="Body3"/>
            </w:pPr>
            <w:r w:rsidRPr="0027228E">
              <w:t>x</w:t>
            </w:r>
          </w:p>
        </w:tc>
      </w:tr>
      <w:tr w:rsidR="002816DC" w:rsidRPr="006A4C93" w14:paraId="1EBEE41A" w14:textId="77777777" w:rsidTr="00C675F3">
        <w:trPr>
          <w:trHeight w:val="192"/>
        </w:trPr>
        <w:tc>
          <w:tcPr>
            <w:tcW w:w="1898" w:type="pct"/>
          </w:tcPr>
          <w:p w14:paraId="67D21567" w14:textId="293CDA8F" w:rsidR="00F12CE4" w:rsidRPr="0027228E" w:rsidRDefault="002816DC" w:rsidP="0027228E">
            <w:pPr>
              <w:pStyle w:val="Body3"/>
            </w:pPr>
            <w:r w:rsidRPr="0027228E">
              <w:t>Type 8 Direct research to business cooperations</w:t>
            </w:r>
          </w:p>
        </w:tc>
        <w:tc>
          <w:tcPr>
            <w:tcW w:w="1028" w:type="pct"/>
          </w:tcPr>
          <w:p w14:paraId="018BFEA4" w14:textId="1DD27B5A" w:rsidR="00F12CE4" w:rsidRPr="0027228E" w:rsidRDefault="00F12CE4" w:rsidP="0027228E">
            <w:pPr>
              <w:pStyle w:val="Body3"/>
            </w:pPr>
            <w:r w:rsidRPr="0027228E">
              <w:t xml:space="preserve"> </w:t>
            </w:r>
          </w:p>
        </w:tc>
        <w:tc>
          <w:tcPr>
            <w:tcW w:w="1107" w:type="pct"/>
          </w:tcPr>
          <w:p w14:paraId="5A67A1A7" w14:textId="063EC3F6" w:rsidR="00F12CE4" w:rsidRPr="0027228E" w:rsidRDefault="002816DC" w:rsidP="0027228E">
            <w:pPr>
              <w:pStyle w:val="Body3"/>
            </w:pPr>
            <w:r w:rsidRPr="0027228E">
              <w:t>x</w:t>
            </w:r>
          </w:p>
        </w:tc>
        <w:tc>
          <w:tcPr>
            <w:tcW w:w="967" w:type="pct"/>
          </w:tcPr>
          <w:p w14:paraId="125D4223" w14:textId="5B946C07" w:rsidR="00F12CE4" w:rsidRPr="0027228E" w:rsidRDefault="00F12CE4" w:rsidP="0027228E">
            <w:pPr>
              <w:pStyle w:val="Body3"/>
            </w:pPr>
            <w:r w:rsidRPr="0027228E">
              <w:t>.</w:t>
            </w:r>
            <w:r w:rsidR="002816DC" w:rsidRPr="0027228E">
              <w:t>x</w:t>
            </w:r>
          </w:p>
        </w:tc>
      </w:tr>
    </w:tbl>
    <w:p w14:paraId="438875C3" w14:textId="77777777" w:rsidR="00B85AA2" w:rsidRDefault="00B85AA2" w:rsidP="00837006">
      <w:pPr>
        <w:shd w:val="clear" w:color="auto" w:fill="FFFFFF" w:themeFill="background1"/>
      </w:pPr>
    </w:p>
    <w:p w14:paraId="4BC79339" w14:textId="6096B8AB" w:rsidR="00CF4FAA" w:rsidRPr="006A4C93" w:rsidRDefault="009A5D37" w:rsidP="00837006">
      <w:pPr>
        <w:shd w:val="clear" w:color="auto" w:fill="FFFFFF" w:themeFill="background1"/>
      </w:pPr>
      <w:r w:rsidRPr="006A4C93">
        <w:t xml:space="preserve">Regarding funding options, </w:t>
      </w:r>
      <w:r w:rsidR="00F12CE4" w:rsidRPr="006A4C93">
        <w:t>the focus is on ESIF,</w:t>
      </w:r>
      <w:r w:rsidR="00CF0349">
        <w:t xml:space="preserve"> but also on </w:t>
      </w:r>
      <w:r w:rsidR="007E36EE">
        <w:t>national and</w:t>
      </w:r>
      <w:r w:rsidR="00F12CE4" w:rsidRPr="006A4C93">
        <w:t xml:space="preserve"> regional </w:t>
      </w:r>
      <w:r w:rsidR="00CF0349">
        <w:t>funds</w:t>
      </w:r>
      <w:r w:rsidR="00F12CE4" w:rsidRPr="006A4C93">
        <w:t xml:space="preserve">. </w:t>
      </w:r>
      <w:r w:rsidR="008E771E" w:rsidRPr="006A4C93">
        <w:t>BRIDGES project deals with bridging mismatches between the productive and knowledge bases of PP2,3,5,6 and 7, and proposing interregional solutions through collaboration with research institutions in PP4</w:t>
      </w:r>
      <w:r w:rsidR="003D5A84">
        <w:t xml:space="preserve"> area, innovation advanced region</w:t>
      </w:r>
      <w:r w:rsidR="0031739F">
        <w:t xml:space="preserve">. </w:t>
      </w:r>
      <w:r w:rsidR="0007094A">
        <w:t>For this purpose, a</w:t>
      </w:r>
      <w:r w:rsidR="008E771E" w:rsidRPr="006A4C93">
        <w:t>s mentioned elsewhere in this document</w:t>
      </w:r>
      <w:r w:rsidR="00DD4F86" w:rsidRPr="006A4C93">
        <w:t xml:space="preserve"> (page 7)</w:t>
      </w:r>
      <w:r w:rsidR="00503079" w:rsidRPr="006A4C93">
        <w:t xml:space="preserve">, </w:t>
      </w:r>
      <w:r w:rsidR="008E771E" w:rsidRPr="006A4C93">
        <w:t>BRIDGES project in principle relies on article 70 of the CPR</w:t>
      </w:r>
      <w:r w:rsidR="00A50A99" w:rsidRPr="006A4C93">
        <w:t xml:space="preserve">. Confirming to the provisions </w:t>
      </w:r>
      <w:r w:rsidR="00BE1606">
        <w:t>of artcile 70,</w:t>
      </w:r>
      <w:r w:rsidR="00C35B86">
        <w:t xml:space="preserve"> </w:t>
      </w:r>
      <w:r w:rsidR="00A50A99" w:rsidRPr="006A4C93">
        <w:t xml:space="preserve">interregional spending is foreseen </w:t>
      </w:r>
      <w:r w:rsidR="00BE1606">
        <w:t xml:space="preserve">only </w:t>
      </w:r>
      <w:r w:rsidR="00A50A99" w:rsidRPr="006A4C93">
        <w:t xml:space="preserve">when regional </w:t>
      </w:r>
      <w:r w:rsidR="00BE1606">
        <w:t>and/</w:t>
      </w:r>
      <w:r w:rsidR="00A50A99" w:rsidRPr="006A4C93">
        <w:t xml:space="preserve">or national resources </w:t>
      </w:r>
      <w:r w:rsidR="00BE1606">
        <w:t xml:space="preserve">cannot </w:t>
      </w:r>
      <w:r w:rsidR="00A50A99" w:rsidRPr="006A4C93">
        <w:t xml:space="preserve">provide </w:t>
      </w:r>
      <w:r w:rsidR="00A06CAE" w:rsidRPr="006A4C93">
        <w:t xml:space="preserve">the </w:t>
      </w:r>
      <w:r w:rsidR="00A50A99" w:rsidRPr="006A4C93">
        <w:t xml:space="preserve">required excellence </w:t>
      </w:r>
      <w:r w:rsidR="00A06CAE" w:rsidRPr="006A4C93">
        <w:t xml:space="preserve">and/ or innovation </w:t>
      </w:r>
      <w:r w:rsidR="00A50A99" w:rsidRPr="006A4C93">
        <w:t xml:space="preserve">resources towards, for example, industry modernisation. </w:t>
      </w:r>
      <w:r w:rsidR="00455649">
        <w:t xml:space="preserve">We have identified </w:t>
      </w:r>
      <w:r w:rsidR="00A06CAE" w:rsidRPr="006A4C93">
        <w:t>reasons for this: 1) the RIS3 is like a significant external push to the economy which seeks to upscale itself, while, at the same time, the knowledge base did not have the time (or resources) to</w:t>
      </w:r>
      <w:r w:rsidR="00455649">
        <w:t xml:space="preserve"> do the same; </w:t>
      </w:r>
      <w:r w:rsidR="00A06CAE" w:rsidRPr="006A4C93">
        <w:t xml:space="preserve">2) in some cases, </w:t>
      </w:r>
      <w:r w:rsidR="00455649">
        <w:t xml:space="preserve">there is discrepancy between the economic and knowledge bases asa result of, for example, of massive delocalisation. In such cases, the knowledge base might be more advanced than the current economic base, and might be </w:t>
      </w:r>
      <w:r w:rsidR="003F5630">
        <w:t xml:space="preserve">even be </w:t>
      </w:r>
      <w:r w:rsidR="00455649">
        <w:t xml:space="preserve">serving </w:t>
      </w:r>
      <w:r w:rsidR="003F5630">
        <w:t xml:space="preserve">clients outside the region. Thus, </w:t>
      </w:r>
      <w:r w:rsidR="00A06CAE" w:rsidRPr="006A4C93">
        <w:t>the region is exporting advanced research services while at the same time it needs to import corresponding services for the new indsutries that are developing. In fact, t</w:t>
      </w:r>
      <w:r w:rsidR="006A2F14">
        <w:t xml:space="preserve">wo of our good practice </w:t>
      </w:r>
      <w:r w:rsidR="00A06CAE" w:rsidRPr="006A4C93">
        <w:t>c</w:t>
      </w:r>
      <w:r w:rsidR="006A2F14">
        <w:t>o</w:t>
      </w:r>
      <w:r w:rsidR="00A06CAE" w:rsidRPr="006A4C93">
        <w:t>ntributions are related to these phenomena</w:t>
      </w:r>
      <w:r w:rsidR="00A06CAE" w:rsidRPr="00E238C2">
        <w:rPr>
          <w:rStyle w:val="FootnoteReference"/>
        </w:rPr>
        <w:footnoteReference w:id="25"/>
      </w:r>
      <w:r w:rsidR="00CF4FAA" w:rsidRPr="006A4C93">
        <w:t>; 3) we have become aware that excellence (and through its applications industry, too), is currently so fast diversifying, that it is hardly possible for a region to be self sufficient in research services and research infrastructures. We have explored this phenomenon through one of our good practices</w:t>
      </w:r>
      <w:r w:rsidR="00CF4FAA" w:rsidRPr="00E238C2">
        <w:rPr>
          <w:rStyle w:val="FootnoteReference"/>
        </w:rPr>
        <w:footnoteReference w:id="26"/>
      </w:r>
      <w:r w:rsidR="00503132" w:rsidRPr="006A4C93">
        <w:t>; 4)</w:t>
      </w:r>
      <w:r w:rsidR="00E55A87" w:rsidRPr="006A4C93">
        <w:t>we note that innovation adv</w:t>
      </w:r>
      <w:r w:rsidR="00CF4FAA" w:rsidRPr="006A4C93">
        <w:t>a</w:t>
      </w:r>
      <w:r w:rsidR="00E55A87" w:rsidRPr="006A4C93">
        <w:t>n</w:t>
      </w:r>
      <w:r w:rsidR="00CF4FAA" w:rsidRPr="006A4C93">
        <w:t>ced countries promote interregional win-win types of cooperation beyond any EC-related interregional cooperation. Once again, one of our good practices points to this direction</w:t>
      </w:r>
      <w:r w:rsidR="00CF4FAA" w:rsidRPr="00E238C2">
        <w:rPr>
          <w:rStyle w:val="FootnoteReference"/>
        </w:rPr>
        <w:footnoteReference w:id="27"/>
      </w:r>
      <w:r w:rsidR="00A7399A" w:rsidRPr="006A4C93">
        <w:t>,</w:t>
      </w:r>
      <w:r w:rsidR="00A7399A" w:rsidRPr="00E238C2">
        <w:rPr>
          <w:rStyle w:val="FootnoteReference"/>
        </w:rPr>
        <w:footnoteReference w:id="28"/>
      </w:r>
      <w:r w:rsidR="00CF4FAA" w:rsidRPr="006A4C93">
        <w:t>.</w:t>
      </w:r>
      <w:r w:rsidR="00503132" w:rsidRPr="006A4C93">
        <w:t xml:space="preserve"> </w:t>
      </w:r>
    </w:p>
    <w:p w14:paraId="18A18DC5" w14:textId="1023631A" w:rsidR="00CD7CBE" w:rsidRDefault="00D41B63" w:rsidP="00837006">
      <w:pPr>
        <w:shd w:val="clear" w:color="auto" w:fill="FFFFFF" w:themeFill="background1"/>
      </w:pPr>
      <w:r w:rsidRPr="006A4C93">
        <w:t>A</w:t>
      </w:r>
      <w:r w:rsidR="00CB1041" w:rsidRPr="006A4C93">
        <w:t xml:space="preserve">ctivation of article 70 </w:t>
      </w:r>
      <w:r w:rsidR="00C64BFE" w:rsidRPr="006A4C93">
        <w:t>requires explicit</w:t>
      </w:r>
      <w:r w:rsidR="00CB1041" w:rsidRPr="006A4C93">
        <w:t xml:space="preserve"> </w:t>
      </w:r>
      <w:r w:rsidRPr="006A4C93">
        <w:t>acknowledge</w:t>
      </w:r>
      <w:r w:rsidR="00C64BFE" w:rsidRPr="006A4C93">
        <w:t xml:space="preserve">ment </w:t>
      </w:r>
      <w:r w:rsidRPr="006A4C93">
        <w:t>by MAs &amp;/or IBs</w:t>
      </w:r>
      <w:r w:rsidR="00C64BFE" w:rsidRPr="006A4C93">
        <w:t>. This can be done at  project level (for examples, partners  2 and 7 plan a joint innovation call) and at programme level. For the latter case, th</w:t>
      </w:r>
      <w:r w:rsidR="00E716DD" w:rsidRPr="006A4C93">
        <w:t>e forthcoming period, with the foreseen mid term revision the  ESIF programmes, is an opportunity for arctilce 70 activation.</w:t>
      </w:r>
      <w:r w:rsidR="00C64BFE" w:rsidRPr="006A4C93">
        <w:t xml:space="preserve"> </w:t>
      </w:r>
      <w:r w:rsidRPr="006A4C93">
        <w:t xml:space="preserve">Taking the preceding discussion into account, </w:t>
      </w:r>
      <w:r w:rsidR="00E238C2">
        <w:t>Table</w:t>
      </w:r>
      <w:r w:rsidR="00A8599B">
        <w:t>s</w:t>
      </w:r>
      <w:r w:rsidR="00E238C2">
        <w:t xml:space="preserve"> 9</w:t>
      </w:r>
      <w:r w:rsidR="00A8599B">
        <w:t xml:space="preserve"> and 10</w:t>
      </w:r>
      <w:r w:rsidR="00E238C2">
        <w:t xml:space="preserve"> </w:t>
      </w:r>
      <w:r w:rsidR="00A8599B">
        <w:t xml:space="preserve">were </w:t>
      </w:r>
      <w:r w:rsidRPr="006A4C93">
        <w:t xml:space="preserve">compiled </w:t>
      </w:r>
      <w:r w:rsidR="00E238C2">
        <w:t>(March 2017) and updated (October 2018).</w:t>
      </w:r>
    </w:p>
    <w:p w14:paraId="73B997C1" w14:textId="31FFBAA7" w:rsidR="00017477" w:rsidRDefault="00017477" w:rsidP="00837006">
      <w:pPr>
        <w:shd w:val="clear" w:color="auto" w:fill="FFFFFF" w:themeFill="background1"/>
      </w:pPr>
    </w:p>
    <w:p w14:paraId="3AA8761B" w14:textId="77777777" w:rsidR="00017477" w:rsidRDefault="00017477" w:rsidP="00837006">
      <w:pPr>
        <w:shd w:val="clear" w:color="auto" w:fill="FFFFFF" w:themeFill="background1"/>
      </w:pPr>
    </w:p>
    <w:p w14:paraId="6E9E47F5" w14:textId="7F93D0C2" w:rsidR="00FF5E07" w:rsidRDefault="00FF5E07" w:rsidP="001A7EEF">
      <w:pPr>
        <w:pStyle w:val="Caption"/>
        <w:numPr>
          <w:ilvl w:val="0"/>
          <w:numId w:val="0"/>
        </w:numPr>
        <w:ind w:left="720"/>
      </w:pPr>
      <w:bookmarkStart w:id="80" w:name="_Toc502665502"/>
      <w:bookmarkStart w:id="81" w:name="_Toc526593331"/>
      <w:r>
        <w:lastRenderedPageBreak/>
        <w:t xml:space="preserve">Table </w:t>
      </w:r>
      <w:r w:rsidR="00F01E0F">
        <w:rPr>
          <w:noProof/>
        </w:rPr>
        <w:fldChar w:fldCharType="begin"/>
      </w:r>
      <w:r w:rsidR="00F01E0F">
        <w:rPr>
          <w:noProof/>
        </w:rPr>
        <w:instrText xml:space="preserve"> SEQ Table \* ARABIC </w:instrText>
      </w:r>
      <w:r w:rsidR="00F01E0F">
        <w:rPr>
          <w:noProof/>
        </w:rPr>
        <w:fldChar w:fldCharType="separate"/>
      </w:r>
      <w:r w:rsidR="007D28E9">
        <w:rPr>
          <w:noProof/>
        </w:rPr>
        <w:t>9</w:t>
      </w:r>
      <w:r w:rsidR="00F01E0F">
        <w:rPr>
          <w:noProof/>
        </w:rPr>
        <w:fldChar w:fldCharType="end"/>
      </w:r>
      <w:r>
        <w:t xml:space="preserve"> </w:t>
      </w:r>
      <w:r w:rsidR="00A8599B">
        <w:t xml:space="preserve"> Good practices and technological connectivities</w:t>
      </w:r>
      <w:bookmarkEnd w:id="80"/>
      <w:r w:rsidR="00A8599B" w:rsidRPr="00640777">
        <w:rPr>
          <w:rStyle w:val="FootnoteReference"/>
        </w:rPr>
        <w:footnoteReference w:id="29"/>
      </w:r>
      <w:bookmarkEnd w:id="81"/>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otted" w:sz="4" w:space="0" w:color="A6A6A6" w:themeColor="background1" w:themeShade="A6"/>
          <w:insideV w:val="single" w:sz="4" w:space="0" w:color="A6A6A6" w:themeColor="background1" w:themeShade="A6"/>
        </w:tblBorders>
        <w:tblLook w:val="04A0" w:firstRow="1" w:lastRow="0" w:firstColumn="1" w:lastColumn="0" w:noHBand="0" w:noVBand="1"/>
      </w:tblPr>
      <w:tblGrid>
        <w:gridCol w:w="2571"/>
        <w:gridCol w:w="832"/>
        <w:gridCol w:w="832"/>
        <w:gridCol w:w="832"/>
        <w:gridCol w:w="832"/>
        <w:gridCol w:w="832"/>
        <w:gridCol w:w="832"/>
        <w:gridCol w:w="832"/>
        <w:gridCol w:w="830"/>
      </w:tblGrid>
      <w:tr w:rsidR="00B045A5" w:rsidRPr="00640777" w14:paraId="0621A310" w14:textId="77777777" w:rsidTr="00017477">
        <w:trPr>
          <w:trHeight w:val="280"/>
          <w:tblHeader/>
        </w:trPr>
        <w:tc>
          <w:tcPr>
            <w:tcW w:w="1393" w:type="pct"/>
            <w:vMerge w:val="restart"/>
            <w:shd w:val="clear" w:color="000000" w:fill="F2F2F2"/>
            <w:vAlign w:val="center"/>
            <w:hideMark/>
          </w:tcPr>
          <w:p w14:paraId="47B6C879" w14:textId="2DEEB8CC" w:rsidR="00B045A5" w:rsidRPr="00640777" w:rsidRDefault="00B045A5" w:rsidP="00017477">
            <w:pPr>
              <w:pStyle w:val="a-I-EUBodytextsingle"/>
              <w:rPr>
                <w:b/>
                <w:lang w:val="fi-FI"/>
              </w:rPr>
            </w:pPr>
            <w:r>
              <w:rPr>
                <w:b/>
              </w:rPr>
              <w:t>Good practices</w:t>
            </w:r>
          </w:p>
        </w:tc>
        <w:tc>
          <w:tcPr>
            <w:tcW w:w="3607" w:type="pct"/>
            <w:gridSpan w:val="8"/>
            <w:shd w:val="clear" w:color="000000" w:fill="F2F2F2"/>
            <w:vAlign w:val="center"/>
            <w:hideMark/>
          </w:tcPr>
          <w:p w14:paraId="4A359F00" w14:textId="1F8585C7" w:rsidR="00B045A5" w:rsidRPr="00640777" w:rsidRDefault="00B045A5" w:rsidP="00017477">
            <w:pPr>
              <w:pStyle w:val="a-I-EUBodytextsingle"/>
              <w:rPr>
                <w:b/>
                <w:color w:val="0563C1"/>
                <w:u w:val="single"/>
                <w:lang w:val="fi-FI"/>
              </w:rPr>
            </w:pPr>
            <w:r w:rsidRPr="00640777">
              <w:rPr>
                <w:b/>
              </w:rPr>
              <w:t>Types of techological connectivities</w:t>
            </w:r>
          </w:p>
        </w:tc>
      </w:tr>
      <w:tr w:rsidR="00B045A5" w:rsidRPr="00E43D41" w14:paraId="56F3DE5E" w14:textId="77777777" w:rsidTr="00017477">
        <w:trPr>
          <w:trHeight w:val="280"/>
          <w:tblHeader/>
        </w:trPr>
        <w:tc>
          <w:tcPr>
            <w:tcW w:w="1393" w:type="pct"/>
            <w:vMerge/>
            <w:vAlign w:val="center"/>
            <w:hideMark/>
          </w:tcPr>
          <w:p w14:paraId="53794B0B" w14:textId="77777777" w:rsidR="00B045A5" w:rsidRPr="00E43D41" w:rsidRDefault="00B045A5" w:rsidP="00017477">
            <w:pPr>
              <w:pStyle w:val="a-I-EUBodytextsingle"/>
              <w:rPr>
                <w:lang w:val="fi-FI"/>
              </w:rPr>
            </w:pPr>
          </w:p>
        </w:tc>
        <w:tc>
          <w:tcPr>
            <w:tcW w:w="451" w:type="pct"/>
            <w:shd w:val="clear" w:color="000000" w:fill="F2F2F2"/>
            <w:vAlign w:val="center"/>
            <w:hideMark/>
          </w:tcPr>
          <w:p w14:paraId="6F40C19B" w14:textId="77777777" w:rsidR="00B045A5" w:rsidRPr="00640777" w:rsidRDefault="00B045A5" w:rsidP="00017477">
            <w:pPr>
              <w:pStyle w:val="a-I-EUBodytextsingle"/>
              <w:rPr>
                <w:b/>
                <w:lang w:val="fi-FI"/>
              </w:rPr>
            </w:pPr>
            <w:r w:rsidRPr="00640777">
              <w:rPr>
                <w:b/>
              </w:rPr>
              <w:t>1</w:t>
            </w:r>
          </w:p>
        </w:tc>
        <w:tc>
          <w:tcPr>
            <w:tcW w:w="451" w:type="pct"/>
            <w:shd w:val="clear" w:color="000000" w:fill="F2F2F2"/>
            <w:vAlign w:val="center"/>
            <w:hideMark/>
          </w:tcPr>
          <w:p w14:paraId="225044A2" w14:textId="77777777" w:rsidR="00B045A5" w:rsidRPr="00640777" w:rsidRDefault="00B045A5" w:rsidP="00017477">
            <w:pPr>
              <w:pStyle w:val="a-I-EUBodytextsingle"/>
              <w:rPr>
                <w:b/>
                <w:lang w:val="fi-FI"/>
              </w:rPr>
            </w:pPr>
            <w:r w:rsidRPr="00640777">
              <w:rPr>
                <w:b/>
              </w:rPr>
              <w:t>2</w:t>
            </w:r>
          </w:p>
        </w:tc>
        <w:tc>
          <w:tcPr>
            <w:tcW w:w="451" w:type="pct"/>
            <w:shd w:val="clear" w:color="000000" w:fill="F2F2F2"/>
            <w:vAlign w:val="center"/>
            <w:hideMark/>
          </w:tcPr>
          <w:p w14:paraId="7C65AEEC" w14:textId="77777777" w:rsidR="00B045A5" w:rsidRPr="00640777" w:rsidRDefault="00B045A5" w:rsidP="00017477">
            <w:pPr>
              <w:pStyle w:val="a-I-EUBodytextsingle"/>
              <w:rPr>
                <w:b/>
                <w:lang w:val="fi-FI"/>
              </w:rPr>
            </w:pPr>
            <w:r w:rsidRPr="00640777">
              <w:rPr>
                <w:b/>
              </w:rPr>
              <w:t>3</w:t>
            </w:r>
          </w:p>
        </w:tc>
        <w:tc>
          <w:tcPr>
            <w:tcW w:w="451" w:type="pct"/>
            <w:shd w:val="clear" w:color="000000" w:fill="F2F2F2"/>
            <w:vAlign w:val="center"/>
            <w:hideMark/>
          </w:tcPr>
          <w:p w14:paraId="63F49D27" w14:textId="77777777" w:rsidR="00B045A5" w:rsidRPr="00640777" w:rsidRDefault="00B045A5" w:rsidP="00017477">
            <w:pPr>
              <w:pStyle w:val="a-I-EUBodytextsingle"/>
              <w:rPr>
                <w:b/>
                <w:lang w:val="fi-FI"/>
              </w:rPr>
            </w:pPr>
            <w:r w:rsidRPr="00640777">
              <w:rPr>
                <w:b/>
              </w:rPr>
              <w:t>4</w:t>
            </w:r>
          </w:p>
        </w:tc>
        <w:tc>
          <w:tcPr>
            <w:tcW w:w="451" w:type="pct"/>
            <w:shd w:val="clear" w:color="000000" w:fill="F2F2F2"/>
            <w:vAlign w:val="center"/>
            <w:hideMark/>
          </w:tcPr>
          <w:p w14:paraId="3A3DC01A" w14:textId="77777777" w:rsidR="00B045A5" w:rsidRPr="00640777" w:rsidRDefault="00B045A5" w:rsidP="00017477">
            <w:pPr>
              <w:pStyle w:val="a-I-EUBodytextsingle"/>
              <w:rPr>
                <w:b/>
                <w:lang w:val="fi-FI"/>
              </w:rPr>
            </w:pPr>
            <w:r w:rsidRPr="00640777">
              <w:rPr>
                <w:b/>
              </w:rPr>
              <w:t>5</w:t>
            </w:r>
          </w:p>
        </w:tc>
        <w:tc>
          <w:tcPr>
            <w:tcW w:w="451" w:type="pct"/>
            <w:shd w:val="clear" w:color="000000" w:fill="F2F2F2"/>
            <w:vAlign w:val="center"/>
            <w:hideMark/>
          </w:tcPr>
          <w:p w14:paraId="6DFF849A" w14:textId="77777777" w:rsidR="00B045A5" w:rsidRPr="00640777" w:rsidRDefault="00B045A5" w:rsidP="00017477">
            <w:pPr>
              <w:pStyle w:val="a-I-EUBodytextsingle"/>
              <w:rPr>
                <w:b/>
                <w:lang w:val="fi-FI"/>
              </w:rPr>
            </w:pPr>
            <w:r w:rsidRPr="00640777">
              <w:rPr>
                <w:b/>
              </w:rPr>
              <w:t>6</w:t>
            </w:r>
          </w:p>
        </w:tc>
        <w:tc>
          <w:tcPr>
            <w:tcW w:w="451" w:type="pct"/>
            <w:shd w:val="clear" w:color="000000" w:fill="F2F2F2"/>
            <w:vAlign w:val="center"/>
            <w:hideMark/>
          </w:tcPr>
          <w:p w14:paraId="7E8EFC01" w14:textId="77777777" w:rsidR="00B045A5" w:rsidRPr="00640777" w:rsidRDefault="00B045A5" w:rsidP="00017477">
            <w:pPr>
              <w:pStyle w:val="a-I-EUBodytextsingle"/>
              <w:rPr>
                <w:b/>
                <w:lang w:val="fi-FI"/>
              </w:rPr>
            </w:pPr>
            <w:r w:rsidRPr="00640777">
              <w:rPr>
                <w:b/>
              </w:rPr>
              <w:t>7</w:t>
            </w:r>
          </w:p>
        </w:tc>
        <w:tc>
          <w:tcPr>
            <w:tcW w:w="450" w:type="pct"/>
            <w:shd w:val="clear" w:color="000000" w:fill="F2F2F2"/>
            <w:vAlign w:val="center"/>
            <w:hideMark/>
          </w:tcPr>
          <w:p w14:paraId="4E66C080" w14:textId="77777777" w:rsidR="00B045A5" w:rsidRPr="00640777" w:rsidRDefault="00B045A5" w:rsidP="00017477">
            <w:pPr>
              <w:pStyle w:val="a-I-EUBodytextsingle"/>
              <w:rPr>
                <w:b/>
                <w:lang w:val="fi-FI"/>
              </w:rPr>
            </w:pPr>
            <w:r w:rsidRPr="00640777">
              <w:rPr>
                <w:b/>
              </w:rPr>
              <w:t>8</w:t>
            </w:r>
          </w:p>
        </w:tc>
      </w:tr>
      <w:tr w:rsidR="00B045A5" w:rsidRPr="00E43D41" w14:paraId="4E1AD011" w14:textId="77777777" w:rsidTr="00017477">
        <w:trPr>
          <w:trHeight w:val="280"/>
        </w:trPr>
        <w:tc>
          <w:tcPr>
            <w:tcW w:w="1393" w:type="pct"/>
            <w:shd w:val="clear" w:color="000000" w:fill="FFF2CC"/>
            <w:vAlign w:val="center"/>
            <w:hideMark/>
          </w:tcPr>
          <w:p w14:paraId="64A69D41" w14:textId="77777777" w:rsidR="00B045A5" w:rsidRPr="00E43D41" w:rsidRDefault="00B045A5" w:rsidP="00017477">
            <w:pPr>
              <w:pStyle w:val="a-I-EUBodytextsingle"/>
              <w:jc w:val="right"/>
              <w:rPr>
                <w:lang w:val="fi-FI"/>
              </w:rPr>
            </w:pPr>
            <w:r>
              <w:rPr>
                <w:lang w:val="fi-FI"/>
              </w:rPr>
              <w:t>Total: connectivity appearances per GP</w:t>
            </w:r>
            <w:r w:rsidRPr="00E43D41">
              <w:rPr>
                <w:lang w:val="fi-FI"/>
              </w:rPr>
              <w:t> </w:t>
            </w:r>
          </w:p>
        </w:tc>
        <w:tc>
          <w:tcPr>
            <w:tcW w:w="451" w:type="pct"/>
            <w:shd w:val="clear" w:color="000000" w:fill="FFF2CC"/>
            <w:vAlign w:val="center"/>
            <w:hideMark/>
          </w:tcPr>
          <w:p w14:paraId="66EBB009" w14:textId="77777777" w:rsidR="00B045A5" w:rsidRPr="00E43D41" w:rsidRDefault="00B045A5" w:rsidP="00017477">
            <w:pPr>
              <w:pStyle w:val="a-I-EUBodytextsingle"/>
              <w:rPr>
                <w:lang w:val="fi-FI"/>
              </w:rPr>
            </w:pPr>
            <w:r w:rsidRPr="00E43D41">
              <w:rPr>
                <w:lang w:val="fi-FI"/>
              </w:rPr>
              <w:t>10</w:t>
            </w:r>
          </w:p>
        </w:tc>
        <w:tc>
          <w:tcPr>
            <w:tcW w:w="451" w:type="pct"/>
            <w:shd w:val="clear" w:color="000000" w:fill="FFF2CC"/>
            <w:vAlign w:val="center"/>
            <w:hideMark/>
          </w:tcPr>
          <w:p w14:paraId="7ACD38E9" w14:textId="77777777" w:rsidR="00B045A5" w:rsidRPr="00E43D41" w:rsidRDefault="00B045A5" w:rsidP="00017477">
            <w:pPr>
              <w:pStyle w:val="a-I-EUBodytextsingle"/>
              <w:rPr>
                <w:lang w:val="fi-FI"/>
              </w:rPr>
            </w:pPr>
            <w:r w:rsidRPr="00E43D41">
              <w:rPr>
                <w:lang w:val="fi-FI"/>
              </w:rPr>
              <w:t>1</w:t>
            </w:r>
            <w:r>
              <w:rPr>
                <w:lang w:val="fi-FI"/>
              </w:rPr>
              <w:t>8</w:t>
            </w:r>
          </w:p>
        </w:tc>
        <w:tc>
          <w:tcPr>
            <w:tcW w:w="451" w:type="pct"/>
            <w:shd w:val="clear" w:color="000000" w:fill="FFF2CC"/>
            <w:vAlign w:val="center"/>
            <w:hideMark/>
          </w:tcPr>
          <w:p w14:paraId="2E0D3536" w14:textId="77777777" w:rsidR="00B045A5" w:rsidRPr="00E43D41" w:rsidRDefault="00B045A5" w:rsidP="00017477">
            <w:pPr>
              <w:pStyle w:val="a-I-EUBodytextsingle"/>
              <w:rPr>
                <w:lang w:val="fi-FI"/>
              </w:rPr>
            </w:pPr>
            <w:r w:rsidRPr="00E43D41">
              <w:rPr>
                <w:lang w:val="fi-FI"/>
              </w:rPr>
              <w:t>1</w:t>
            </w:r>
          </w:p>
        </w:tc>
        <w:tc>
          <w:tcPr>
            <w:tcW w:w="451" w:type="pct"/>
            <w:shd w:val="clear" w:color="000000" w:fill="FFF2CC"/>
            <w:vAlign w:val="center"/>
            <w:hideMark/>
          </w:tcPr>
          <w:p w14:paraId="4BBF281E" w14:textId="77777777" w:rsidR="00B045A5" w:rsidRPr="00E43D41" w:rsidRDefault="00B045A5" w:rsidP="00017477">
            <w:pPr>
              <w:pStyle w:val="a-I-EUBodytextsingle"/>
              <w:rPr>
                <w:lang w:val="fi-FI"/>
              </w:rPr>
            </w:pPr>
            <w:r w:rsidRPr="00E43D41">
              <w:rPr>
                <w:lang w:val="fi-FI"/>
              </w:rPr>
              <w:t>0</w:t>
            </w:r>
          </w:p>
        </w:tc>
        <w:tc>
          <w:tcPr>
            <w:tcW w:w="451" w:type="pct"/>
            <w:shd w:val="clear" w:color="000000" w:fill="FFF2CC"/>
            <w:vAlign w:val="center"/>
            <w:hideMark/>
          </w:tcPr>
          <w:p w14:paraId="7F72D605" w14:textId="77777777" w:rsidR="00B045A5" w:rsidRPr="00E43D41" w:rsidRDefault="00B045A5" w:rsidP="00017477">
            <w:pPr>
              <w:pStyle w:val="a-I-EUBodytextsingle"/>
              <w:rPr>
                <w:lang w:val="fi-FI"/>
              </w:rPr>
            </w:pPr>
            <w:r>
              <w:rPr>
                <w:lang w:val="fi-FI"/>
              </w:rPr>
              <w:t>3</w:t>
            </w:r>
          </w:p>
        </w:tc>
        <w:tc>
          <w:tcPr>
            <w:tcW w:w="451" w:type="pct"/>
            <w:shd w:val="clear" w:color="000000" w:fill="FFF2CC"/>
            <w:vAlign w:val="center"/>
            <w:hideMark/>
          </w:tcPr>
          <w:p w14:paraId="738976D3" w14:textId="77777777" w:rsidR="00B045A5" w:rsidRPr="00E43D41" w:rsidRDefault="00B045A5" w:rsidP="00017477">
            <w:pPr>
              <w:pStyle w:val="a-I-EUBodytextsingle"/>
              <w:rPr>
                <w:lang w:val="fi-FI"/>
              </w:rPr>
            </w:pPr>
            <w:r w:rsidRPr="00E43D41">
              <w:rPr>
                <w:lang w:val="fi-FI"/>
              </w:rPr>
              <w:t>0</w:t>
            </w:r>
          </w:p>
        </w:tc>
        <w:tc>
          <w:tcPr>
            <w:tcW w:w="451" w:type="pct"/>
            <w:shd w:val="clear" w:color="000000" w:fill="FFF2CC"/>
            <w:vAlign w:val="center"/>
            <w:hideMark/>
          </w:tcPr>
          <w:p w14:paraId="7BA063FA" w14:textId="77777777" w:rsidR="00B045A5" w:rsidRPr="00E43D41" w:rsidRDefault="00B045A5" w:rsidP="00017477">
            <w:pPr>
              <w:pStyle w:val="a-I-EUBodytextsingle"/>
              <w:rPr>
                <w:lang w:val="fi-FI"/>
              </w:rPr>
            </w:pPr>
            <w:r w:rsidRPr="00E43D41">
              <w:rPr>
                <w:lang w:val="fi-FI"/>
              </w:rPr>
              <w:t>2</w:t>
            </w:r>
          </w:p>
        </w:tc>
        <w:tc>
          <w:tcPr>
            <w:tcW w:w="450" w:type="pct"/>
            <w:shd w:val="clear" w:color="000000" w:fill="FFF2CC"/>
            <w:vAlign w:val="center"/>
            <w:hideMark/>
          </w:tcPr>
          <w:p w14:paraId="53285A3E" w14:textId="77777777" w:rsidR="00B045A5" w:rsidRPr="00E43D41" w:rsidRDefault="00B045A5" w:rsidP="00017477">
            <w:pPr>
              <w:pStyle w:val="a-I-EUBodytextsingle"/>
              <w:rPr>
                <w:lang w:val="fi-FI"/>
              </w:rPr>
            </w:pPr>
            <w:r w:rsidRPr="00E43D41">
              <w:rPr>
                <w:lang w:val="fi-FI"/>
              </w:rPr>
              <w:t>20</w:t>
            </w:r>
          </w:p>
        </w:tc>
      </w:tr>
      <w:tr w:rsidR="00B045A5" w:rsidRPr="00E43D41" w14:paraId="0F8E0D65" w14:textId="77777777" w:rsidTr="00017477">
        <w:tc>
          <w:tcPr>
            <w:tcW w:w="1393" w:type="pct"/>
            <w:shd w:val="clear" w:color="auto" w:fill="auto"/>
            <w:vAlign w:val="center"/>
            <w:hideMark/>
          </w:tcPr>
          <w:p w14:paraId="75AD0A51" w14:textId="77777777" w:rsidR="00B045A5" w:rsidRPr="00E43D41" w:rsidRDefault="00B045A5" w:rsidP="00017477">
            <w:pPr>
              <w:pStyle w:val="a-I-EUBodytextsingle"/>
              <w:rPr>
                <w:lang w:val="fi-FI"/>
              </w:rPr>
            </w:pPr>
            <w:r w:rsidRPr="00E43D41">
              <w:t>European Business and Innovation Centre of Burgos (CEEI-Burgos)</w:t>
            </w:r>
          </w:p>
        </w:tc>
        <w:tc>
          <w:tcPr>
            <w:tcW w:w="451" w:type="pct"/>
            <w:shd w:val="clear" w:color="auto" w:fill="auto"/>
            <w:vAlign w:val="center"/>
            <w:hideMark/>
          </w:tcPr>
          <w:p w14:paraId="0A71C615"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49C8C27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5D8F08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E8F2ADA"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56BCA8F"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3468FD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509E8CD"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2834E04F" w14:textId="77777777" w:rsidR="00B045A5" w:rsidRPr="00E43D41" w:rsidRDefault="00B045A5" w:rsidP="00017477">
            <w:pPr>
              <w:pStyle w:val="a-I-EUBodytextsingle"/>
              <w:rPr>
                <w:lang w:val="fi-FI"/>
              </w:rPr>
            </w:pPr>
            <w:r w:rsidRPr="00E43D41">
              <w:t> </w:t>
            </w:r>
          </w:p>
        </w:tc>
      </w:tr>
      <w:tr w:rsidR="00B045A5" w:rsidRPr="00E43D41" w14:paraId="12B13147" w14:textId="77777777" w:rsidTr="00017477">
        <w:tc>
          <w:tcPr>
            <w:tcW w:w="1393" w:type="pct"/>
            <w:shd w:val="clear" w:color="auto" w:fill="auto"/>
            <w:vAlign w:val="center"/>
            <w:hideMark/>
          </w:tcPr>
          <w:p w14:paraId="57A4953C" w14:textId="77777777" w:rsidR="00B045A5" w:rsidRPr="00E43D41" w:rsidRDefault="00B045A5" w:rsidP="00017477">
            <w:pPr>
              <w:pStyle w:val="a-I-EUBodytextsingle"/>
              <w:rPr>
                <w:lang w:val="fi-FI"/>
              </w:rPr>
            </w:pPr>
            <w:r w:rsidRPr="00E43D41">
              <w:t>Centre of Expertise Bio based Economy (COEBBE)</w:t>
            </w:r>
          </w:p>
        </w:tc>
        <w:tc>
          <w:tcPr>
            <w:tcW w:w="451" w:type="pct"/>
            <w:shd w:val="clear" w:color="auto" w:fill="auto"/>
            <w:vAlign w:val="center"/>
            <w:hideMark/>
          </w:tcPr>
          <w:p w14:paraId="5FFE0BD1"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301835C8"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2BD3FFD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F0BA2B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C6D3F3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61FC00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B16C7A7"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03F615DB" w14:textId="77777777" w:rsidR="00B045A5" w:rsidRPr="00E43D41" w:rsidRDefault="00B045A5" w:rsidP="00017477">
            <w:pPr>
              <w:pStyle w:val="a-I-EUBodytextsingle"/>
              <w:rPr>
                <w:lang w:val="fi-FI"/>
              </w:rPr>
            </w:pPr>
            <w:r w:rsidRPr="00E43D41">
              <w:t> </w:t>
            </w:r>
          </w:p>
        </w:tc>
      </w:tr>
      <w:tr w:rsidR="00B045A5" w:rsidRPr="00E43D41" w14:paraId="20FE16C3" w14:textId="77777777" w:rsidTr="00017477">
        <w:tc>
          <w:tcPr>
            <w:tcW w:w="1393" w:type="pct"/>
            <w:shd w:val="clear" w:color="auto" w:fill="auto"/>
            <w:vAlign w:val="center"/>
            <w:hideMark/>
          </w:tcPr>
          <w:p w14:paraId="32BC258B" w14:textId="77777777" w:rsidR="00B045A5" w:rsidRPr="00E43D41" w:rsidRDefault="00B045A5" w:rsidP="00017477">
            <w:pPr>
              <w:pStyle w:val="a-I-EUBodytextsingle"/>
              <w:rPr>
                <w:lang w:val="fi-FI"/>
              </w:rPr>
            </w:pPr>
            <w:r w:rsidRPr="00E43D41">
              <w:t>Synberc</w:t>
            </w:r>
          </w:p>
        </w:tc>
        <w:tc>
          <w:tcPr>
            <w:tcW w:w="451" w:type="pct"/>
            <w:shd w:val="clear" w:color="auto" w:fill="auto"/>
            <w:vAlign w:val="center"/>
            <w:hideMark/>
          </w:tcPr>
          <w:p w14:paraId="76F91A89"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4D7C003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9202C8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259BB0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7697A13"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47D060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B5C9C7F"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3AEC9432" w14:textId="77777777" w:rsidR="00B045A5" w:rsidRPr="00E43D41" w:rsidRDefault="00B045A5" w:rsidP="00017477">
            <w:pPr>
              <w:pStyle w:val="a-I-EUBodytextsingle"/>
              <w:rPr>
                <w:lang w:val="fi-FI"/>
              </w:rPr>
            </w:pPr>
            <w:r w:rsidRPr="00E43D41">
              <w:t>1</w:t>
            </w:r>
          </w:p>
        </w:tc>
      </w:tr>
      <w:tr w:rsidR="00B045A5" w:rsidRPr="00E43D41" w14:paraId="69A7EEF5" w14:textId="77777777" w:rsidTr="00017477">
        <w:tc>
          <w:tcPr>
            <w:tcW w:w="1393" w:type="pct"/>
            <w:shd w:val="clear" w:color="auto" w:fill="auto"/>
            <w:vAlign w:val="center"/>
            <w:hideMark/>
          </w:tcPr>
          <w:p w14:paraId="4EBBED16" w14:textId="77777777" w:rsidR="00B045A5" w:rsidRPr="00E43D41" w:rsidRDefault="00B045A5" w:rsidP="00017477">
            <w:pPr>
              <w:pStyle w:val="a-I-EUBodytextsingle"/>
              <w:rPr>
                <w:lang w:val="fi-FI"/>
              </w:rPr>
            </w:pPr>
            <w:r w:rsidRPr="00E43D41">
              <w:t>The Bio Economy Science Centre, Jülich (Nordrhein-Westfalen)</w:t>
            </w:r>
          </w:p>
        </w:tc>
        <w:tc>
          <w:tcPr>
            <w:tcW w:w="451" w:type="pct"/>
            <w:shd w:val="clear" w:color="auto" w:fill="auto"/>
            <w:vAlign w:val="center"/>
            <w:hideMark/>
          </w:tcPr>
          <w:p w14:paraId="1A835251"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3AF9A16D" w14:textId="77777777" w:rsidR="00B045A5" w:rsidRPr="00E43D41" w:rsidRDefault="00B045A5" w:rsidP="00017477">
            <w:pPr>
              <w:pStyle w:val="a-I-EUBodytextsingle"/>
              <w:rPr>
                <w:lang w:val="fi-FI"/>
              </w:rPr>
            </w:pPr>
            <w:r w:rsidRPr="00E43D41">
              <w:rPr>
                <w:lang w:val="fi-FI"/>
              </w:rPr>
              <w:t> </w:t>
            </w:r>
          </w:p>
        </w:tc>
        <w:tc>
          <w:tcPr>
            <w:tcW w:w="451" w:type="pct"/>
            <w:shd w:val="clear" w:color="auto" w:fill="auto"/>
            <w:vAlign w:val="center"/>
            <w:hideMark/>
          </w:tcPr>
          <w:p w14:paraId="15B2AEB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2E4527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C3D098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CA37FE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76D7A33"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4DF5CC35" w14:textId="77777777" w:rsidR="00B045A5" w:rsidRPr="00E43D41" w:rsidRDefault="00B045A5" w:rsidP="00017477">
            <w:pPr>
              <w:pStyle w:val="a-I-EUBodytextsingle"/>
              <w:rPr>
                <w:lang w:val="fi-FI"/>
              </w:rPr>
            </w:pPr>
            <w:r w:rsidRPr="00E43D41">
              <w:t>1</w:t>
            </w:r>
          </w:p>
        </w:tc>
      </w:tr>
      <w:tr w:rsidR="00B045A5" w:rsidRPr="00E43D41" w14:paraId="052C7455" w14:textId="77777777" w:rsidTr="00017477">
        <w:tc>
          <w:tcPr>
            <w:tcW w:w="1393" w:type="pct"/>
            <w:shd w:val="clear" w:color="auto" w:fill="auto"/>
            <w:vAlign w:val="center"/>
          </w:tcPr>
          <w:p w14:paraId="6A8727CF" w14:textId="77777777" w:rsidR="00B045A5" w:rsidRPr="00E43D41" w:rsidRDefault="00B045A5" w:rsidP="00017477">
            <w:pPr>
              <w:pStyle w:val="a-I-EUBodytextsingle"/>
            </w:pPr>
            <w:r w:rsidRPr="00E43D41">
              <w:t>ETH – Zurich Competence Centre</w:t>
            </w:r>
          </w:p>
        </w:tc>
        <w:tc>
          <w:tcPr>
            <w:tcW w:w="451" w:type="pct"/>
            <w:shd w:val="clear" w:color="auto" w:fill="auto"/>
            <w:vAlign w:val="center"/>
          </w:tcPr>
          <w:p w14:paraId="5E0F253C" w14:textId="77777777" w:rsidR="00B045A5" w:rsidRPr="00E43D41" w:rsidRDefault="00B045A5" w:rsidP="00017477">
            <w:pPr>
              <w:pStyle w:val="a-I-EUBodytextsingle"/>
            </w:pPr>
          </w:p>
        </w:tc>
        <w:tc>
          <w:tcPr>
            <w:tcW w:w="451" w:type="pct"/>
            <w:shd w:val="clear" w:color="auto" w:fill="auto"/>
            <w:vAlign w:val="center"/>
          </w:tcPr>
          <w:p w14:paraId="0614645D" w14:textId="77777777" w:rsidR="00B045A5" w:rsidRPr="00E43D41" w:rsidRDefault="00B045A5" w:rsidP="00017477">
            <w:pPr>
              <w:pStyle w:val="a-I-EUBodytextsingle"/>
              <w:rPr>
                <w:lang w:val="fi-FI"/>
              </w:rPr>
            </w:pPr>
          </w:p>
        </w:tc>
        <w:tc>
          <w:tcPr>
            <w:tcW w:w="451" w:type="pct"/>
            <w:shd w:val="clear" w:color="auto" w:fill="auto"/>
            <w:vAlign w:val="center"/>
          </w:tcPr>
          <w:p w14:paraId="575AF709" w14:textId="77777777" w:rsidR="00B045A5" w:rsidRPr="00E43D41" w:rsidRDefault="00B045A5" w:rsidP="00017477">
            <w:pPr>
              <w:pStyle w:val="a-I-EUBodytextsingle"/>
            </w:pPr>
          </w:p>
        </w:tc>
        <w:tc>
          <w:tcPr>
            <w:tcW w:w="451" w:type="pct"/>
            <w:shd w:val="clear" w:color="auto" w:fill="auto"/>
            <w:vAlign w:val="center"/>
          </w:tcPr>
          <w:p w14:paraId="57C3F766" w14:textId="77777777" w:rsidR="00B045A5" w:rsidRPr="00E43D41" w:rsidRDefault="00B045A5" w:rsidP="00017477">
            <w:pPr>
              <w:pStyle w:val="a-I-EUBodytextsingle"/>
            </w:pPr>
          </w:p>
        </w:tc>
        <w:tc>
          <w:tcPr>
            <w:tcW w:w="451" w:type="pct"/>
            <w:shd w:val="clear" w:color="auto" w:fill="auto"/>
            <w:vAlign w:val="center"/>
          </w:tcPr>
          <w:p w14:paraId="13F6E9CF" w14:textId="77777777" w:rsidR="00B045A5" w:rsidRPr="00E43D41" w:rsidRDefault="00B045A5" w:rsidP="00017477">
            <w:pPr>
              <w:pStyle w:val="a-I-EUBodytextsingle"/>
            </w:pPr>
          </w:p>
        </w:tc>
        <w:tc>
          <w:tcPr>
            <w:tcW w:w="451" w:type="pct"/>
            <w:shd w:val="clear" w:color="auto" w:fill="auto"/>
            <w:vAlign w:val="center"/>
          </w:tcPr>
          <w:p w14:paraId="0274774E" w14:textId="77777777" w:rsidR="00B045A5" w:rsidRPr="00E43D41" w:rsidRDefault="00B045A5" w:rsidP="00017477">
            <w:pPr>
              <w:pStyle w:val="a-I-EUBodytextsingle"/>
            </w:pPr>
          </w:p>
        </w:tc>
        <w:tc>
          <w:tcPr>
            <w:tcW w:w="451" w:type="pct"/>
            <w:shd w:val="clear" w:color="auto" w:fill="auto"/>
            <w:vAlign w:val="center"/>
          </w:tcPr>
          <w:p w14:paraId="49119B4A" w14:textId="77777777" w:rsidR="00B045A5" w:rsidRPr="00E43D41" w:rsidRDefault="00B045A5" w:rsidP="00017477">
            <w:pPr>
              <w:pStyle w:val="a-I-EUBodytextsingle"/>
            </w:pPr>
          </w:p>
        </w:tc>
        <w:tc>
          <w:tcPr>
            <w:tcW w:w="450" w:type="pct"/>
            <w:shd w:val="clear" w:color="auto" w:fill="auto"/>
            <w:vAlign w:val="center"/>
          </w:tcPr>
          <w:p w14:paraId="437F4951" w14:textId="77777777" w:rsidR="00B045A5" w:rsidRPr="00E43D41" w:rsidRDefault="00B045A5" w:rsidP="00017477">
            <w:pPr>
              <w:pStyle w:val="a-I-EUBodytextsingle"/>
            </w:pPr>
          </w:p>
        </w:tc>
      </w:tr>
      <w:tr w:rsidR="00B045A5" w:rsidRPr="00E43D41" w14:paraId="349F7975" w14:textId="77777777" w:rsidTr="00017477">
        <w:trPr>
          <w:trHeight w:val="222"/>
        </w:trPr>
        <w:tc>
          <w:tcPr>
            <w:tcW w:w="1393" w:type="pct"/>
            <w:vMerge w:val="restart"/>
            <w:shd w:val="clear" w:color="auto" w:fill="auto"/>
            <w:vAlign w:val="center"/>
            <w:hideMark/>
          </w:tcPr>
          <w:p w14:paraId="1577946F" w14:textId="77777777" w:rsidR="00B045A5" w:rsidRPr="00E43D41" w:rsidRDefault="00B045A5" w:rsidP="00017477">
            <w:pPr>
              <w:pStyle w:val="a-I-EUBodytextsingle"/>
              <w:rPr>
                <w:lang w:val="fi-FI"/>
              </w:rPr>
            </w:pPr>
            <w:r w:rsidRPr="00E43D41">
              <w:t>Helsinki Innovation Services Ltd</w:t>
            </w:r>
          </w:p>
        </w:tc>
        <w:tc>
          <w:tcPr>
            <w:tcW w:w="451" w:type="pct"/>
            <w:vMerge w:val="restart"/>
            <w:shd w:val="clear" w:color="auto" w:fill="auto"/>
            <w:vAlign w:val="center"/>
            <w:hideMark/>
          </w:tcPr>
          <w:p w14:paraId="2786189A"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5E6AA136"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3BB78995"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B25E15D"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7436428"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7F663548"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F171ACC"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046BBF88" w14:textId="77777777" w:rsidR="00B045A5" w:rsidRPr="00E43D41" w:rsidRDefault="00B045A5" w:rsidP="00017477">
            <w:pPr>
              <w:pStyle w:val="a-I-EUBodytextsingle"/>
              <w:rPr>
                <w:lang w:val="fi-FI"/>
              </w:rPr>
            </w:pPr>
            <w:r w:rsidRPr="00E43D41">
              <w:t>1</w:t>
            </w:r>
          </w:p>
        </w:tc>
      </w:tr>
      <w:tr w:rsidR="00B045A5" w:rsidRPr="00E43D41" w14:paraId="4AD5EA11" w14:textId="77777777" w:rsidTr="00017477">
        <w:trPr>
          <w:trHeight w:val="217"/>
        </w:trPr>
        <w:tc>
          <w:tcPr>
            <w:tcW w:w="1393" w:type="pct"/>
            <w:vMerge/>
            <w:vAlign w:val="center"/>
            <w:hideMark/>
          </w:tcPr>
          <w:p w14:paraId="6503480E" w14:textId="77777777" w:rsidR="00B045A5" w:rsidRPr="00E43D41" w:rsidRDefault="00B045A5" w:rsidP="00017477">
            <w:pPr>
              <w:pStyle w:val="a-I-EUBodytextsingle"/>
              <w:rPr>
                <w:lang w:val="fi-FI"/>
              </w:rPr>
            </w:pPr>
          </w:p>
        </w:tc>
        <w:tc>
          <w:tcPr>
            <w:tcW w:w="451" w:type="pct"/>
            <w:vMerge/>
            <w:vAlign w:val="center"/>
            <w:hideMark/>
          </w:tcPr>
          <w:p w14:paraId="49F03706" w14:textId="77777777" w:rsidR="00B045A5" w:rsidRPr="00E43D41" w:rsidRDefault="00B045A5" w:rsidP="00017477">
            <w:pPr>
              <w:pStyle w:val="a-I-EUBodytextsingle"/>
              <w:rPr>
                <w:lang w:val="fi-FI"/>
              </w:rPr>
            </w:pPr>
          </w:p>
        </w:tc>
        <w:tc>
          <w:tcPr>
            <w:tcW w:w="451" w:type="pct"/>
            <w:vMerge/>
            <w:vAlign w:val="center"/>
            <w:hideMark/>
          </w:tcPr>
          <w:p w14:paraId="1F7BB746" w14:textId="77777777" w:rsidR="00B045A5" w:rsidRPr="00E43D41" w:rsidRDefault="00B045A5" w:rsidP="00017477">
            <w:pPr>
              <w:pStyle w:val="a-I-EUBodytextsingle"/>
              <w:rPr>
                <w:lang w:val="fi-FI"/>
              </w:rPr>
            </w:pPr>
          </w:p>
        </w:tc>
        <w:tc>
          <w:tcPr>
            <w:tcW w:w="451" w:type="pct"/>
            <w:vMerge/>
            <w:vAlign w:val="center"/>
            <w:hideMark/>
          </w:tcPr>
          <w:p w14:paraId="6832C6F4" w14:textId="77777777" w:rsidR="00B045A5" w:rsidRPr="00E43D41" w:rsidRDefault="00B045A5" w:rsidP="00017477">
            <w:pPr>
              <w:pStyle w:val="a-I-EUBodytextsingle"/>
              <w:rPr>
                <w:lang w:val="fi-FI"/>
              </w:rPr>
            </w:pPr>
          </w:p>
        </w:tc>
        <w:tc>
          <w:tcPr>
            <w:tcW w:w="451" w:type="pct"/>
            <w:vMerge/>
            <w:vAlign w:val="center"/>
            <w:hideMark/>
          </w:tcPr>
          <w:p w14:paraId="7F076643" w14:textId="77777777" w:rsidR="00B045A5" w:rsidRPr="00E43D41" w:rsidRDefault="00B045A5" w:rsidP="00017477">
            <w:pPr>
              <w:pStyle w:val="a-I-EUBodytextsingle"/>
              <w:rPr>
                <w:lang w:val="fi-FI"/>
              </w:rPr>
            </w:pPr>
          </w:p>
        </w:tc>
        <w:tc>
          <w:tcPr>
            <w:tcW w:w="451" w:type="pct"/>
            <w:vMerge/>
            <w:vAlign w:val="center"/>
            <w:hideMark/>
          </w:tcPr>
          <w:p w14:paraId="59EB208F" w14:textId="77777777" w:rsidR="00B045A5" w:rsidRPr="00E43D41" w:rsidRDefault="00B045A5" w:rsidP="00017477">
            <w:pPr>
              <w:pStyle w:val="a-I-EUBodytextsingle"/>
              <w:rPr>
                <w:lang w:val="fi-FI"/>
              </w:rPr>
            </w:pPr>
          </w:p>
        </w:tc>
        <w:tc>
          <w:tcPr>
            <w:tcW w:w="451" w:type="pct"/>
            <w:vMerge/>
            <w:vAlign w:val="center"/>
            <w:hideMark/>
          </w:tcPr>
          <w:p w14:paraId="2C4CF07B" w14:textId="77777777" w:rsidR="00B045A5" w:rsidRPr="00E43D41" w:rsidRDefault="00B045A5" w:rsidP="00017477">
            <w:pPr>
              <w:pStyle w:val="a-I-EUBodytextsingle"/>
              <w:rPr>
                <w:lang w:val="fi-FI"/>
              </w:rPr>
            </w:pPr>
          </w:p>
        </w:tc>
        <w:tc>
          <w:tcPr>
            <w:tcW w:w="451" w:type="pct"/>
            <w:vMerge/>
            <w:vAlign w:val="center"/>
            <w:hideMark/>
          </w:tcPr>
          <w:p w14:paraId="1EB2730E" w14:textId="77777777" w:rsidR="00B045A5" w:rsidRPr="00E43D41" w:rsidRDefault="00B045A5" w:rsidP="00017477">
            <w:pPr>
              <w:pStyle w:val="a-I-EUBodytextsingle"/>
              <w:rPr>
                <w:lang w:val="fi-FI"/>
              </w:rPr>
            </w:pPr>
          </w:p>
        </w:tc>
        <w:tc>
          <w:tcPr>
            <w:tcW w:w="450" w:type="pct"/>
            <w:vMerge/>
            <w:vAlign w:val="center"/>
            <w:hideMark/>
          </w:tcPr>
          <w:p w14:paraId="3EF4A7CB" w14:textId="77777777" w:rsidR="00B045A5" w:rsidRPr="00E43D41" w:rsidRDefault="00B045A5" w:rsidP="00017477">
            <w:pPr>
              <w:pStyle w:val="a-I-EUBodytextsingle"/>
              <w:rPr>
                <w:lang w:val="fi-FI"/>
              </w:rPr>
            </w:pPr>
          </w:p>
        </w:tc>
      </w:tr>
      <w:tr w:rsidR="00B045A5" w:rsidRPr="00E43D41" w14:paraId="39FFAEC3" w14:textId="77777777" w:rsidTr="00017477">
        <w:trPr>
          <w:trHeight w:val="222"/>
        </w:trPr>
        <w:tc>
          <w:tcPr>
            <w:tcW w:w="1393" w:type="pct"/>
            <w:vMerge w:val="restart"/>
            <w:shd w:val="clear" w:color="auto" w:fill="auto"/>
            <w:vAlign w:val="center"/>
            <w:hideMark/>
          </w:tcPr>
          <w:p w14:paraId="0B81676B" w14:textId="77777777" w:rsidR="00B045A5" w:rsidRPr="00E43D41" w:rsidRDefault="00B045A5" w:rsidP="00017477">
            <w:pPr>
              <w:pStyle w:val="a-I-EUBodytextsingle"/>
              <w:rPr>
                <w:lang w:val="fi-FI"/>
              </w:rPr>
            </w:pPr>
            <w:r w:rsidRPr="00E43D41">
              <w:t>Slovenian national instrument for centres of excellence and competence centres</w:t>
            </w:r>
          </w:p>
        </w:tc>
        <w:tc>
          <w:tcPr>
            <w:tcW w:w="451" w:type="pct"/>
            <w:vMerge w:val="restart"/>
            <w:shd w:val="clear" w:color="auto" w:fill="auto"/>
            <w:vAlign w:val="center"/>
            <w:hideMark/>
          </w:tcPr>
          <w:p w14:paraId="7E693428"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2502DCE4"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79E0E221"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34FFAE2"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6E588358"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54B3BF9A"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ECA61DF"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05196336" w14:textId="77777777" w:rsidR="00B045A5" w:rsidRPr="00E43D41" w:rsidRDefault="00B045A5" w:rsidP="00017477">
            <w:pPr>
              <w:pStyle w:val="a-I-EUBodytextsingle"/>
              <w:rPr>
                <w:lang w:val="fi-FI"/>
              </w:rPr>
            </w:pPr>
            <w:r w:rsidRPr="00E43D41">
              <w:t> </w:t>
            </w:r>
          </w:p>
        </w:tc>
      </w:tr>
      <w:tr w:rsidR="00B045A5" w:rsidRPr="00E43D41" w14:paraId="53934B4C" w14:textId="77777777" w:rsidTr="00017477">
        <w:trPr>
          <w:trHeight w:val="217"/>
        </w:trPr>
        <w:tc>
          <w:tcPr>
            <w:tcW w:w="1393" w:type="pct"/>
            <w:vMerge/>
            <w:vAlign w:val="center"/>
            <w:hideMark/>
          </w:tcPr>
          <w:p w14:paraId="20E045C2" w14:textId="77777777" w:rsidR="00B045A5" w:rsidRPr="00E43D41" w:rsidRDefault="00B045A5" w:rsidP="00017477">
            <w:pPr>
              <w:pStyle w:val="a-I-EUBodytextsingle"/>
              <w:rPr>
                <w:lang w:val="fi-FI"/>
              </w:rPr>
            </w:pPr>
          </w:p>
        </w:tc>
        <w:tc>
          <w:tcPr>
            <w:tcW w:w="451" w:type="pct"/>
            <w:vMerge/>
            <w:vAlign w:val="center"/>
            <w:hideMark/>
          </w:tcPr>
          <w:p w14:paraId="56E0F1ED" w14:textId="77777777" w:rsidR="00B045A5" w:rsidRPr="00E43D41" w:rsidRDefault="00B045A5" w:rsidP="00017477">
            <w:pPr>
              <w:pStyle w:val="a-I-EUBodytextsingle"/>
              <w:rPr>
                <w:lang w:val="fi-FI"/>
              </w:rPr>
            </w:pPr>
          </w:p>
        </w:tc>
        <w:tc>
          <w:tcPr>
            <w:tcW w:w="451" w:type="pct"/>
            <w:vMerge/>
            <w:vAlign w:val="center"/>
            <w:hideMark/>
          </w:tcPr>
          <w:p w14:paraId="0EADF1C2" w14:textId="77777777" w:rsidR="00B045A5" w:rsidRPr="00E43D41" w:rsidRDefault="00B045A5" w:rsidP="00017477">
            <w:pPr>
              <w:pStyle w:val="a-I-EUBodytextsingle"/>
              <w:rPr>
                <w:lang w:val="fi-FI"/>
              </w:rPr>
            </w:pPr>
          </w:p>
        </w:tc>
        <w:tc>
          <w:tcPr>
            <w:tcW w:w="451" w:type="pct"/>
            <w:vMerge/>
            <w:vAlign w:val="center"/>
            <w:hideMark/>
          </w:tcPr>
          <w:p w14:paraId="42205F17" w14:textId="77777777" w:rsidR="00B045A5" w:rsidRPr="00E43D41" w:rsidRDefault="00B045A5" w:rsidP="00017477">
            <w:pPr>
              <w:pStyle w:val="a-I-EUBodytextsingle"/>
              <w:rPr>
                <w:lang w:val="fi-FI"/>
              </w:rPr>
            </w:pPr>
          </w:p>
        </w:tc>
        <w:tc>
          <w:tcPr>
            <w:tcW w:w="451" w:type="pct"/>
            <w:vMerge/>
            <w:vAlign w:val="center"/>
            <w:hideMark/>
          </w:tcPr>
          <w:p w14:paraId="6EECD75C" w14:textId="77777777" w:rsidR="00B045A5" w:rsidRPr="00E43D41" w:rsidRDefault="00B045A5" w:rsidP="00017477">
            <w:pPr>
              <w:pStyle w:val="a-I-EUBodytextsingle"/>
              <w:rPr>
                <w:lang w:val="fi-FI"/>
              </w:rPr>
            </w:pPr>
          </w:p>
        </w:tc>
        <w:tc>
          <w:tcPr>
            <w:tcW w:w="451" w:type="pct"/>
            <w:vMerge/>
            <w:vAlign w:val="center"/>
            <w:hideMark/>
          </w:tcPr>
          <w:p w14:paraId="0F0ED4BE" w14:textId="77777777" w:rsidR="00B045A5" w:rsidRPr="00E43D41" w:rsidRDefault="00B045A5" w:rsidP="00017477">
            <w:pPr>
              <w:pStyle w:val="a-I-EUBodytextsingle"/>
              <w:rPr>
                <w:lang w:val="fi-FI"/>
              </w:rPr>
            </w:pPr>
          </w:p>
        </w:tc>
        <w:tc>
          <w:tcPr>
            <w:tcW w:w="451" w:type="pct"/>
            <w:vMerge/>
            <w:vAlign w:val="center"/>
            <w:hideMark/>
          </w:tcPr>
          <w:p w14:paraId="47043B4A" w14:textId="77777777" w:rsidR="00B045A5" w:rsidRPr="00E43D41" w:rsidRDefault="00B045A5" w:rsidP="00017477">
            <w:pPr>
              <w:pStyle w:val="a-I-EUBodytextsingle"/>
              <w:rPr>
                <w:lang w:val="fi-FI"/>
              </w:rPr>
            </w:pPr>
          </w:p>
        </w:tc>
        <w:tc>
          <w:tcPr>
            <w:tcW w:w="451" w:type="pct"/>
            <w:vMerge/>
            <w:vAlign w:val="center"/>
            <w:hideMark/>
          </w:tcPr>
          <w:p w14:paraId="08635D8D" w14:textId="77777777" w:rsidR="00B045A5" w:rsidRPr="00E43D41" w:rsidRDefault="00B045A5" w:rsidP="00017477">
            <w:pPr>
              <w:pStyle w:val="a-I-EUBodytextsingle"/>
              <w:rPr>
                <w:lang w:val="fi-FI"/>
              </w:rPr>
            </w:pPr>
          </w:p>
        </w:tc>
        <w:tc>
          <w:tcPr>
            <w:tcW w:w="450" w:type="pct"/>
            <w:vMerge/>
            <w:vAlign w:val="center"/>
            <w:hideMark/>
          </w:tcPr>
          <w:p w14:paraId="6708B1A1" w14:textId="77777777" w:rsidR="00B045A5" w:rsidRPr="00E43D41" w:rsidRDefault="00B045A5" w:rsidP="00017477">
            <w:pPr>
              <w:pStyle w:val="a-I-EUBodytextsingle"/>
              <w:rPr>
                <w:lang w:val="fi-FI"/>
              </w:rPr>
            </w:pPr>
          </w:p>
        </w:tc>
      </w:tr>
      <w:tr w:rsidR="00B045A5" w:rsidRPr="00E43D41" w14:paraId="576F60C4" w14:textId="77777777" w:rsidTr="00017477">
        <w:tc>
          <w:tcPr>
            <w:tcW w:w="1393" w:type="pct"/>
            <w:shd w:val="clear" w:color="auto" w:fill="auto"/>
            <w:vAlign w:val="center"/>
            <w:hideMark/>
          </w:tcPr>
          <w:p w14:paraId="54BC8C55" w14:textId="77777777" w:rsidR="00B045A5" w:rsidRPr="00E43D41" w:rsidRDefault="00B045A5" w:rsidP="00017477">
            <w:pPr>
              <w:pStyle w:val="a-I-EUBodytextsingle"/>
              <w:rPr>
                <w:lang w:val="fi-FI"/>
              </w:rPr>
            </w:pPr>
            <w:r w:rsidRPr="00E43D41">
              <w:t>Kantola Industrial Estate and Woodpolis</w:t>
            </w:r>
          </w:p>
        </w:tc>
        <w:tc>
          <w:tcPr>
            <w:tcW w:w="451" w:type="pct"/>
            <w:shd w:val="clear" w:color="auto" w:fill="auto"/>
            <w:vAlign w:val="center"/>
            <w:hideMark/>
          </w:tcPr>
          <w:p w14:paraId="60607E08"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70CFDAFC"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7110ECD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15A87D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91907B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049A01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38F7D9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22D16DD6" w14:textId="77777777" w:rsidR="00B045A5" w:rsidRPr="00E43D41" w:rsidRDefault="00B045A5" w:rsidP="00017477">
            <w:pPr>
              <w:pStyle w:val="a-I-EUBodytextsingle"/>
              <w:rPr>
                <w:lang w:val="fi-FI"/>
              </w:rPr>
            </w:pPr>
            <w:r w:rsidRPr="00E43D41">
              <w:t> </w:t>
            </w:r>
          </w:p>
        </w:tc>
      </w:tr>
      <w:tr w:rsidR="00B045A5" w:rsidRPr="00E43D41" w14:paraId="2123F9F6" w14:textId="77777777" w:rsidTr="00017477">
        <w:tc>
          <w:tcPr>
            <w:tcW w:w="1393" w:type="pct"/>
            <w:shd w:val="clear" w:color="auto" w:fill="auto"/>
            <w:vAlign w:val="center"/>
            <w:hideMark/>
          </w:tcPr>
          <w:p w14:paraId="66E0179E" w14:textId="77777777" w:rsidR="00B045A5" w:rsidRPr="00E43D41" w:rsidRDefault="00B045A5" w:rsidP="00017477">
            <w:pPr>
              <w:pStyle w:val="a-I-EUBodytextsingle"/>
              <w:rPr>
                <w:lang w:val="fi-FI"/>
              </w:rPr>
            </w:pPr>
            <w:r w:rsidRPr="00E43D41">
              <w:t>Centre for Measurement and Information Systems</w:t>
            </w:r>
          </w:p>
        </w:tc>
        <w:tc>
          <w:tcPr>
            <w:tcW w:w="451" w:type="pct"/>
            <w:shd w:val="clear" w:color="auto" w:fill="auto"/>
            <w:vAlign w:val="center"/>
            <w:hideMark/>
          </w:tcPr>
          <w:p w14:paraId="3DF6EF20"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4540799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5855CF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84C31AA"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E1A40F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03B277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865AAA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5F502839" w14:textId="77777777" w:rsidR="00B045A5" w:rsidRPr="00E43D41" w:rsidRDefault="00B045A5" w:rsidP="00017477">
            <w:pPr>
              <w:pStyle w:val="a-I-EUBodytextsingle"/>
              <w:rPr>
                <w:lang w:val="fi-FI"/>
              </w:rPr>
            </w:pPr>
            <w:r w:rsidRPr="00E43D41">
              <w:t> </w:t>
            </w:r>
          </w:p>
        </w:tc>
      </w:tr>
      <w:tr w:rsidR="00B045A5" w:rsidRPr="00E43D41" w14:paraId="7DEF705B" w14:textId="77777777" w:rsidTr="00017477">
        <w:trPr>
          <w:trHeight w:val="217"/>
        </w:trPr>
        <w:tc>
          <w:tcPr>
            <w:tcW w:w="1393" w:type="pct"/>
            <w:vMerge w:val="restart"/>
            <w:shd w:val="clear" w:color="auto" w:fill="auto"/>
            <w:vAlign w:val="center"/>
            <w:hideMark/>
          </w:tcPr>
          <w:p w14:paraId="7C391161" w14:textId="77777777" w:rsidR="00B045A5" w:rsidRPr="00E43D41" w:rsidRDefault="00B045A5" w:rsidP="00017477">
            <w:pPr>
              <w:pStyle w:val="a-I-EUBodytextsingle"/>
              <w:rPr>
                <w:lang w:val="fi-FI"/>
              </w:rPr>
            </w:pPr>
            <w:r w:rsidRPr="00E43D41">
              <w:t>Large research infrastructure services for SMEs (Science Link &amp; Baltic TRAM projects)</w:t>
            </w:r>
          </w:p>
        </w:tc>
        <w:tc>
          <w:tcPr>
            <w:tcW w:w="451" w:type="pct"/>
            <w:vMerge w:val="restart"/>
            <w:shd w:val="clear" w:color="auto" w:fill="auto"/>
            <w:vAlign w:val="center"/>
            <w:hideMark/>
          </w:tcPr>
          <w:p w14:paraId="345CAD3A"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626E4EA1"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3CCB580C"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5FFD8ADE"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1CC53D91"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55D7B220"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ED95648"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02CFEE23" w14:textId="77777777" w:rsidR="00B045A5" w:rsidRPr="00E43D41" w:rsidRDefault="00B045A5" w:rsidP="00017477">
            <w:pPr>
              <w:pStyle w:val="a-I-EUBodytextsingle"/>
              <w:rPr>
                <w:lang w:val="fi-FI"/>
              </w:rPr>
            </w:pPr>
            <w:r w:rsidRPr="00E43D41">
              <w:t> </w:t>
            </w:r>
          </w:p>
        </w:tc>
      </w:tr>
      <w:tr w:rsidR="00B045A5" w:rsidRPr="00E43D41" w14:paraId="587E4671" w14:textId="77777777" w:rsidTr="00017477">
        <w:trPr>
          <w:trHeight w:val="217"/>
        </w:trPr>
        <w:tc>
          <w:tcPr>
            <w:tcW w:w="1393" w:type="pct"/>
            <w:vMerge/>
            <w:vAlign w:val="center"/>
            <w:hideMark/>
          </w:tcPr>
          <w:p w14:paraId="65B64360" w14:textId="77777777" w:rsidR="00B045A5" w:rsidRPr="00E43D41" w:rsidRDefault="00B045A5" w:rsidP="00017477">
            <w:pPr>
              <w:pStyle w:val="a-I-EUBodytextsingle"/>
              <w:rPr>
                <w:lang w:val="fi-FI"/>
              </w:rPr>
            </w:pPr>
          </w:p>
        </w:tc>
        <w:tc>
          <w:tcPr>
            <w:tcW w:w="451" w:type="pct"/>
            <w:vMerge/>
            <w:vAlign w:val="center"/>
            <w:hideMark/>
          </w:tcPr>
          <w:p w14:paraId="1C43B56F" w14:textId="77777777" w:rsidR="00B045A5" w:rsidRPr="00E43D41" w:rsidRDefault="00B045A5" w:rsidP="00017477">
            <w:pPr>
              <w:pStyle w:val="a-I-EUBodytextsingle"/>
              <w:rPr>
                <w:lang w:val="fi-FI"/>
              </w:rPr>
            </w:pPr>
          </w:p>
        </w:tc>
        <w:tc>
          <w:tcPr>
            <w:tcW w:w="451" w:type="pct"/>
            <w:vMerge/>
            <w:vAlign w:val="center"/>
            <w:hideMark/>
          </w:tcPr>
          <w:p w14:paraId="6C942AF4" w14:textId="77777777" w:rsidR="00B045A5" w:rsidRPr="00E43D41" w:rsidRDefault="00B045A5" w:rsidP="00017477">
            <w:pPr>
              <w:pStyle w:val="a-I-EUBodytextsingle"/>
              <w:rPr>
                <w:lang w:val="fi-FI"/>
              </w:rPr>
            </w:pPr>
          </w:p>
        </w:tc>
        <w:tc>
          <w:tcPr>
            <w:tcW w:w="451" w:type="pct"/>
            <w:vMerge/>
            <w:vAlign w:val="center"/>
            <w:hideMark/>
          </w:tcPr>
          <w:p w14:paraId="0B40C55C" w14:textId="77777777" w:rsidR="00B045A5" w:rsidRPr="00E43D41" w:rsidRDefault="00B045A5" w:rsidP="00017477">
            <w:pPr>
              <w:pStyle w:val="a-I-EUBodytextsingle"/>
              <w:rPr>
                <w:lang w:val="fi-FI"/>
              </w:rPr>
            </w:pPr>
          </w:p>
        </w:tc>
        <w:tc>
          <w:tcPr>
            <w:tcW w:w="451" w:type="pct"/>
            <w:vMerge/>
            <w:vAlign w:val="center"/>
            <w:hideMark/>
          </w:tcPr>
          <w:p w14:paraId="4EE0117E" w14:textId="77777777" w:rsidR="00B045A5" w:rsidRPr="00E43D41" w:rsidRDefault="00B045A5" w:rsidP="00017477">
            <w:pPr>
              <w:pStyle w:val="a-I-EUBodytextsingle"/>
              <w:rPr>
                <w:lang w:val="fi-FI"/>
              </w:rPr>
            </w:pPr>
          </w:p>
        </w:tc>
        <w:tc>
          <w:tcPr>
            <w:tcW w:w="451" w:type="pct"/>
            <w:vMerge/>
            <w:vAlign w:val="center"/>
            <w:hideMark/>
          </w:tcPr>
          <w:p w14:paraId="050BFC06" w14:textId="77777777" w:rsidR="00B045A5" w:rsidRPr="00E43D41" w:rsidRDefault="00B045A5" w:rsidP="00017477">
            <w:pPr>
              <w:pStyle w:val="a-I-EUBodytextsingle"/>
              <w:rPr>
                <w:lang w:val="fi-FI"/>
              </w:rPr>
            </w:pPr>
          </w:p>
        </w:tc>
        <w:tc>
          <w:tcPr>
            <w:tcW w:w="451" w:type="pct"/>
            <w:vMerge/>
            <w:vAlign w:val="center"/>
            <w:hideMark/>
          </w:tcPr>
          <w:p w14:paraId="37D01F36" w14:textId="77777777" w:rsidR="00B045A5" w:rsidRPr="00E43D41" w:rsidRDefault="00B045A5" w:rsidP="00017477">
            <w:pPr>
              <w:pStyle w:val="a-I-EUBodytextsingle"/>
              <w:rPr>
                <w:lang w:val="fi-FI"/>
              </w:rPr>
            </w:pPr>
          </w:p>
        </w:tc>
        <w:tc>
          <w:tcPr>
            <w:tcW w:w="451" w:type="pct"/>
            <w:vMerge/>
            <w:vAlign w:val="center"/>
            <w:hideMark/>
          </w:tcPr>
          <w:p w14:paraId="464A3AD3" w14:textId="77777777" w:rsidR="00B045A5" w:rsidRPr="00E43D41" w:rsidRDefault="00B045A5" w:rsidP="00017477">
            <w:pPr>
              <w:pStyle w:val="a-I-EUBodytextsingle"/>
              <w:rPr>
                <w:lang w:val="fi-FI"/>
              </w:rPr>
            </w:pPr>
          </w:p>
        </w:tc>
        <w:tc>
          <w:tcPr>
            <w:tcW w:w="450" w:type="pct"/>
            <w:vMerge/>
            <w:vAlign w:val="center"/>
            <w:hideMark/>
          </w:tcPr>
          <w:p w14:paraId="28BF932F" w14:textId="77777777" w:rsidR="00B045A5" w:rsidRPr="00E43D41" w:rsidRDefault="00B045A5" w:rsidP="00017477">
            <w:pPr>
              <w:pStyle w:val="a-I-EUBodytextsingle"/>
              <w:rPr>
                <w:lang w:val="fi-FI"/>
              </w:rPr>
            </w:pPr>
          </w:p>
        </w:tc>
      </w:tr>
      <w:tr w:rsidR="00B045A5" w:rsidRPr="00E43D41" w14:paraId="35CB2A71" w14:textId="77777777" w:rsidTr="00017477">
        <w:tc>
          <w:tcPr>
            <w:tcW w:w="1393" w:type="pct"/>
            <w:shd w:val="clear" w:color="auto" w:fill="auto"/>
            <w:vAlign w:val="center"/>
            <w:hideMark/>
          </w:tcPr>
          <w:p w14:paraId="7F614B1E" w14:textId="77777777" w:rsidR="00B045A5" w:rsidRPr="00E43D41" w:rsidRDefault="00B045A5" w:rsidP="00017477">
            <w:pPr>
              <w:pStyle w:val="a-I-EUBodytextsingle"/>
              <w:rPr>
                <w:lang w:val="fi-FI"/>
              </w:rPr>
            </w:pPr>
            <w:r w:rsidRPr="00E43D41">
              <w:t>Online precise irrigation scheduling / OpIris</w:t>
            </w:r>
          </w:p>
        </w:tc>
        <w:tc>
          <w:tcPr>
            <w:tcW w:w="451" w:type="pct"/>
            <w:shd w:val="clear" w:color="auto" w:fill="auto"/>
            <w:vAlign w:val="center"/>
            <w:hideMark/>
          </w:tcPr>
          <w:p w14:paraId="528BB79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50EA85E"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2E5E04CD"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7EB007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D7DC6D2"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D414E3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D626B58"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73BD073A" w14:textId="77777777" w:rsidR="00B045A5" w:rsidRPr="00E43D41" w:rsidRDefault="00B045A5" w:rsidP="00017477">
            <w:pPr>
              <w:pStyle w:val="a-I-EUBodytextsingle"/>
              <w:rPr>
                <w:lang w:val="fi-FI"/>
              </w:rPr>
            </w:pPr>
            <w:r w:rsidRPr="00E43D41">
              <w:t> </w:t>
            </w:r>
          </w:p>
        </w:tc>
      </w:tr>
      <w:tr w:rsidR="00B045A5" w:rsidRPr="00E43D41" w14:paraId="0EA8CF63" w14:textId="77777777" w:rsidTr="00017477">
        <w:tc>
          <w:tcPr>
            <w:tcW w:w="1393" w:type="pct"/>
            <w:shd w:val="clear" w:color="auto" w:fill="auto"/>
            <w:vAlign w:val="center"/>
            <w:hideMark/>
          </w:tcPr>
          <w:p w14:paraId="4E27F9F5" w14:textId="77777777" w:rsidR="00B045A5" w:rsidRPr="00E43D41" w:rsidRDefault="00B045A5" w:rsidP="00017477">
            <w:pPr>
              <w:pStyle w:val="a-I-EUBodytextsingle"/>
              <w:rPr>
                <w:lang w:val="fi-FI"/>
              </w:rPr>
            </w:pPr>
            <w:r w:rsidRPr="00E43D41">
              <w:t>Amsterdam Institute for Advanced Metropolitan Solutions (AMS)</w:t>
            </w:r>
          </w:p>
        </w:tc>
        <w:tc>
          <w:tcPr>
            <w:tcW w:w="451" w:type="pct"/>
            <w:shd w:val="clear" w:color="auto" w:fill="auto"/>
            <w:vAlign w:val="center"/>
            <w:hideMark/>
          </w:tcPr>
          <w:p w14:paraId="6EACFBBA"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7D41F29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604C44D"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FEBAD6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F67B2F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84A6FB2"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AABED22"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10B519BB" w14:textId="77777777" w:rsidR="00B045A5" w:rsidRPr="00E43D41" w:rsidRDefault="00B045A5" w:rsidP="00017477">
            <w:pPr>
              <w:pStyle w:val="a-I-EUBodytextsingle"/>
              <w:rPr>
                <w:lang w:val="fi-FI"/>
              </w:rPr>
            </w:pPr>
            <w:r w:rsidRPr="00E43D41">
              <w:t>1</w:t>
            </w:r>
          </w:p>
        </w:tc>
      </w:tr>
      <w:tr w:rsidR="00B045A5" w:rsidRPr="00E43D41" w14:paraId="3B26E7B8" w14:textId="77777777" w:rsidTr="00017477">
        <w:tc>
          <w:tcPr>
            <w:tcW w:w="1393" w:type="pct"/>
            <w:shd w:val="clear" w:color="auto" w:fill="auto"/>
            <w:vAlign w:val="center"/>
            <w:hideMark/>
          </w:tcPr>
          <w:p w14:paraId="7D28C222" w14:textId="77777777" w:rsidR="00B045A5" w:rsidRPr="00E43D41" w:rsidRDefault="00B045A5" w:rsidP="00017477">
            <w:pPr>
              <w:pStyle w:val="a-I-EUBodytextsingle"/>
              <w:rPr>
                <w:lang w:val="fi-FI"/>
              </w:rPr>
            </w:pPr>
            <w:r w:rsidRPr="00E43D41">
              <w:t>Sustainable Urban Models Toolkit / SUMO Toolkit</w:t>
            </w:r>
          </w:p>
        </w:tc>
        <w:tc>
          <w:tcPr>
            <w:tcW w:w="451" w:type="pct"/>
            <w:shd w:val="clear" w:color="auto" w:fill="auto"/>
            <w:vAlign w:val="center"/>
            <w:hideMark/>
          </w:tcPr>
          <w:p w14:paraId="1FAC82E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8265E7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301C0F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55461C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137E2E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808F9C3"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B625DB8"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67B2384E" w14:textId="77777777" w:rsidR="00B045A5" w:rsidRPr="00E43D41" w:rsidRDefault="00B045A5" w:rsidP="00017477">
            <w:pPr>
              <w:pStyle w:val="a-I-EUBodytextsingle"/>
              <w:rPr>
                <w:lang w:val="fi-FI"/>
              </w:rPr>
            </w:pPr>
            <w:r w:rsidRPr="00E43D41">
              <w:t>1</w:t>
            </w:r>
          </w:p>
        </w:tc>
      </w:tr>
      <w:tr w:rsidR="00B045A5" w:rsidRPr="00E43D41" w14:paraId="4900010F" w14:textId="77777777" w:rsidTr="00017477">
        <w:tc>
          <w:tcPr>
            <w:tcW w:w="1393" w:type="pct"/>
            <w:shd w:val="clear" w:color="auto" w:fill="auto"/>
            <w:vAlign w:val="center"/>
            <w:hideMark/>
          </w:tcPr>
          <w:p w14:paraId="5E946073" w14:textId="77777777" w:rsidR="00B045A5" w:rsidRPr="00E43D41" w:rsidRDefault="00B045A5" w:rsidP="00017477">
            <w:pPr>
              <w:pStyle w:val="a-I-EUBodytextsingle"/>
              <w:rPr>
                <w:lang w:val="fi-FI"/>
              </w:rPr>
            </w:pPr>
            <w:r w:rsidRPr="00E43D41">
              <w:t>Saffronomics</w:t>
            </w:r>
          </w:p>
        </w:tc>
        <w:tc>
          <w:tcPr>
            <w:tcW w:w="451" w:type="pct"/>
            <w:shd w:val="clear" w:color="auto" w:fill="auto"/>
            <w:vAlign w:val="center"/>
            <w:hideMark/>
          </w:tcPr>
          <w:p w14:paraId="7D44F71D"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9C8FD7C"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0EB151E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39F7B7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8510DDA"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88D3AD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D161681"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736A1DA4" w14:textId="77777777" w:rsidR="00B045A5" w:rsidRPr="00E43D41" w:rsidRDefault="00B045A5" w:rsidP="00017477">
            <w:pPr>
              <w:pStyle w:val="a-I-EUBodytextsingle"/>
              <w:rPr>
                <w:lang w:val="fi-FI"/>
              </w:rPr>
            </w:pPr>
            <w:r w:rsidRPr="00E43D41">
              <w:t> </w:t>
            </w:r>
          </w:p>
        </w:tc>
      </w:tr>
      <w:tr w:rsidR="00B045A5" w:rsidRPr="00E43D41" w14:paraId="7A06F070" w14:textId="77777777" w:rsidTr="00017477">
        <w:tc>
          <w:tcPr>
            <w:tcW w:w="1393" w:type="pct"/>
            <w:shd w:val="clear" w:color="auto" w:fill="auto"/>
            <w:vAlign w:val="center"/>
            <w:hideMark/>
          </w:tcPr>
          <w:p w14:paraId="20356641" w14:textId="77777777" w:rsidR="00B045A5" w:rsidRPr="00E43D41" w:rsidRDefault="00B045A5" w:rsidP="00017477">
            <w:pPr>
              <w:pStyle w:val="a-I-EUBodytextsingle"/>
              <w:rPr>
                <w:lang w:val="fi-FI"/>
              </w:rPr>
            </w:pPr>
            <w:r w:rsidRPr="00E43D41">
              <w:t>STEINBEIS NETWORK</w:t>
            </w:r>
          </w:p>
        </w:tc>
        <w:tc>
          <w:tcPr>
            <w:tcW w:w="451" w:type="pct"/>
            <w:shd w:val="clear" w:color="auto" w:fill="auto"/>
            <w:vAlign w:val="center"/>
            <w:hideMark/>
          </w:tcPr>
          <w:p w14:paraId="3BA0A23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C7C8A60"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70D54FA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25D9E2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C88E19D"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4A43F44A"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BFF93D3"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06D6D06F" w14:textId="77777777" w:rsidR="00B045A5" w:rsidRPr="00E43D41" w:rsidRDefault="00B045A5" w:rsidP="00017477">
            <w:pPr>
              <w:pStyle w:val="a-I-EUBodytextsingle"/>
              <w:rPr>
                <w:lang w:val="fi-FI"/>
              </w:rPr>
            </w:pPr>
            <w:r w:rsidRPr="00E43D41">
              <w:t>1</w:t>
            </w:r>
          </w:p>
        </w:tc>
      </w:tr>
      <w:tr w:rsidR="00B045A5" w:rsidRPr="00E43D41" w14:paraId="0CA8B488" w14:textId="77777777" w:rsidTr="00017477">
        <w:tc>
          <w:tcPr>
            <w:tcW w:w="1393" w:type="pct"/>
            <w:shd w:val="clear" w:color="auto" w:fill="auto"/>
            <w:vAlign w:val="center"/>
            <w:hideMark/>
          </w:tcPr>
          <w:p w14:paraId="7742E8C7" w14:textId="77777777" w:rsidR="00B045A5" w:rsidRPr="00E43D41" w:rsidRDefault="00B045A5" w:rsidP="00017477">
            <w:pPr>
              <w:pStyle w:val="a-I-EUBodytextsingle"/>
              <w:rPr>
                <w:lang w:val="fi-FI"/>
              </w:rPr>
            </w:pPr>
            <w:r w:rsidRPr="00E43D41">
              <w:t>SCALE UP DENMARK</w:t>
            </w:r>
          </w:p>
        </w:tc>
        <w:tc>
          <w:tcPr>
            <w:tcW w:w="451" w:type="pct"/>
            <w:shd w:val="clear" w:color="auto" w:fill="auto"/>
            <w:vAlign w:val="center"/>
            <w:hideMark/>
          </w:tcPr>
          <w:p w14:paraId="5CE9104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4235D78"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0BC5BC5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BD6C68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98BAF2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ECAE07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8119CF5"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26BF1C2D" w14:textId="77777777" w:rsidR="00B045A5" w:rsidRPr="00E43D41" w:rsidRDefault="00B045A5" w:rsidP="00017477">
            <w:pPr>
              <w:pStyle w:val="a-I-EUBodytextsingle"/>
              <w:rPr>
                <w:lang w:val="fi-FI"/>
              </w:rPr>
            </w:pPr>
            <w:r w:rsidRPr="00E43D41">
              <w:t>1</w:t>
            </w:r>
          </w:p>
        </w:tc>
      </w:tr>
      <w:tr w:rsidR="00B045A5" w:rsidRPr="00E43D41" w14:paraId="0BAF67FC" w14:textId="77777777" w:rsidTr="00017477">
        <w:tc>
          <w:tcPr>
            <w:tcW w:w="1393" w:type="pct"/>
            <w:shd w:val="clear" w:color="auto" w:fill="auto"/>
            <w:vAlign w:val="center"/>
            <w:hideMark/>
          </w:tcPr>
          <w:p w14:paraId="3F227224" w14:textId="77777777" w:rsidR="00B045A5" w:rsidRPr="00E43D41" w:rsidRDefault="00B045A5" w:rsidP="00017477">
            <w:pPr>
              <w:pStyle w:val="a-I-EUBodytextsingle"/>
              <w:rPr>
                <w:lang w:val="fi-FI"/>
              </w:rPr>
            </w:pPr>
            <w:r w:rsidRPr="00E43D41">
              <w:t>Bank of patents</w:t>
            </w:r>
          </w:p>
        </w:tc>
        <w:tc>
          <w:tcPr>
            <w:tcW w:w="451" w:type="pct"/>
            <w:shd w:val="clear" w:color="auto" w:fill="auto"/>
            <w:vAlign w:val="center"/>
            <w:hideMark/>
          </w:tcPr>
          <w:p w14:paraId="2781936A"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1011629" w14:textId="77777777" w:rsidR="00B045A5" w:rsidRPr="00E43D41" w:rsidRDefault="00B045A5" w:rsidP="00017477">
            <w:pPr>
              <w:pStyle w:val="a-I-EUBodytextsingle"/>
              <w:rPr>
                <w:lang w:val="fi-FI"/>
              </w:rPr>
            </w:pPr>
            <w:r w:rsidRPr="00E43D41">
              <w:t> </w:t>
            </w:r>
            <w:r>
              <w:t>1</w:t>
            </w:r>
          </w:p>
        </w:tc>
        <w:tc>
          <w:tcPr>
            <w:tcW w:w="451" w:type="pct"/>
            <w:shd w:val="clear" w:color="auto" w:fill="auto"/>
            <w:vAlign w:val="center"/>
            <w:hideMark/>
          </w:tcPr>
          <w:p w14:paraId="11BBF5C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2D035F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8B450A7" w14:textId="77777777" w:rsidR="00B045A5" w:rsidRPr="00E43D41" w:rsidRDefault="00B045A5" w:rsidP="00017477">
            <w:pPr>
              <w:pStyle w:val="a-I-EUBodytextsingle"/>
              <w:rPr>
                <w:lang w:val="fi-FI"/>
              </w:rPr>
            </w:pPr>
            <w:r>
              <w:t>1</w:t>
            </w:r>
            <w:r w:rsidRPr="00E43D41">
              <w:t> </w:t>
            </w:r>
          </w:p>
        </w:tc>
        <w:tc>
          <w:tcPr>
            <w:tcW w:w="451" w:type="pct"/>
            <w:shd w:val="clear" w:color="auto" w:fill="auto"/>
            <w:vAlign w:val="center"/>
            <w:hideMark/>
          </w:tcPr>
          <w:p w14:paraId="7886E86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A8F0ADD"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0CA0B0E8" w14:textId="77777777" w:rsidR="00B045A5" w:rsidRPr="00E43D41" w:rsidRDefault="00B045A5" w:rsidP="00017477">
            <w:pPr>
              <w:pStyle w:val="a-I-EUBodytextsingle"/>
              <w:rPr>
                <w:lang w:val="fi-FI"/>
              </w:rPr>
            </w:pPr>
            <w:r w:rsidRPr="00E43D41">
              <w:t> </w:t>
            </w:r>
          </w:p>
        </w:tc>
      </w:tr>
      <w:tr w:rsidR="00B045A5" w:rsidRPr="00E43D41" w14:paraId="2AFA071D" w14:textId="77777777" w:rsidTr="00017477">
        <w:trPr>
          <w:trHeight w:val="217"/>
        </w:trPr>
        <w:tc>
          <w:tcPr>
            <w:tcW w:w="1393" w:type="pct"/>
            <w:vMerge w:val="restart"/>
            <w:shd w:val="clear" w:color="auto" w:fill="auto"/>
            <w:vAlign w:val="center"/>
            <w:hideMark/>
          </w:tcPr>
          <w:p w14:paraId="6334EEC2" w14:textId="77777777" w:rsidR="00B045A5" w:rsidRPr="00E43D41" w:rsidRDefault="00B045A5" w:rsidP="00017477">
            <w:pPr>
              <w:pStyle w:val="a-I-EUBodytextsingle"/>
              <w:rPr>
                <w:lang w:val="fi-FI"/>
              </w:rPr>
            </w:pPr>
            <w:r w:rsidRPr="00E43D41">
              <w:t>Unit of Measurement Technology (MITY) - University of Oulu, as regional specilisation infrastructure</w:t>
            </w:r>
          </w:p>
        </w:tc>
        <w:tc>
          <w:tcPr>
            <w:tcW w:w="451" w:type="pct"/>
            <w:vMerge w:val="restart"/>
            <w:shd w:val="clear" w:color="auto" w:fill="auto"/>
            <w:vAlign w:val="center"/>
            <w:hideMark/>
          </w:tcPr>
          <w:p w14:paraId="00B87BDF"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4074C2FF"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5A699830"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20004FCB"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701D6DE"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2C9CDE5D"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190B55DA"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62E94B48" w14:textId="77777777" w:rsidR="00B045A5" w:rsidRPr="00E43D41" w:rsidRDefault="00B045A5" w:rsidP="00017477">
            <w:pPr>
              <w:pStyle w:val="a-I-EUBodytextsingle"/>
              <w:rPr>
                <w:lang w:val="fi-FI"/>
              </w:rPr>
            </w:pPr>
            <w:r w:rsidRPr="00E43D41">
              <w:t> </w:t>
            </w:r>
          </w:p>
        </w:tc>
      </w:tr>
      <w:tr w:rsidR="00B045A5" w:rsidRPr="00E43D41" w14:paraId="06513CD9" w14:textId="77777777" w:rsidTr="00017477">
        <w:trPr>
          <w:trHeight w:val="217"/>
        </w:trPr>
        <w:tc>
          <w:tcPr>
            <w:tcW w:w="1393" w:type="pct"/>
            <w:vMerge/>
            <w:vAlign w:val="center"/>
            <w:hideMark/>
          </w:tcPr>
          <w:p w14:paraId="54EFA3F9" w14:textId="77777777" w:rsidR="00B045A5" w:rsidRPr="00E43D41" w:rsidRDefault="00B045A5" w:rsidP="00017477">
            <w:pPr>
              <w:pStyle w:val="a-I-EUBodytextsingle"/>
              <w:rPr>
                <w:lang w:val="fi-FI"/>
              </w:rPr>
            </w:pPr>
          </w:p>
        </w:tc>
        <w:tc>
          <w:tcPr>
            <w:tcW w:w="451" w:type="pct"/>
            <w:vMerge/>
            <w:vAlign w:val="center"/>
            <w:hideMark/>
          </w:tcPr>
          <w:p w14:paraId="08726964" w14:textId="77777777" w:rsidR="00B045A5" w:rsidRPr="00E43D41" w:rsidRDefault="00B045A5" w:rsidP="00017477">
            <w:pPr>
              <w:pStyle w:val="a-I-EUBodytextsingle"/>
              <w:rPr>
                <w:lang w:val="fi-FI"/>
              </w:rPr>
            </w:pPr>
          </w:p>
        </w:tc>
        <w:tc>
          <w:tcPr>
            <w:tcW w:w="451" w:type="pct"/>
            <w:vMerge/>
            <w:vAlign w:val="center"/>
            <w:hideMark/>
          </w:tcPr>
          <w:p w14:paraId="2841E451" w14:textId="77777777" w:rsidR="00B045A5" w:rsidRPr="00E43D41" w:rsidRDefault="00B045A5" w:rsidP="00017477">
            <w:pPr>
              <w:pStyle w:val="a-I-EUBodytextsingle"/>
              <w:rPr>
                <w:lang w:val="fi-FI"/>
              </w:rPr>
            </w:pPr>
          </w:p>
        </w:tc>
        <w:tc>
          <w:tcPr>
            <w:tcW w:w="451" w:type="pct"/>
            <w:vMerge/>
            <w:vAlign w:val="center"/>
            <w:hideMark/>
          </w:tcPr>
          <w:p w14:paraId="02E0B9BE" w14:textId="77777777" w:rsidR="00B045A5" w:rsidRPr="00E43D41" w:rsidRDefault="00B045A5" w:rsidP="00017477">
            <w:pPr>
              <w:pStyle w:val="a-I-EUBodytextsingle"/>
              <w:rPr>
                <w:lang w:val="fi-FI"/>
              </w:rPr>
            </w:pPr>
          </w:p>
        </w:tc>
        <w:tc>
          <w:tcPr>
            <w:tcW w:w="451" w:type="pct"/>
            <w:vMerge/>
            <w:vAlign w:val="center"/>
            <w:hideMark/>
          </w:tcPr>
          <w:p w14:paraId="024257FD" w14:textId="77777777" w:rsidR="00B045A5" w:rsidRPr="00E43D41" w:rsidRDefault="00B045A5" w:rsidP="00017477">
            <w:pPr>
              <w:pStyle w:val="a-I-EUBodytextsingle"/>
              <w:rPr>
                <w:lang w:val="fi-FI"/>
              </w:rPr>
            </w:pPr>
          </w:p>
        </w:tc>
        <w:tc>
          <w:tcPr>
            <w:tcW w:w="451" w:type="pct"/>
            <w:vMerge/>
            <w:vAlign w:val="center"/>
            <w:hideMark/>
          </w:tcPr>
          <w:p w14:paraId="46362D99" w14:textId="77777777" w:rsidR="00B045A5" w:rsidRPr="00E43D41" w:rsidRDefault="00B045A5" w:rsidP="00017477">
            <w:pPr>
              <w:pStyle w:val="a-I-EUBodytextsingle"/>
              <w:rPr>
                <w:lang w:val="fi-FI"/>
              </w:rPr>
            </w:pPr>
          </w:p>
        </w:tc>
        <w:tc>
          <w:tcPr>
            <w:tcW w:w="451" w:type="pct"/>
            <w:vMerge/>
            <w:vAlign w:val="center"/>
            <w:hideMark/>
          </w:tcPr>
          <w:p w14:paraId="27802942" w14:textId="77777777" w:rsidR="00B045A5" w:rsidRPr="00E43D41" w:rsidRDefault="00B045A5" w:rsidP="00017477">
            <w:pPr>
              <w:pStyle w:val="a-I-EUBodytextsingle"/>
              <w:rPr>
                <w:lang w:val="fi-FI"/>
              </w:rPr>
            </w:pPr>
          </w:p>
        </w:tc>
        <w:tc>
          <w:tcPr>
            <w:tcW w:w="451" w:type="pct"/>
            <w:vMerge/>
            <w:vAlign w:val="center"/>
            <w:hideMark/>
          </w:tcPr>
          <w:p w14:paraId="7ABBA3A3" w14:textId="77777777" w:rsidR="00B045A5" w:rsidRPr="00E43D41" w:rsidRDefault="00B045A5" w:rsidP="00017477">
            <w:pPr>
              <w:pStyle w:val="a-I-EUBodytextsingle"/>
              <w:rPr>
                <w:lang w:val="fi-FI"/>
              </w:rPr>
            </w:pPr>
          </w:p>
        </w:tc>
        <w:tc>
          <w:tcPr>
            <w:tcW w:w="450" w:type="pct"/>
            <w:vMerge/>
            <w:vAlign w:val="center"/>
            <w:hideMark/>
          </w:tcPr>
          <w:p w14:paraId="0B819C2E" w14:textId="77777777" w:rsidR="00B045A5" w:rsidRPr="00E43D41" w:rsidRDefault="00B045A5" w:rsidP="00017477">
            <w:pPr>
              <w:pStyle w:val="a-I-EUBodytextsingle"/>
              <w:rPr>
                <w:lang w:val="fi-FI"/>
              </w:rPr>
            </w:pPr>
          </w:p>
        </w:tc>
      </w:tr>
      <w:tr w:rsidR="00B045A5" w:rsidRPr="00E43D41" w14:paraId="2D996CEC" w14:textId="77777777" w:rsidTr="00017477">
        <w:tc>
          <w:tcPr>
            <w:tcW w:w="1393" w:type="pct"/>
            <w:shd w:val="clear" w:color="auto" w:fill="auto"/>
            <w:vAlign w:val="center"/>
            <w:hideMark/>
          </w:tcPr>
          <w:p w14:paraId="759803C8" w14:textId="77777777" w:rsidR="00B045A5" w:rsidRPr="00E43D41" w:rsidRDefault="00B045A5" w:rsidP="00017477">
            <w:pPr>
              <w:pStyle w:val="a-I-EUBodytextsingle"/>
              <w:rPr>
                <w:lang w:val="fi-FI"/>
              </w:rPr>
            </w:pPr>
            <w:r w:rsidRPr="00E43D41">
              <w:t>Novel product in dairy and wineries using herbs</w:t>
            </w:r>
          </w:p>
        </w:tc>
        <w:tc>
          <w:tcPr>
            <w:tcW w:w="451" w:type="pct"/>
            <w:shd w:val="clear" w:color="auto" w:fill="auto"/>
            <w:vAlign w:val="center"/>
            <w:hideMark/>
          </w:tcPr>
          <w:p w14:paraId="63D5FD4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3625CBE"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0F8CB79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46C228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37471FF"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5463A4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235715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074999AE" w14:textId="77777777" w:rsidR="00B045A5" w:rsidRPr="00E43D41" w:rsidRDefault="00B045A5" w:rsidP="00017477">
            <w:pPr>
              <w:pStyle w:val="a-I-EUBodytextsingle"/>
              <w:rPr>
                <w:lang w:val="fi-FI"/>
              </w:rPr>
            </w:pPr>
            <w:r w:rsidRPr="00E43D41">
              <w:t> </w:t>
            </w:r>
          </w:p>
        </w:tc>
      </w:tr>
      <w:tr w:rsidR="00B045A5" w:rsidRPr="00E43D41" w14:paraId="66439A5C" w14:textId="77777777" w:rsidTr="00017477">
        <w:tc>
          <w:tcPr>
            <w:tcW w:w="1393" w:type="pct"/>
            <w:shd w:val="clear" w:color="auto" w:fill="auto"/>
            <w:vAlign w:val="center"/>
            <w:hideMark/>
          </w:tcPr>
          <w:p w14:paraId="71F462DD" w14:textId="77777777" w:rsidR="00B045A5" w:rsidRPr="00E43D41" w:rsidRDefault="00B045A5" w:rsidP="00017477">
            <w:pPr>
              <w:pStyle w:val="a-I-EUBodytextsingle"/>
              <w:rPr>
                <w:lang w:val="fi-FI"/>
              </w:rPr>
            </w:pPr>
            <w:r w:rsidRPr="00E43D41">
              <w:t xml:space="preserve">«DIOFARM» - PROMIXTURE </w:t>
            </w:r>
            <w:r w:rsidRPr="00E43D41">
              <w:lastRenderedPageBreak/>
              <w:t xml:space="preserve">OF FEED ADDITIVES: R2B &amp; B2B collaboration between </w:t>
            </w:r>
            <w:r w:rsidRPr="004E6E3F">
              <w:rPr>
                <w:color w:val="000000"/>
              </w:rPr>
              <w:t>Dioscuri</w:t>
            </w:r>
            <w:r>
              <w:rPr>
                <w:color w:val="000000"/>
              </w:rPr>
              <w:t>-</w:t>
            </w:r>
            <w:r w:rsidRPr="004E6E3F">
              <w:rPr>
                <w:color w:val="000000"/>
              </w:rPr>
              <w:t>des</w:t>
            </w:r>
            <w:r w:rsidRPr="00E43D41">
              <w:t xml:space="preserve"> and Greek Honey “Attiki -Pittas”</w:t>
            </w:r>
          </w:p>
        </w:tc>
        <w:tc>
          <w:tcPr>
            <w:tcW w:w="451" w:type="pct"/>
            <w:shd w:val="clear" w:color="auto" w:fill="auto"/>
            <w:vAlign w:val="center"/>
            <w:hideMark/>
          </w:tcPr>
          <w:p w14:paraId="47819CEA" w14:textId="77777777" w:rsidR="00B045A5" w:rsidRPr="00E43D41" w:rsidRDefault="00B045A5" w:rsidP="00017477">
            <w:pPr>
              <w:pStyle w:val="a-I-EUBodytextsingle"/>
              <w:rPr>
                <w:lang w:val="fi-FI"/>
              </w:rPr>
            </w:pPr>
            <w:r w:rsidRPr="00E43D41">
              <w:lastRenderedPageBreak/>
              <w:t> </w:t>
            </w:r>
          </w:p>
        </w:tc>
        <w:tc>
          <w:tcPr>
            <w:tcW w:w="451" w:type="pct"/>
            <w:shd w:val="clear" w:color="auto" w:fill="auto"/>
            <w:vAlign w:val="center"/>
            <w:hideMark/>
          </w:tcPr>
          <w:p w14:paraId="526D94BF"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50F0582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F719D5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4ACF02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986368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CE6A68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178F0F1D" w14:textId="77777777" w:rsidR="00B045A5" w:rsidRPr="00E43D41" w:rsidRDefault="00B045A5" w:rsidP="00017477">
            <w:pPr>
              <w:pStyle w:val="a-I-EUBodytextsingle"/>
              <w:rPr>
                <w:lang w:val="fi-FI"/>
              </w:rPr>
            </w:pPr>
            <w:r w:rsidRPr="00E43D41">
              <w:t> </w:t>
            </w:r>
          </w:p>
        </w:tc>
      </w:tr>
      <w:tr w:rsidR="00B045A5" w:rsidRPr="00E43D41" w14:paraId="28CEAFCA" w14:textId="77777777" w:rsidTr="00017477">
        <w:tc>
          <w:tcPr>
            <w:tcW w:w="1393" w:type="pct"/>
            <w:shd w:val="clear" w:color="auto" w:fill="auto"/>
            <w:vAlign w:val="center"/>
            <w:hideMark/>
          </w:tcPr>
          <w:p w14:paraId="4A85988F" w14:textId="77777777" w:rsidR="00B045A5" w:rsidRPr="00E43D41" w:rsidRDefault="00B045A5" w:rsidP="00017477">
            <w:pPr>
              <w:pStyle w:val="a-I-EUBodytextsingle"/>
              <w:rPr>
                <w:lang w:val="fi-FI"/>
              </w:rPr>
            </w:pPr>
            <w:r w:rsidRPr="00E43D41">
              <w:t>IntoA! Lean Business</w:t>
            </w:r>
          </w:p>
        </w:tc>
        <w:tc>
          <w:tcPr>
            <w:tcW w:w="451" w:type="pct"/>
            <w:shd w:val="clear" w:color="auto" w:fill="auto"/>
            <w:vAlign w:val="center"/>
            <w:hideMark/>
          </w:tcPr>
          <w:p w14:paraId="023A7753"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80068AC"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62BC46D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BF63AA2"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034503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1F60F1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7ADDFA3"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14695AD7" w14:textId="77777777" w:rsidR="00B045A5" w:rsidRPr="00E43D41" w:rsidRDefault="00B045A5" w:rsidP="00017477">
            <w:pPr>
              <w:pStyle w:val="a-I-EUBodytextsingle"/>
              <w:rPr>
                <w:lang w:val="fi-FI"/>
              </w:rPr>
            </w:pPr>
            <w:r w:rsidRPr="00E43D41">
              <w:t>11</w:t>
            </w:r>
          </w:p>
        </w:tc>
      </w:tr>
      <w:tr w:rsidR="00B045A5" w:rsidRPr="00E43D41" w14:paraId="70724255" w14:textId="77777777" w:rsidTr="00017477">
        <w:tc>
          <w:tcPr>
            <w:tcW w:w="1393" w:type="pct"/>
            <w:shd w:val="clear" w:color="auto" w:fill="auto"/>
            <w:vAlign w:val="center"/>
            <w:hideMark/>
          </w:tcPr>
          <w:p w14:paraId="1C3AAF61" w14:textId="77777777" w:rsidR="00B045A5" w:rsidRPr="00E43D41" w:rsidRDefault="00B045A5" w:rsidP="00017477">
            <w:pPr>
              <w:pStyle w:val="a-I-EUBodytextsingle"/>
              <w:rPr>
                <w:lang w:val="fi-FI"/>
              </w:rPr>
            </w:pPr>
            <w:r w:rsidRPr="00E43D41">
              <w:t>Hellenic Photonics Cluster with applications in agro food sector</w:t>
            </w:r>
          </w:p>
        </w:tc>
        <w:tc>
          <w:tcPr>
            <w:tcW w:w="451" w:type="pct"/>
            <w:shd w:val="clear" w:color="auto" w:fill="auto"/>
            <w:vAlign w:val="center"/>
            <w:hideMark/>
          </w:tcPr>
          <w:p w14:paraId="1266CB4C"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C91D8C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2365702"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09B4C63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724E15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CE539F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0ECB81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745EB5D2" w14:textId="77777777" w:rsidR="00B045A5" w:rsidRPr="00E43D41" w:rsidRDefault="00B045A5" w:rsidP="00017477">
            <w:pPr>
              <w:pStyle w:val="a-I-EUBodytextsingle"/>
              <w:rPr>
                <w:lang w:val="fi-FI"/>
              </w:rPr>
            </w:pPr>
            <w:r w:rsidRPr="00E43D41">
              <w:t> </w:t>
            </w:r>
          </w:p>
        </w:tc>
      </w:tr>
      <w:tr w:rsidR="00B045A5" w:rsidRPr="00E43D41" w14:paraId="6AC33283" w14:textId="77777777" w:rsidTr="00017477">
        <w:trPr>
          <w:trHeight w:val="222"/>
        </w:trPr>
        <w:tc>
          <w:tcPr>
            <w:tcW w:w="1393" w:type="pct"/>
            <w:vMerge w:val="restart"/>
            <w:shd w:val="clear" w:color="auto" w:fill="auto"/>
            <w:vAlign w:val="center"/>
            <w:hideMark/>
          </w:tcPr>
          <w:p w14:paraId="6A679942" w14:textId="77777777" w:rsidR="00B045A5" w:rsidRPr="00E43D41" w:rsidRDefault="00B045A5" w:rsidP="00017477">
            <w:pPr>
              <w:pStyle w:val="a-I-EUBodytextsingle"/>
              <w:rPr>
                <w:lang w:val="fi-FI"/>
              </w:rPr>
            </w:pPr>
            <w:r w:rsidRPr="00E43D41">
              <w:t>AUTODIAGNOSTIC TOOL FOR AGRO-SMEs</w:t>
            </w:r>
          </w:p>
        </w:tc>
        <w:tc>
          <w:tcPr>
            <w:tcW w:w="451" w:type="pct"/>
            <w:vMerge w:val="restart"/>
            <w:shd w:val="clear" w:color="auto" w:fill="auto"/>
            <w:vAlign w:val="center"/>
            <w:hideMark/>
          </w:tcPr>
          <w:p w14:paraId="236F65D9"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3A30CC1"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212CF034"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5407B52F"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6BEB20D"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1CC17EBB"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62795E3"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77AE0A04" w14:textId="77777777" w:rsidR="00B045A5" w:rsidRPr="00E43D41" w:rsidRDefault="00B045A5" w:rsidP="00017477">
            <w:pPr>
              <w:pStyle w:val="a-I-EUBodytextsingle"/>
              <w:rPr>
                <w:lang w:val="fi-FI"/>
              </w:rPr>
            </w:pPr>
            <w:r w:rsidRPr="00E43D41">
              <w:t> </w:t>
            </w:r>
          </w:p>
        </w:tc>
      </w:tr>
      <w:tr w:rsidR="00B045A5" w:rsidRPr="00E43D41" w14:paraId="717A9C77" w14:textId="77777777" w:rsidTr="00017477">
        <w:trPr>
          <w:trHeight w:val="217"/>
        </w:trPr>
        <w:tc>
          <w:tcPr>
            <w:tcW w:w="1393" w:type="pct"/>
            <w:vMerge/>
            <w:vAlign w:val="center"/>
            <w:hideMark/>
          </w:tcPr>
          <w:p w14:paraId="5D75BD8E" w14:textId="77777777" w:rsidR="00B045A5" w:rsidRPr="00E43D41" w:rsidRDefault="00B045A5" w:rsidP="00017477">
            <w:pPr>
              <w:pStyle w:val="a-I-EUBodytextsingle"/>
              <w:rPr>
                <w:lang w:val="fi-FI"/>
              </w:rPr>
            </w:pPr>
          </w:p>
        </w:tc>
        <w:tc>
          <w:tcPr>
            <w:tcW w:w="451" w:type="pct"/>
            <w:vMerge/>
            <w:vAlign w:val="center"/>
            <w:hideMark/>
          </w:tcPr>
          <w:p w14:paraId="08F5D4FE" w14:textId="77777777" w:rsidR="00B045A5" w:rsidRPr="00E43D41" w:rsidRDefault="00B045A5" w:rsidP="00017477">
            <w:pPr>
              <w:pStyle w:val="a-I-EUBodytextsingle"/>
              <w:rPr>
                <w:lang w:val="fi-FI"/>
              </w:rPr>
            </w:pPr>
          </w:p>
        </w:tc>
        <w:tc>
          <w:tcPr>
            <w:tcW w:w="451" w:type="pct"/>
            <w:vMerge/>
            <w:vAlign w:val="center"/>
            <w:hideMark/>
          </w:tcPr>
          <w:p w14:paraId="59F8D709" w14:textId="77777777" w:rsidR="00B045A5" w:rsidRPr="00E43D41" w:rsidRDefault="00B045A5" w:rsidP="00017477">
            <w:pPr>
              <w:pStyle w:val="a-I-EUBodytextsingle"/>
              <w:rPr>
                <w:lang w:val="fi-FI"/>
              </w:rPr>
            </w:pPr>
          </w:p>
        </w:tc>
        <w:tc>
          <w:tcPr>
            <w:tcW w:w="451" w:type="pct"/>
            <w:vMerge/>
            <w:vAlign w:val="center"/>
            <w:hideMark/>
          </w:tcPr>
          <w:p w14:paraId="3A5E480A" w14:textId="77777777" w:rsidR="00B045A5" w:rsidRPr="00E43D41" w:rsidRDefault="00B045A5" w:rsidP="00017477">
            <w:pPr>
              <w:pStyle w:val="a-I-EUBodytextsingle"/>
              <w:rPr>
                <w:lang w:val="fi-FI"/>
              </w:rPr>
            </w:pPr>
          </w:p>
        </w:tc>
        <w:tc>
          <w:tcPr>
            <w:tcW w:w="451" w:type="pct"/>
            <w:vMerge/>
            <w:vAlign w:val="center"/>
            <w:hideMark/>
          </w:tcPr>
          <w:p w14:paraId="4DFE8452" w14:textId="77777777" w:rsidR="00B045A5" w:rsidRPr="00E43D41" w:rsidRDefault="00B045A5" w:rsidP="00017477">
            <w:pPr>
              <w:pStyle w:val="a-I-EUBodytextsingle"/>
              <w:rPr>
                <w:lang w:val="fi-FI"/>
              </w:rPr>
            </w:pPr>
          </w:p>
        </w:tc>
        <w:tc>
          <w:tcPr>
            <w:tcW w:w="451" w:type="pct"/>
            <w:vMerge/>
            <w:vAlign w:val="center"/>
            <w:hideMark/>
          </w:tcPr>
          <w:p w14:paraId="38270BB7" w14:textId="77777777" w:rsidR="00B045A5" w:rsidRPr="00E43D41" w:rsidRDefault="00B045A5" w:rsidP="00017477">
            <w:pPr>
              <w:pStyle w:val="a-I-EUBodytextsingle"/>
              <w:rPr>
                <w:lang w:val="fi-FI"/>
              </w:rPr>
            </w:pPr>
          </w:p>
        </w:tc>
        <w:tc>
          <w:tcPr>
            <w:tcW w:w="451" w:type="pct"/>
            <w:vMerge/>
            <w:vAlign w:val="center"/>
            <w:hideMark/>
          </w:tcPr>
          <w:p w14:paraId="4CF941B9" w14:textId="77777777" w:rsidR="00B045A5" w:rsidRPr="00E43D41" w:rsidRDefault="00B045A5" w:rsidP="00017477">
            <w:pPr>
              <w:pStyle w:val="a-I-EUBodytextsingle"/>
              <w:rPr>
                <w:lang w:val="fi-FI"/>
              </w:rPr>
            </w:pPr>
          </w:p>
        </w:tc>
        <w:tc>
          <w:tcPr>
            <w:tcW w:w="451" w:type="pct"/>
            <w:vMerge/>
            <w:vAlign w:val="center"/>
            <w:hideMark/>
          </w:tcPr>
          <w:p w14:paraId="115B32AC" w14:textId="77777777" w:rsidR="00B045A5" w:rsidRPr="00E43D41" w:rsidRDefault="00B045A5" w:rsidP="00017477">
            <w:pPr>
              <w:pStyle w:val="a-I-EUBodytextsingle"/>
              <w:rPr>
                <w:lang w:val="fi-FI"/>
              </w:rPr>
            </w:pPr>
          </w:p>
        </w:tc>
        <w:tc>
          <w:tcPr>
            <w:tcW w:w="450" w:type="pct"/>
            <w:vMerge/>
            <w:vAlign w:val="center"/>
            <w:hideMark/>
          </w:tcPr>
          <w:p w14:paraId="72B3A981" w14:textId="77777777" w:rsidR="00B045A5" w:rsidRPr="00E43D41" w:rsidRDefault="00B045A5" w:rsidP="00017477">
            <w:pPr>
              <w:pStyle w:val="a-I-EUBodytextsingle"/>
              <w:rPr>
                <w:lang w:val="fi-FI"/>
              </w:rPr>
            </w:pPr>
          </w:p>
        </w:tc>
      </w:tr>
      <w:tr w:rsidR="00B045A5" w:rsidRPr="00E43D41" w14:paraId="1C73D608" w14:textId="77777777" w:rsidTr="00017477">
        <w:tc>
          <w:tcPr>
            <w:tcW w:w="1393" w:type="pct"/>
            <w:shd w:val="clear" w:color="auto" w:fill="auto"/>
            <w:vAlign w:val="center"/>
            <w:hideMark/>
          </w:tcPr>
          <w:p w14:paraId="07D182EF" w14:textId="77777777" w:rsidR="00B045A5" w:rsidRPr="00E43D41" w:rsidRDefault="00B045A5" w:rsidP="00017477">
            <w:pPr>
              <w:pStyle w:val="a-I-EUBodytextsingle"/>
              <w:rPr>
                <w:lang w:val="fi-FI"/>
              </w:rPr>
            </w:pPr>
            <w:r w:rsidRPr="00E43D41">
              <w:t>Voucher for innovation</w:t>
            </w:r>
          </w:p>
        </w:tc>
        <w:tc>
          <w:tcPr>
            <w:tcW w:w="451" w:type="pct"/>
            <w:shd w:val="clear" w:color="auto" w:fill="auto"/>
            <w:vAlign w:val="center"/>
            <w:hideMark/>
          </w:tcPr>
          <w:p w14:paraId="0B98CE7D"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03645B7"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3D1D28B7"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2AFC6E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C6E6CA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34B094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0AEBA23"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3A279B0B" w14:textId="77777777" w:rsidR="00B045A5" w:rsidRPr="00E43D41" w:rsidRDefault="00B045A5" w:rsidP="00017477">
            <w:pPr>
              <w:pStyle w:val="a-I-EUBodytextsingle"/>
              <w:rPr>
                <w:lang w:val="fi-FI"/>
              </w:rPr>
            </w:pPr>
            <w:r w:rsidRPr="00E43D41">
              <w:t> </w:t>
            </w:r>
          </w:p>
        </w:tc>
      </w:tr>
      <w:tr w:rsidR="00B045A5" w:rsidRPr="00E43D41" w14:paraId="71C9A359" w14:textId="77777777" w:rsidTr="00017477">
        <w:tc>
          <w:tcPr>
            <w:tcW w:w="1393" w:type="pct"/>
            <w:shd w:val="clear" w:color="auto" w:fill="auto"/>
            <w:vAlign w:val="center"/>
            <w:hideMark/>
          </w:tcPr>
          <w:p w14:paraId="22E6AD00" w14:textId="77777777" w:rsidR="00B045A5" w:rsidRPr="00E43D41" w:rsidRDefault="00B045A5" w:rsidP="00017477">
            <w:pPr>
              <w:pStyle w:val="a-I-EUBodytextsingle"/>
              <w:rPr>
                <w:lang w:val="fi-FI"/>
              </w:rPr>
            </w:pPr>
            <w:r>
              <w:t>CENTROPE</w:t>
            </w:r>
            <w:r w:rsidRPr="00E43D41">
              <w:t>_tt innovation voucher</w:t>
            </w:r>
          </w:p>
        </w:tc>
        <w:tc>
          <w:tcPr>
            <w:tcW w:w="451" w:type="pct"/>
            <w:shd w:val="clear" w:color="auto" w:fill="auto"/>
            <w:vAlign w:val="center"/>
            <w:hideMark/>
          </w:tcPr>
          <w:p w14:paraId="0687A66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D07893F"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452908D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5244B02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02629F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325079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EA09599"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719810CE" w14:textId="77777777" w:rsidR="00B045A5" w:rsidRPr="00E43D41" w:rsidRDefault="00B045A5" w:rsidP="00017477">
            <w:pPr>
              <w:pStyle w:val="a-I-EUBodytextsingle"/>
              <w:rPr>
                <w:lang w:val="fi-FI"/>
              </w:rPr>
            </w:pPr>
            <w:r w:rsidRPr="00E43D41">
              <w:t> </w:t>
            </w:r>
          </w:p>
        </w:tc>
      </w:tr>
      <w:tr w:rsidR="00B045A5" w:rsidRPr="00E43D41" w14:paraId="66610940" w14:textId="77777777" w:rsidTr="00017477">
        <w:trPr>
          <w:trHeight w:val="217"/>
        </w:trPr>
        <w:tc>
          <w:tcPr>
            <w:tcW w:w="1393" w:type="pct"/>
            <w:vMerge w:val="restart"/>
            <w:shd w:val="clear" w:color="auto" w:fill="auto"/>
            <w:vAlign w:val="center"/>
            <w:hideMark/>
          </w:tcPr>
          <w:p w14:paraId="5F8C788E" w14:textId="77777777" w:rsidR="00B045A5" w:rsidRPr="00E43D41" w:rsidRDefault="00B045A5" w:rsidP="00017477">
            <w:pPr>
              <w:pStyle w:val="a-I-EUBodytextsingle"/>
              <w:rPr>
                <w:lang w:val="fi-FI"/>
              </w:rPr>
            </w:pPr>
            <w:r w:rsidRPr="00E43D41">
              <w:t>Innocsekk Plusz 2008 innovation voucher</w:t>
            </w:r>
          </w:p>
        </w:tc>
        <w:tc>
          <w:tcPr>
            <w:tcW w:w="451" w:type="pct"/>
            <w:vMerge w:val="restart"/>
            <w:shd w:val="clear" w:color="auto" w:fill="auto"/>
            <w:vAlign w:val="center"/>
            <w:hideMark/>
          </w:tcPr>
          <w:p w14:paraId="2AF9B6BB"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8E3E0ED" w14:textId="77777777" w:rsidR="00B045A5" w:rsidRPr="00E43D41" w:rsidRDefault="00B045A5" w:rsidP="00017477">
            <w:pPr>
              <w:pStyle w:val="a-I-EUBodytextsingle"/>
              <w:rPr>
                <w:lang w:val="fi-FI"/>
              </w:rPr>
            </w:pPr>
            <w:r w:rsidRPr="00E43D41">
              <w:t>1</w:t>
            </w:r>
          </w:p>
        </w:tc>
        <w:tc>
          <w:tcPr>
            <w:tcW w:w="451" w:type="pct"/>
            <w:vMerge w:val="restart"/>
            <w:shd w:val="clear" w:color="auto" w:fill="auto"/>
            <w:vAlign w:val="center"/>
            <w:hideMark/>
          </w:tcPr>
          <w:p w14:paraId="6938B864"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006BB6E"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5D514267"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116D4249"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2794AE55" w14:textId="77777777" w:rsidR="00B045A5" w:rsidRPr="00E43D41" w:rsidRDefault="00B045A5" w:rsidP="00017477">
            <w:pPr>
              <w:pStyle w:val="a-I-EUBodytextsingle"/>
              <w:rPr>
                <w:lang w:val="fi-FI"/>
              </w:rPr>
            </w:pPr>
            <w:r w:rsidRPr="00E43D41">
              <w:t> </w:t>
            </w:r>
          </w:p>
        </w:tc>
        <w:tc>
          <w:tcPr>
            <w:tcW w:w="450" w:type="pct"/>
            <w:vMerge w:val="restart"/>
            <w:shd w:val="clear" w:color="auto" w:fill="auto"/>
            <w:vAlign w:val="center"/>
            <w:hideMark/>
          </w:tcPr>
          <w:p w14:paraId="0DF0B51E" w14:textId="77777777" w:rsidR="00B045A5" w:rsidRPr="00E43D41" w:rsidRDefault="00B045A5" w:rsidP="00017477">
            <w:pPr>
              <w:pStyle w:val="a-I-EUBodytextsingle"/>
              <w:rPr>
                <w:lang w:val="fi-FI"/>
              </w:rPr>
            </w:pPr>
            <w:r w:rsidRPr="00E43D41">
              <w:t> </w:t>
            </w:r>
          </w:p>
        </w:tc>
      </w:tr>
      <w:tr w:rsidR="00B045A5" w:rsidRPr="00E43D41" w14:paraId="016305EA" w14:textId="77777777" w:rsidTr="00017477">
        <w:trPr>
          <w:trHeight w:val="217"/>
        </w:trPr>
        <w:tc>
          <w:tcPr>
            <w:tcW w:w="1393" w:type="pct"/>
            <w:vMerge/>
            <w:vAlign w:val="center"/>
            <w:hideMark/>
          </w:tcPr>
          <w:p w14:paraId="33ACD5C9" w14:textId="77777777" w:rsidR="00B045A5" w:rsidRPr="00E43D41" w:rsidRDefault="00B045A5" w:rsidP="00017477">
            <w:pPr>
              <w:pStyle w:val="a-I-EUBodytextsingle"/>
              <w:rPr>
                <w:lang w:val="fi-FI"/>
              </w:rPr>
            </w:pPr>
          </w:p>
        </w:tc>
        <w:tc>
          <w:tcPr>
            <w:tcW w:w="451" w:type="pct"/>
            <w:vMerge/>
            <w:vAlign w:val="center"/>
            <w:hideMark/>
          </w:tcPr>
          <w:p w14:paraId="08924B54" w14:textId="77777777" w:rsidR="00B045A5" w:rsidRPr="00E43D41" w:rsidRDefault="00B045A5" w:rsidP="00017477">
            <w:pPr>
              <w:pStyle w:val="a-I-EUBodytextsingle"/>
              <w:rPr>
                <w:lang w:val="fi-FI"/>
              </w:rPr>
            </w:pPr>
          </w:p>
        </w:tc>
        <w:tc>
          <w:tcPr>
            <w:tcW w:w="451" w:type="pct"/>
            <w:vMerge/>
            <w:vAlign w:val="center"/>
            <w:hideMark/>
          </w:tcPr>
          <w:p w14:paraId="6F6077AE" w14:textId="77777777" w:rsidR="00B045A5" w:rsidRPr="00E43D41" w:rsidRDefault="00B045A5" w:rsidP="00017477">
            <w:pPr>
              <w:pStyle w:val="a-I-EUBodytextsingle"/>
              <w:rPr>
                <w:lang w:val="fi-FI"/>
              </w:rPr>
            </w:pPr>
          </w:p>
        </w:tc>
        <w:tc>
          <w:tcPr>
            <w:tcW w:w="451" w:type="pct"/>
            <w:vMerge/>
            <w:vAlign w:val="center"/>
            <w:hideMark/>
          </w:tcPr>
          <w:p w14:paraId="62DC47D1" w14:textId="77777777" w:rsidR="00B045A5" w:rsidRPr="00E43D41" w:rsidRDefault="00B045A5" w:rsidP="00017477">
            <w:pPr>
              <w:pStyle w:val="a-I-EUBodytextsingle"/>
              <w:rPr>
                <w:lang w:val="fi-FI"/>
              </w:rPr>
            </w:pPr>
          </w:p>
        </w:tc>
        <w:tc>
          <w:tcPr>
            <w:tcW w:w="451" w:type="pct"/>
            <w:vMerge/>
            <w:vAlign w:val="center"/>
            <w:hideMark/>
          </w:tcPr>
          <w:p w14:paraId="37BC15A3" w14:textId="77777777" w:rsidR="00B045A5" w:rsidRPr="00E43D41" w:rsidRDefault="00B045A5" w:rsidP="00017477">
            <w:pPr>
              <w:pStyle w:val="a-I-EUBodytextsingle"/>
              <w:rPr>
                <w:lang w:val="fi-FI"/>
              </w:rPr>
            </w:pPr>
          </w:p>
        </w:tc>
        <w:tc>
          <w:tcPr>
            <w:tcW w:w="451" w:type="pct"/>
            <w:vMerge/>
            <w:vAlign w:val="center"/>
            <w:hideMark/>
          </w:tcPr>
          <w:p w14:paraId="4596D998" w14:textId="77777777" w:rsidR="00B045A5" w:rsidRPr="00E43D41" w:rsidRDefault="00B045A5" w:rsidP="00017477">
            <w:pPr>
              <w:pStyle w:val="a-I-EUBodytextsingle"/>
              <w:rPr>
                <w:lang w:val="fi-FI"/>
              </w:rPr>
            </w:pPr>
          </w:p>
        </w:tc>
        <w:tc>
          <w:tcPr>
            <w:tcW w:w="451" w:type="pct"/>
            <w:vMerge/>
            <w:vAlign w:val="center"/>
            <w:hideMark/>
          </w:tcPr>
          <w:p w14:paraId="47266BB8" w14:textId="77777777" w:rsidR="00B045A5" w:rsidRPr="00E43D41" w:rsidRDefault="00B045A5" w:rsidP="00017477">
            <w:pPr>
              <w:pStyle w:val="a-I-EUBodytextsingle"/>
              <w:rPr>
                <w:lang w:val="fi-FI"/>
              </w:rPr>
            </w:pPr>
          </w:p>
        </w:tc>
        <w:tc>
          <w:tcPr>
            <w:tcW w:w="451" w:type="pct"/>
            <w:vMerge/>
            <w:vAlign w:val="center"/>
            <w:hideMark/>
          </w:tcPr>
          <w:p w14:paraId="27FF40F8" w14:textId="77777777" w:rsidR="00B045A5" w:rsidRPr="00E43D41" w:rsidRDefault="00B045A5" w:rsidP="00017477">
            <w:pPr>
              <w:pStyle w:val="a-I-EUBodytextsingle"/>
              <w:rPr>
                <w:lang w:val="fi-FI"/>
              </w:rPr>
            </w:pPr>
          </w:p>
        </w:tc>
        <w:tc>
          <w:tcPr>
            <w:tcW w:w="450" w:type="pct"/>
            <w:vMerge/>
            <w:vAlign w:val="center"/>
            <w:hideMark/>
          </w:tcPr>
          <w:p w14:paraId="066C3CBE" w14:textId="77777777" w:rsidR="00B045A5" w:rsidRPr="00E43D41" w:rsidRDefault="00B045A5" w:rsidP="00017477">
            <w:pPr>
              <w:pStyle w:val="a-I-EUBodytextsingle"/>
              <w:rPr>
                <w:lang w:val="fi-FI"/>
              </w:rPr>
            </w:pPr>
          </w:p>
        </w:tc>
      </w:tr>
      <w:tr w:rsidR="00B045A5" w:rsidRPr="00E43D41" w14:paraId="7680496E" w14:textId="77777777" w:rsidTr="00017477">
        <w:trPr>
          <w:trHeight w:val="217"/>
        </w:trPr>
        <w:tc>
          <w:tcPr>
            <w:tcW w:w="1393" w:type="pct"/>
            <w:vMerge/>
            <w:vAlign w:val="center"/>
            <w:hideMark/>
          </w:tcPr>
          <w:p w14:paraId="4EE6A106" w14:textId="77777777" w:rsidR="00B045A5" w:rsidRPr="00E43D41" w:rsidRDefault="00B045A5" w:rsidP="00017477">
            <w:pPr>
              <w:pStyle w:val="a-I-EUBodytextsingle"/>
              <w:rPr>
                <w:lang w:val="fi-FI"/>
              </w:rPr>
            </w:pPr>
          </w:p>
        </w:tc>
        <w:tc>
          <w:tcPr>
            <w:tcW w:w="451" w:type="pct"/>
            <w:vMerge/>
            <w:vAlign w:val="center"/>
            <w:hideMark/>
          </w:tcPr>
          <w:p w14:paraId="00BC33CF" w14:textId="77777777" w:rsidR="00B045A5" w:rsidRPr="00E43D41" w:rsidRDefault="00B045A5" w:rsidP="00017477">
            <w:pPr>
              <w:pStyle w:val="a-I-EUBodytextsingle"/>
              <w:rPr>
                <w:lang w:val="fi-FI"/>
              </w:rPr>
            </w:pPr>
          </w:p>
        </w:tc>
        <w:tc>
          <w:tcPr>
            <w:tcW w:w="451" w:type="pct"/>
            <w:vMerge/>
            <w:vAlign w:val="center"/>
            <w:hideMark/>
          </w:tcPr>
          <w:p w14:paraId="4F1C35DC" w14:textId="77777777" w:rsidR="00B045A5" w:rsidRPr="00E43D41" w:rsidRDefault="00B045A5" w:rsidP="00017477">
            <w:pPr>
              <w:pStyle w:val="a-I-EUBodytextsingle"/>
              <w:rPr>
                <w:lang w:val="fi-FI"/>
              </w:rPr>
            </w:pPr>
          </w:p>
        </w:tc>
        <w:tc>
          <w:tcPr>
            <w:tcW w:w="451" w:type="pct"/>
            <w:vMerge/>
            <w:vAlign w:val="center"/>
            <w:hideMark/>
          </w:tcPr>
          <w:p w14:paraId="084B1277" w14:textId="77777777" w:rsidR="00B045A5" w:rsidRPr="00E43D41" w:rsidRDefault="00B045A5" w:rsidP="00017477">
            <w:pPr>
              <w:pStyle w:val="a-I-EUBodytextsingle"/>
              <w:rPr>
                <w:lang w:val="fi-FI"/>
              </w:rPr>
            </w:pPr>
          </w:p>
        </w:tc>
        <w:tc>
          <w:tcPr>
            <w:tcW w:w="451" w:type="pct"/>
            <w:vMerge/>
            <w:vAlign w:val="center"/>
            <w:hideMark/>
          </w:tcPr>
          <w:p w14:paraId="4310207E" w14:textId="77777777" w:rsidR="00B045A5" w:rsidRPr="00E43D41" w:rsidRDefault="00B045A5" w:rsidP="00017477">
            <w:pPr>
              <w:pStyle w:val="a-I-EUBodytextsingle"/>
              <w:rPr>
                <w:lang w:val="fi-FI"/>
              </w:rPr>
            </w:pPr>
          </w:p>
        </w:tc>
        <w:tc>
          <w:tcPr>
            <w:tcW w:w="451" w:type="pct"/>
            <w:vMerge/>
            <w:vAlign w:val="center"/>
            <w:hideMark/>
          </w:tcPr>
          <w:p w14:paraId="5CBB63A1" w14:textId="77777777" w:rsidR="00B045A5" w:rsidRPr="00E43D41" w:rsidRDefault="00B045A5" w:rsidP="00017477">
            <w:pPr>
              <w:pStyle w:val="a-I-EUBodytextsingle"/>
              <w:rPr>
                <w:lang w:val="fi-FI"/>
              </w:rPr>
            </w:pPr>
          </w:p>
        </w:tc>
        <w:tc>
          <w:tcPr>
            <w:tcW w:w="451" w:type="pct"/>
            <w:vMerge/>
            <w:vAlign w:val="center"/>
            <w:hideMark/>
          </w:tcPr>
          <w:p w14:paraId="1BE9F9DF" w14:textId="77777777" w:rsidR="00B045A5" w:rsidRPr="00E43D41" w:rsidRDefault="00B045A5" w:rsidP="00017477">
            <w:pPr>
              <w:pStyle w:val="a-I-EUBodytextsingle"/>
              <w:rPr>
                <w:lang w:val="fi-FI"/>
              </w:rPr>
            </w:pPr>
          </w:p>
        </w:tc>
        <w:tc>
          <w:tcPr>
            <w:tcW w:w="451" w:type="pct"/>
            <w:vMerge/>
            <w:vAlign w:val="center"/>
            <w:hideMark/>
          </w:tcPr>
          <w:p w14:paraId="7A23A671" w14:textId="77777777" w:rsidR="00B045A5" w:rsidRPr="00E43D41" w:rsidRDefault="00B045A5" w:rsidP="00017477">
            <w:pPr>
              <w:pStyle w:val="a-I-EUBodytextsingle"/>
              <w:rPr>
                <w:lang w:val="fi-FI"/>
              </w:rPr>
            </w:pPr>
          </w:p>
        </w:tc>
        <w:tc>
          <w:tcPr>
            <w:tcW w:w="450" w:type="pct"/>
            <w:vMerge/>
            <w:vAlign w:val="center"/>
            <w:hideMark/>
          </w:tcPr>
          <w:p w14:paraId="44B5335D" w14:textId="77777777" w:rsidR="00B045A5" w:rsidRPr="00E43D41" w:rsidRDefault="00B045A5" w:rsidP="00017477">
            <w:pPr>
              <w:pStyle w:val="a-I-EUBodytextsingle"/>
              <w:rPr>
                <w:lang w:val="fi-FI"/>
              </w:rPr>
            </w:pPr>
          </w:p>
        </w:tc>
      </w:tr>
      <w:tr w:rsidR="00B045A5" w:rsidRPr="00E43D41" w14:paraId="0044A779" w14:textId="77777777" w:rsidTr="00017477">
        <w:tc>
          <w:tcPr>
            <w:tcW w:w="1393" w:type="pct"/>
            <w:shd w:val="clear" w:color="auto" w:fill="auto"/>
            <w:vAlign w:val="center"/>
            <w:hideMark/>
          </w:tcPr>
          <w:p w14:paraId="328DE837" w14:textId="77777777" w:rsidR="00B045A5" w:rsidRPr="00E43D41" w:rsidRDefault="00B045A5" w:rsidP="00017477">
            <w:pPr>
              <w:pStyle w:val="a-I-EUBodytextsingle"/>
              <w:rPr>
                <w:lang w:val="fi-FI"/>
              </w:rPr>
            </w:pPr>
            <w:r w:rsidRPr="00E43D41">
              <w:t>Helsinki-Uusimaa Regional Council RIS3 coordination</w:t>
            </w:r>
          </w:p>
        </w:tc>
        <w:tc>
          <w:tcPr>
            <w:tcW w:w="451" w:type="pct"/>
            <w:shd w:val="clear" w:color="auto" w:fill="auto"/>
            <w:vAlign w:val="center"/>
            <w:hideMark/>
          </w:tcPr>
          <w:p w14:paraId="09124526"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CF37B0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3C291A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A5BA285"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87687C8"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0643D7B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3B7CCC4"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6D375F01" w14:textId="77777777" w:rsidR="00B045A5" w:rsidRPr="00E43D41" w:rsidRDefault="00B045A5" w:rsidP="00017477">
            <w:pPr>
              <w:pStyle w:val="a-I-EUBodytextsingle"/>
              <w:rPr>
                <w:lang w:val="fi-FI"/>
              </w:rPr>
            </w:pPr>
            <w:r w:rsidRPr="00E43D41">
              <w:t> </w:t>
            </w:r>
          </w:p>
        </w:tc>
      </w:tr>
      <w:tr w:rsidR="00B045A5" w:rsidRPr="00E43D41" w14:paraId="15B8464C" w14:textId="77777777" w:rsidTr="00017477">
        <w:tc>
          <w:tcPr>
            <w:tcW w:w="1393" w:type="pct"/>
            <w:shd w:val="clear" w:color="auto" w:fill="auto"/>
            <w:vAlign w:val="center"/>
            <w:hideMark/>
          </w:tcPr>
          <w:p w14:paraId="64D9750B" w14:textId="77777777" w:rsidR="00B045A5" w:rsidRPr="00E43D41" w:rsidRDefault="00B045A5" w:rsidP="00017477">
            <w:pPr>
              <w:pStyle w:val="a-I-EUBodytextsingle"/>
              <w:rPr>
                <w:lang w:val="fi-FI"/>
              </w:rPr>
            </w:pPr>
            <w:r w:rsidRPr="00E43D41">
              <w:t>Targeted research</w:t>
            </w:r>
          </w:p>
        </w:tc>
        <w:tc>
          <w:tcPr>
            <w:tcW w:w="451" w:type="pct"/>
            <w:shd w:val="clear" w:color="auto" w:fill="auto"/>
            <w:vAlign w:val="center"/>
            <w:hideMark/>
          </w:tcPr>
          <w:p w14:paraId="056C07A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C6E8609" w14:textId="77777777" w:rsidR="00B045A5" w:rsidRPr="00E43D41" w:rsidRDefault="00B045A5" w:rsidP="00017477">
            <w:pPr>
              <w:pStyle w:val="a-I-EUBodytextsingle"/>
              <w:rPr>
                <w:lang w:val="fi-FI"/>
              </w:rPr>
            </w:pPr>
            <w:r w:rsidRPr="00E43D41">
              <w:t>1</w:t>
            </w:r>
          </w:p>
        </w:tc>
        <w:tc>
          <w:tcPr>
            <w:tcW w:w="451" w:type="pct"/>
            <w:shd w:val="clear" w:color="auto" w:fill="auto"/>
            <w:vAlign w:val="center"/>
            <w:hideMark/>
          </w:tcPr>
          <w:p w14:paraId="5718BE1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B425D3D"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BFFCCE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4F65329B"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853390D" w14:textId="77777777" w:rsidR="00B045A5" w:rsidRPr="00E43D41" w:rsidRDefault="00B045A5" w:rsidP="00017477">
            <w:pPr>
              <w:pStyle w:val="a-I-EUBodytextsingle"/>
              <w:rPr>
                <w:lang w:val="fi-FI"/>
              </w:rPr>
            </w:pPr>
            <w:r w:rsidRPr="00E43D41">
              <w:t> </w:t>
            </w:r>
          </w:p>
        </w:tc>
        <w:tc>
          <w:tcPr>
            <w:tcW w:w="450" w:type="pct"/>
            <w:shd w:val="clear" w:color="auto" w:fill="auto"/>
            <w:vAlign w:val="center"/>
            <w:hideMark/>
          </w:tcPr>
          <w:p w14:paraId="2BC09246" w14:textId="77777777" w:rsidR="00B045A5" w:rsidRPr="00E43D41" w:rsidRDefault="00B045A5" w:rsidP="00017477">
            <w:pPr>
              <w:pStyle w:val="a-I-EUBodytextsingle"/>
              <w:rPr>
                <w:lang w:val="fi-FI"/>
              </w:rPr>
            </w:pPr>
            <w:r w:rsidRPr="00E43D41">
              <w:t>1</w:t>
            </w:r>
          </w:p>
        </w:tc>
      </w:tr>
      <w:tr w:rsidR="00B045A5" w:rsidRPr="00E43D41" w14:paraId="4A9C33AA" w14:textId="77777777" w:rsidTr="00017477">
        <w:tc>
          <w:tcPr>
            <w:tcW w:w="1393" w:type="pct"/>
            <w:shd w:val="clear" w:color="auto" w:fill="auto"/>
            <w:vAlign w:val="center"/>
            <w:hideMark/>
          </w:tcPr>
          <w:p w14:paraId="596D944B" w14:textId="77777777" w:rsidR="00B045A5" w:rsidRPr="00E43D41" w:rsidRDefault="00B045A5" w:rsidP="00017477">
            <w:pPr>
              <w:pStyle w:val="a-I-EUBodytextsingle"/>
              <w:rPr>
                <w:lang w:val="fi-FI"/>
              </w:rPr>
            </w:pPr>
            <w:r w:rsidRPr="00E43D41">
              <w:t>High Technology farming platform, GR (on behalf of many regions)</w:t>
            </w:r>
          </w:p>
        </w:tc>
        <w:tc>
          <w:tcPr>
            <w:tcW w:w="451" w:type="pct"/>
            <w:shd w:val="clear" w:color="auto" w:fill="auto"/>
            <w:vAlign w:val="center"/>
            <w:hideMark/>
          </w:tcPr>
          <w:p w14:paraId="5BDEF469"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135340F4"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7BEF9E30"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32949791"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09876088"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298F067E" w14:textId="77777777" w:rsidR="00B045A5" w:rsidRPr="00E43D41" w:rsidRDefault="00B045A5" w:rsidP="00017477">
            <w:pPr>
              <w:pStyle w:val="a-I-EUBodytextsingle"/>
              <w:rPr>
                <w:lang w:val="fi-FI"/>
              </w:rPr>
            </w:pPr>
            <w:r w:rsidRPr="00E43D41">
              <w:t> </w:t>
            </w:r>
          </w:p>
        </w:tc>
        <w:tc>
          <w:tcPr>
            <w:tcW w:w="451" w:type="pct"/>
            <w:shd w:val="clear" w:color="auto" w:fill="auto"/>
            <w:vAlign w:val="center"/>
            <w:hideMark/>
          </w:tcPr>
          <w:p w14:paraId="6EF8D561" w14:textId="77777777" w:rsidR="00B045A5" w:rsidRPr="00E43D41" w:rsidRDefault="00B045A5" w:rsidP="00017477">
            <w:pPr>
              <w:pStyle w:val="a-I-EUBodytextsingle"/>
              <w:rPr>
                <w:lang w:val="fi-FI"/>
              </w:rPr>
            </w:pPr>
            <w:r w:rsidRPr="00E43D41">
              <w:t>1</w:t>
            </w:r>
          </w:p>
        </w:tc>
        <w:tc>
          <w:tcPr>
            <w:tcW w:w="450" w:type="pct"/>
            <w:shd w:val="clear" w:color="auto" w:fill="auto"/>
            <w:vAlign w:val="center"/>
            <w:hideMark/>
          </w:tcPr>
          <w:p w14:paraId="5B1EE0A0" w14:textId="77777777" w:rsidR="00B045A5" w:rsidRPr="00E43D41" w:rsidRDefault="00B045A5" w:rsidP="00017477">
            <w:pPr>
              <w:pStyle w:val="a-I-EUBodytextsingle"/>
              <w:rPr>
                <w:lang w:val="fi-FI"/>
              </w:rPr>
            </w:pPr>
            <w:r w:rsidRPr="00E43D41">
              <w:t> </w:t>
            </w:r>
          </w:p>
        </w:tc>
      </w:tr>
      <w:tr w:rsidR="00B045A5" w:rsidRPr="00E43D41" w14:paraId="0AE2AC20" w14:textId="77777777" w:rsidTr="00017477">
        <w:trPr>
          <w:trHeight w:val="217"/>
        </w:trPr>
        <w:tc>
          <w:tcPr>
            <w:tcW w:w="1393" w:type="pct"/>
            <w:vMerge w:val="restart"/>
            <w:shd w:val="clear" w:color="auto" w:fill="auto"/>
            <w:vAlign w:val="center"/>
            <w:hideMark/>
          </w:tcPr>
          <w:p w14:paraId="6576DCEB" w14:textId="77777777" w:rsidR="00B045A5" w:rsidRPr="00E43D41" w:rsidRDefault="00B045A5" w:rsidP="00017477">
            <w:pPr>
              <w:pStyle w:val="a-I-EUBodytextsingle"/>
              <w:rPr>
                <w:lang w:val="fi-FI"/>
              </w:rPr>
            </w:pPr>
            <w:r w:rsidRPr="00E43D41">
              <w:t>Traceability and Big Data for achieving European AgroFood Sector Smart Specialisation</w:t>
            </w:r>
          </w:p>
        </w:tc>
        <w:tc>
          <w:tcPr>
            <w:tcW w:w="451" w:type="pct"/>
            <w:vMerge w:val="restart"/>
            <w:shd w:val="clear" w:color="auto" w:fill="auto"/>
            <w:vAlign w:val="center"/>
            <w:hideMark/>
          </w:tcPr>
          <w:p w14:paraId="1C060D3F"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2F36F69D"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6A9FBEDF"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D6A690D"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464CCAC0"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0B0AF5FB" w14:textId="77777777" w:rsidR="00B045A5" w:rsidRPr="00E43D41" w:rsidRDefault="00B045A5" w:rsidP="00017477">
            <w:pPr>
              <w:pStyle w:val="a-I-EUBodytextsingle"/>
              <w:rPr>
                <w:lang w:val="fi-FI"/>
              </w:rPr>
            </w:pPr>
            <w:r w:rsidRPr="00E43D41">
              <w:t> </w:t>
            </w:r>
          </w:p>
        </w:tc>
        <w:tc>
          <w:tcPr>
            <w:tcW w:w="451" w:type="pct"/>
            <w:vMerge w:val="restart"/>
            <w:shd w:val="clear" w:color="auto" w:fill="auto"/>
            <w:vAlign w:val="center"/>
            <w:hideMark/>
          </w:tcPr>
          <w:p w14:paraId="3E8B4393" w14:textId="77777777" w:rsidR="00B045A5" w:rsidRPr="00E43D41" w:rsidRDefault="00B045A5" w:rsidP="00017477">
            <w:pPr>
              <w:pStyle w:val="a-I-EUBodytextsingle"/>
              <w:rPr>
                <w:lang w:val="fi-FI"/>
              </w:rPr>
            </w:pPr>
            <w:r w:rsidRPr="00E43D41">
              <w:t>1</w:t>
            </w:r>
          </w:p>
        </w:tc>
        <w:tc>
          <w:tcPr>
            <w:tcW w:w="450" w:type="pct"/>
            <w:vMerge w:val="restart"/>
            <w:shd w:val="clear" w:color="auto" w:fill="auto"/>
            <w:vAlign w:val="center"/>
            <w:hideMark/>
          </w:tcPr>
          <w:p w14:paraId="7FAC2A60" w14:textId="77777777" w:rsidR="00B045A5" w:rsidRPr="00E43D41" w:rsidRDefault="00B045A5" w:rsidP="00017477">
            <w:pPr>
              <w:pStyle w:val="a-I-EUBodytextsingle"/>
              <w:rPr>
                <w:lang w:val="fi-FI"/>
              </w:rPr>
            </w:pPr>
            <w:r w:rsidRPr="00E43D41">
              <w:t> </w:t>
            </w:r>
          </w:p>
        </w:tc>
      </w:tr>
      <w:tr w:rsidR="00B045A5" w:rsidRPr="00E43D41" w14:paraId="4EE736D5" w14:textId="77777777" w:rsidTr="00017477">
        <w:trPr>
          <w:trHeight w:val="280"/>
        </w:trPr>
        <w:tc>
          <w:tcPr>
            <w:tcW w:w="1393" w:type="pct"/>
            <w:vMerge/>
            <w:vAlign w:val="center"/>
            <w:hideMark/>
          </w:tcPr>
          <w:p w14:paraId="34F1F5DB" w14:textId="77777777" w:rsidR="00B045A5" w:rsidRPr="00E43D41" w:rsidRDefault="00B045A5" w:rsidP="00017477">
            <w:pPr>
              <w:pStyle w:val="a-I-EUBodytextsingle"/>
              <w:rPr>
                <w:lang w:val="fi-FI"/>
              </w:rPr>
            </w:pPr>
          </w:p>
        </w:tc>
        <w:tc>
          <w:tcPr>
            <w:tcW w:w="451" w:type="pct"/>
            <w:vMerge/>
            <w:vAlign w:val="center"/>
            <w:hideMark/>
          </w:tcPr>
          <w:p w14:paraId="4171AF2C" w14:textId="77777777" w:rsidR="00B045A5" w:rsidRPr="00E43D41" w:rsidRDefault="00B045A5" w:rsidP="00017477">
            <w:pPr>
              <w:pStyle w:val="a-I-EUBodytextsingle"/>
              <w:rPr>
                <w:lang w:val="fi-FI"/>
              </w:rPr>
            </w:pPr>
          </w:p>
        </w:tc>
        <w:tc>
          <w:tcPr>
            <w:tcW w:w="451" w:type="pct"/>
            <w:vMerge/>
            <w:vAlign w:val="center"/>
            <w:hideMark/>
          </w:tcPr>
          <w:p w14:paraId="4159F1F1" w14:textId="77777777" w:rsidR="00B045A5" w:rsidRPr="00E43D41" w:rsidRDefault="00B045A5" w:rsidP="00017477">
            <w:pPr>
              <w:pStyle w:val="a-I-EUBodytextsingle"/>
              <w:rPr>
                <w:lang w:val="fi-FI"/>
              </w:rPr>
            </w:pPr>
          </w:p>
        </w:tc>
        <w:tc>
          <w:tcPr>
            <w:tcW w:w="451" w:type="pct"/>
            <w:vMerge/>
            <w:vAlign w:val="center"/>
            <w:hideMark/>
          </w:tcPr>
          <w:p w14:paraId="32A384EA" w14:textId="77777777" w:rsidR="00B045A5" w:rsidRPr="00E43D41" w:rsidRDefault="00B045A5" w:rsidP="00017477">
            <w:pPr>
              <w:pStyle w:val="a-I-EUBodytextsingle"/>
              <w:rPr>
                <w:lang w:val="fi-FI"/>
              </w:rPr>
            </w:pPr>
          </w:p>
        </w:tc>
        <w:tc>
          <w:tcPr>
            <w:tcW w:w="451" w:type="pct"/>
            <w:vMerge/>
            <w:vAlign w:val="center"/>
            <w:hideMark/>
          </w:tcPr>
          <w:p w14:paraId="462EE118" w14:textId="77777777" w:rsidR="00B045A5" w:rsidRPr="00E43D41" w:rsidRDefault="00B045A5" w:rsidP="00017477">
            <w:pPr>
              <w:pStyle w:val="a-I-EUBodytextsingle"/>
              <w:rPr>
                <w:lang w:val="fi-FI"/>
              </w:rPr>
            </w:pPr>
          </w:p>
        </w:tc>
        <w:tc>
          <w:tcPr>
            <w:tcW w:w="451" w:type="pct"/>
            <w:vMerge/>
            <w:vAlign w:val="center"/>
            <w:hideMark/>
          </w:tcPr>
          <w:p w14:paraId="0F7E38A1" w14:textId="77777777" w:rsidR="00B045A5" w:rsidRPr="00E43D41" w:rsidRDefault="00B045A5" w:rsidP="00017477">
            <w:pPr>
              <w:pStyle w:val="a-I-EUBodytextsingle"/>
              <w:rPr>
                <w:lang w:val="fi-FI"/>
              </w:rPr>
            </w:pPr>
          </w:p>
        </w:tc>
        <w:tc>
          <w:tcPr>
            <w:tcW w:w="451" w:type="pct"/>
            <w:vMerge/>
            <w:vAlign w:val="center"/>
            <w:hideMark/>
          </w:tcPr>
          <w:p w14:paraId="784F22F8" w14:textId="77777777" w:rsidR="00B045A5" w:rsidRPr="00E43D41" w:rsidRDefault="00B045A5" w:rsidP="00017477">
            <w:pPr>
              <w:pStyle w:val="a-I-EUBodytextsingle"/>
              <w:rPr>
                <w:lang w:val="fi-FI"/>
              </w:rPr>
            </w:pPr>
          </w:p>
        </w:tc>
        <w:tc>
          <w:tcPr>
            <w:tcW w:w="451" w:type="pct"/>
            <w:vMerge/>
            <w:vAlign w:val="center"/>
            <w:hideMark/>
          </w:tcPr>
          <w:p w14:paraId="0EFD83ED" w14:textId="77777777" w:rsidR="00B045A5" w:rsidRPr="00E43D41" w:rsidRDefault="00B045A5" w:rsidP="00017477">
            <w:pPr>
              <w:pStyle w:val="a-I-EUBodytextsingle"/>
              <w:rPr>
                <w:lang w:val="fi-FI"/>
              </w:rPr>
            </w:pPr>
          </w:p>
        </w:tc>
        <w:tc>
          <w:tcPr>
            <w:tcW w:w="450" w:type="pct"/>
            <w:vMerge/>
            <w:vAlign w:val="center"/>
            <w:hideMark/>
          </w:tcPr>
          <w:p w14:paraId="2EBACA14" w14:textId="77777777" w:rsidR="00B045A5" w:rsidRPr="00E43D41" w:rsidRDefault="00B045A5" w:rsidP="00017477">
            <w:pPr>
              <w:pStyle w:val="a-I-EUBodytextsingle"/>
              <w:rPr>
                <w:lang w:val="fi-FI"/>
              </w:rPr>
            </w:pPr>
          </w:p>
        </w:tc>
      </w:tr>
    </w:tbl>
    <w:p w14:paraId="4A77AB7F" w14:textId="6BFAFDAD" w:rsidR="00B045A5" w:rsidRDefault="00B045A5" w:rsidP="00B045A5">
      <w:pPr>
        <w:pStyle w:val="Body3"/>
        <w:rPr>
          <w:lang w:eastAsia="en-US"/>
        </w:rPr>
      </w:pPr>
    </w:p>
    <w:p w14:paraId="16E2CE2F" w14:textId="160CB020" w:rsidR="00B045A5" w:rsidRDefault="00B045A5" w:rsidP="00B045A5">
      <w:pPr>
        <w:pStyle w:val="Body3"/>
        <w:rPr>
          <w:lang w:eastAsia="en-US"/>
        </w:rPr>
      </w:pPr>
    </w:p>
    <w:p w14:paraId="7FCD874D" w14:textId="0ACC8059" w:rsidR="00B045A5" w:rsidRDefault="00B045A5" w:rsidP="00B045A5">
      <w:pPr>
        <w:pStyle w:val="Body3"/>
        <w:rPr>
          <w:lang w:eastAsia="en-US"/>
        </w:rPr>
      </w:pPr>
    </w:p>
    <w:p w14:paraId="4D141153" w14:textId="5E3F0A75" w:rsidR="00A8599B" w:rsidRDefault="007D28E9" w:rsidP="007D28E9">
      <w:pPr>
        <w:pStyle w:val="Caption"/>
        <w:numPr>
          <w:ilvl w:val="0"/>
          <w:numId w:val="0"/>
        </w:numPr>
        <w:ind w:left="720"/>
      </w:pPr>
      <w:bookmarkStart w:id="82" w:name="_Toc526593332"/>
      <w:r>
        <w:t xml:space="preserve">Table </w:t>
      </w:r>
      <w:fldSimple w:instr=" SEQ Table \* ARABIC ">
        <w:r>
          <w:rPr>
            <w:noProof/>
          </w:rPr>
          <w:t>10</w:t>
        </w:r>
      </w:fldSimple>
      <w:r>
        <w:t xml:space="preserve"> </w:t>
      </w:r>
      <w:r w:rsidR="00A8599B">
        <w:t>Types of connectivities, types of actions, and funding concepts</w:t>
      </w:r>
      <w:bookmarkEnd w:id="82"/>
    </w:p>
    <w:p w14:paraId="6264950C" w14:textId="77777777" w:rsidR="00B045A5" w:rsidRPr="00B045A5" w:rsidRDefault="00B045A5" w:rsidP="00B045A5">
      <w:pPr>
        <w:pStyle w:val="Body3"/>
        <w:rPr>
          <w:lang w:eastAsia="en-US"/>
        </w:rPr>
      </w:pPr>
    </w:p>
    <w:tbl>
      <w:tblPr>
        <w:tblW w:w="499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dotted" w:sz="4" w:space="0" w:color="808080" w:themeColor="background1" w:themeShade="80"/>
          <w:insideV w:val="single" w:sz="2" w:space="0" w:color="808080" w:themeColor="background1" w:themeShade="80"/>
        </w:tblBorders>
        <w:tblLook w:val="04A0" w:firstRow="1" w:lastRow="0" w:firstColumn="1" w:lastColumn="0" w:noHBand="0" w:noVBand="1"/>
      </w:tblPr>
      <w:tblGrid>
        <w:gridCol w:w="1693"/>
        <w:gridCol w:w="2415"/>
        <w:gridCol w:w="5103"/>
      </w:tblGrid>
      <w:tr w:rsidR="00A8599B" w:rsidRPr="001A7EEF" w14:paraId="6F9ECA09" w14:textId="77777777" w:rsidTr="00072B19">
        <w:trPr>
          <w:trHeight w:val="112"/>
          <w:tblHeader/>
        </w:trPr>
        <w:tc>
          <w:tcPr>
            <w:tcW w:w="919" w:type="pct"/>
            <w:shd w:val="clear" w:color="auto" w:fill="F2F2F2" w:themeFill="background1" w:themeFillShade="F2"/>
          </w:tcPr>
          <w:p w14:paraId="358F701E" w14:textId="7CCE68B9" w:rsidR="00A8599B" w:rsidRPr="001A7EEF" w:rsidRDefault="00A8599B" w:rsidP="0027228E">
            <w:pPr>
              <w:pStyle w:val="Body3"/>
              <w:rPr>
                <w:b/>
                <w:szCs w:val="18"/>
              </w:rPr>
            </w:pPr>
            <w:r w:rsidRPr="001A7EEF">
              <w:rPr>
                <w:b/>
                <w:szCs w:val="18"/>
              </w:rPr>
              <w:t>Connectivity type</w:t>
            </w:r>
          </w:p>
        </w:tc>
        <w:tc>
          <w:tcPr>
            <w:tcW w:w="1311" w:type="pct"/>
            <w:shd w:val="clear" w:color="auto" w:fill="F2F2F2" w:themeFill="background1" w:themeFillShade="F2"/>
          </w:tcPr>
          <w:p w14:paraId="431C0843" w14:textId="31B22601" w:rsidR="00A8599B" w:rsidRPr="001A7EEF" w:rsidRDefault="00A8599B" w:rsidP="0027228E">
            <w:pPr>
              <w:pStyle w:val="Body3"/>
              <w:rPr>
                <w:b/>
                <w:szCs w:val="18"/>
              </w:rPr>
            </w:pPr>
            <w:r w:rsidRPr="001A7EEF">
              <w:rPr>
                <w:b/>
                <w:szCs w:val="18"/>
              </w:rPr>
              <w:t>Types of actions</w:t>
            </w:r>
          </w:p>
        </w:tc>
        <w:tc>
          <w:tcPr>
            <w:tcW w:w="2770" w:type="pct"/>
            <w:shd w:val="clear" w:color="auto" w:fill="F2F2F2" w:themeFill="background1" w:themeFillShade="F2"/>
          </w:tcPr>
          <w:p w14:paraId="59716E3C" w14:textId="6FB37E70" w:rsidR="00A8599B" w:rsidRPr="001A7EEF" w:rsidRDefault="00A8599B" w:rsidP="0027228E">
            <w:pPr>
              <w:pStyle w:val="Body3"/>
              <w:rPr>
                <w:b/>
                <w:szCs w:val="18"/>
              </w:rPr>
            </w:pPr>
            <w:r>
              <w:rPr>
                <w:b/>
                <w:szCs w:val="18"/>
              </w:rPr>
              <w:t xml:space="preserve">Funding concepts </w:t>
            </w:r>
            <w:r w:rsidR="00072B19">
              <w:rPr>
                <w:b/>
                <w:szCs w:val="18"/>
              </w:rPr>
              <w:t>for further analysis</w:t>
            </w:r>
          </w:p>
        </w:tc>
      </w:tr>
      <w:tr w:rsidR="00A8599B" w:rsidRPr="001A7EEF" w14:paraId="1F31F256" w14:textId="77777777" w:rsidTr="00072B19">
        <w:trPr>
          <w:trHeight w:val="192"/>
        </w:trPr>
        <w:tc>
          <w:tcPr>
            <w:tcW w:w="919" w:type="pct"/>
          </w:tcPr>
          <w:p w14:paraId="263A57C3" w14:textId="0ADE9EA7" w:rsidR="00A8599B" w:rsidRPr="001A7EEF" w:rsidRDefault="00A8599B" w:rsidP="0027228E">
            <w:pPr>
              <w:pStyle w:val="Body3"/>
              <w:rPr>
                <w:szCs w:val="18"/>
              </w:rPr>
            </w:pPr>
            <w:r w:rsidRPr="001A7EEF">
              <w:rPr>
                <w:szCs w:val="18"/>
              </w:rPr>
              <w:t>Type 1 Programme based</w:t>
            </w:r>
          </w:p>
        </w:tc>
        <w:tc>
          <w:tcPr>
            <w:tcW w:w="1311" w:type="pct"/>
          </w:tcPr>
          <w:p w14:paraId="02338383" w14:textId="578099BA" w:rsidR="00A8599B" w:rsidRPr="001A7EEF" w:rsidRDefault="00A8599B" w:rsidP="0027228E">
            <w:pPr>
              <w:pStyle w:val="Body3"/>
              <w:rPr>
                <w:szCs w:val="18"/>
              </w:rPr>
            </w:pPr>
            <w:r w:rsidRPr="001A7EEF">
              <w:rPr>
                <w:szCs w:val="18"/>
              </w:rPr>
              <w:t xml:space="preserve"> Centre of competence &amp; associated business application projects; 3 regions have indicated committed interest in this </w:t>
            </w:r>
          </w:p>
        </w:tc>
        <w:tc>
          <w:tcPr>
            <w:tcW w:w="2770" w:type="pct"/>
          </w:tcPr>
          <w:p w14:paraId="7D5CD1A0" w14:textId="77777777" w:rsidR="00A8599B" w:rsidRPr="001A7EEF" w:rsidRDefault="00A8599B" w:rsidP="0027228E">
            <w:pPr>
              <w:pStyle w:val="Body3"/>
              <w:rPr>
                <w:szCs w:val="18"/>
              </w:rPr>
            </w:pPr>
            <w:r w:rsidRPr="001A7EEF">
              <w:rPr>
                <w:szCs w:val="18"/>
              </w:rPr>
              <w:t xml:space="preserve">This activity belongs, to ESIF Thematic Objective 1 (innovation and research, and infrastructures) and Thematic Objective 3 (ioprovement of the competitiveness of SMEs). </w:t>
            </w:r>
          </w:p>
          <w:p w14:paraId="54D1D5B7" w14:textId="77777777" w:rsidR="00A8599B" w:rsidRPr="001A7EEF" w:rsidRDefault="00A8599B" w:rsidP="0027228E">
            <w:pPr>
              <w:pStyle w:val="Body3"/>
              <w:rPr>
                <w:szCs w:val="18"/>
              </w:rPr>
            </w:pPr>
          </w:p>
          <w:p w14:paraId="3DD7E9D2" w14:textId="17459D22" w:rsidR="00A8599B" w:rsidRPr="001A7EEF" w:rsidRDefault="00A8599B" w:rsidP="0027228E">
            <w:pPr>
              <w:pStyle w:val="Body3"/>
              <w:rPr>
                <w:szCs w:val="18"/>
              </w:rPr>
            </w:pPr>
            <w:r w:rsidRPr="001A7EEF">
              <w:rPr>
                <w:szCs w:val="18"/>
              </w:rPr>
              <w:t>The required action is to allow eligibility of non-programme area actors to be part of regional multi actor projects.  Non programme area actors are research institutions with expertise missing at regional and national levels from the implementation regions.</w:t>
            </w:r>
          </w:p>
        </w:tc>
      </w:tr>
      <w:tr w:rsidR="00A8599B" w:rsidRPr="001A7EEF" w14:paraId="642C89D4" w14:textId="77777777" w:rsidTr="00072B19">
        <w:trPr>
          <w:trHeight w:val="346"/>
        </w:trPr>
        <w:tc>
          <w:tcPr>
            <w:tcW w:w="919" w:type="pct"/>
          </w:tcPr>
          <w:p w14:paraId="3CA5E5C2" w14:textId="4F1022A2" w:rsidR="00A8599B" w:rsidRPr="001A7EEF" w:rsidRDefault="00A8599B" w:rsidP="0027228E">
            <w:pPr>
              <w:pStyle w:val="Body3"/>
              <w:rPr>
                <w:szCs w:val="18"/>
              </w:rPr>
            </w:pPr>
            <w:r w:rsidRPr="001A7EEF">
              <w:rPr>
                <w:szCs w:val="18"/>
              </w:rPr>
              <w:t>Type 2 Access to research services</w:t>
            </w:r>
          </w:p>
        </w:tc>
        <w:tc>
          <w:tcPr>
            <w:tcW w:w="1311" w:type="pct"/>
          </w:tcPr>
          <w:p w14:paraId="76B52739" w14:textId="63003672" w:rsidR="00A8599B" w:rsidRPr="001A7EEF" w:rsidRDefault="00A8599B" w:rsidP="0027228E">
            <w:pPr>
              <w:pStyle w:val="Body3"/>
              <w:rPr>
                <w:szCs w:val="18"/>
              </w:rPr>
            </w:pPr>
            <w:r w:rsidRPr="001A7EEF">
              <w:rPr>
                <w:szCs w:val="18"/>
              </w:rPr>
              <w:t>2.1) Screening of needs &amp; awareness raising</w:t>
            </w:r>
          </w:p>
          <w:p w14:paraId="1C3241B9" w14:textId="1EAEA14E" w:rsidR="00A8599B" w:rsidRPr="001A7EEF" w:rsidRDefault="00A8599B" w:rsidP="0027228E">
            <w:pPr>
              <w:pStyle w:val="Body3"/>
              <w:rPr>
                <w:szCs w:val="18"/>
              </w:rPr>
            </w:pPr>
            <w:r w:rsidRPr="001A7EEF">
              <w:rPr>
                <w:szCs w:val="18"/>
              </w:rPr>
              <w:t xml:space="preserve"> 2.2) actual access to research services missing  locallly/nationally, through innovation vouchers with interregional eligibiltiy. BRIDGES project proposes such solutions in some of the good practice </w:t>
            </w:r>
            <w:r w:rsidRPr="001A7EEF">
              <w:rPr>
                <w:szCs w:val="18"/>
              </w:rPr>
              <w:lastRenderedPageBreak/>
              <w:t>contributions in GP theme 3.  Application of Article 70 of the CPR and / or national innovation funds.</w:t>
            </w:r>
          </w:p>
          <w:p w14:paraId="37DDB7F9" w14:textId="77777777" w:rsidR="00A8599B" w:rsidRPr="001A7EEF" w:rsidRDefault="00A8599B" w:rsidP="0027228E">
            <w:pPr>
              <w:pStyle w:val="Body3"/>
              <w:rPr>
                <w:szCs w:val="18"/>
              </w:rPr>
            </w:pPr>
          </w:p>
        </w:tc>
        <w:tc>
          <w:tcPr>
            <w:tcW w:w="2770" w:type="pct"/>
          </w:tcPr>
          <w:p w14:paraId="6627EEB7" w14:textId="77777777" w:rsidR="00A8599B" w:rsidRPr="001A7EEF" w:rsidRDefault="00A8599B" w:rsidP="0027228E">
            <w:pPr>
              <w:pStyle w:val="Body3"/>
              <w:rPr>
                <w:szCs w:val="18"/>
              </w:rPr>
            </w:pPr>
            <w:r w:rsidRPr="001A7EEF">
              <w:rPr>
                <w:szCs w:val="18"/>
              </w:rPr>
              <w:lastRenderedPageBreak/>
              <w:t>2.1) Local structural funds, local consultant; innovation intermediary.</w:t>
            </w:r>
          </w:p>
          <w:p w14:paraId="37DA88AF" w14:textId="77777777" w:rsidR="00A8599B" w:rsidRPr="001A7EEF" w:rsidRDefault="00A8599B" w:rsidP="0027228E">
            <w:pPr>
              <w:pStyle w:val="Body3"/>
              <w:rPr>
                <w:szCs w:val="18"/>
              </w:rPr>
            </w:pPr>
          </w:p>
          <w:p w14:paraId="5CD95278" w14:textId="77777777" w:rsidR="00A8599B" w:rsidRPr="001A7EEF" w:rsidRDefault="00A8599B" w:rsidP="0027228E">
            <w:pPr>
              <w:pStyle w:val="Body3"/>
              <w:rPr>
                <w:szCs w:val="18"/>
              </w:rPr>
            </w:pPr>
            <w:r w:rsidRPr="001A7EEF">
              <w:rPr>
                <w:szCs w:val="18"/>
              </w:rPr>
              <w:t>2.2) Through generalised application of innovation vouchers to seek research services at national level, including interegional eligibilty where the naitonal level is not sufficient.</w:t>
            </w:r>
          </w:p>
          <w:p w14:paraId="183DABB9" w14:textId="77777777" w:rsidR="00A8599B" w:rsidRPr="001A7EEF" w:rsidRDefault="00A8599B" w:rsidP="0027228E">
            <w:pPr>
              <w:pStyle w:val="Body3"/>
              <w:rPr>
                <w:szCs w:val="18"/>
              </w:rPr>
            </w:pPr>
          </w:p>
          <w:p w14:paraId="3744C454" w14:textId="55BA653C" w:rsidR="00A8599B" w:rsidRPr="001A7EEF" w:rsidRDefault="00A8599B" w:rsidP="0027228E">
            <w:pPr>
              <w:pStyle w:val="Body3"/>
              <w:rPr>
                <w:szCs w:val="18"/>
              </w:rPr>
            </w:pPr>
          </w:p>
        </w:tc>
      </w:tr>
      <w:tr w:rsidR="00A8599B" w:rsidRPr="001A7EEF" w14:paraId="16D46C60" w14:textId="77777777" w:rsidTr="00072B19">
        <w:trPr>
          <w:trHeight w:val="192"/>
        </w:trPr>
        <w:tc>
          <w:tcPr>
            <w:tcW w:w="919" w:type="pct"/>
          </w:tcPr>
          <w:p w14:paraId="3B2C150A" w14:textId="7F98AB1F" w:rsidR="00A8599B" w:rsidRPr="001A7EEF" w:rsidRDefault="00A8599B" w:rsidP="0027228E">
            <w:pPr>
              <w:pStyle w:val="Body3"/>
              <w:rPr>
                <w:szCs w:val="18"/>
              </w:rPr>
            </w:pPr>
            <w:r w:rsidRPr="001A7EEF">
              <w:rPr>
                <w:szCs w:val="18"/>
              </w:rPr>
              <w:t>Type 3 KET applications</w:t>
            </w:r>
          </w:p>
        </w:tc>
        <w:tc>
          <w:tcPr>
            <w:tcW w:w="1311" w:type="pct"/>
          </w:tcPr>
          <w:p w14:paraId="55FE2F06" w14:textId="62AD99D5" w:rsidR="00A8599B" w:rsidRPr="001A7EEF" w:rsidRDefault="00A8599B" w:rsidP="0027228E">
            <w:pPr>
              <w:pStyle w:val="Body3"/>
              <w:rPr>
                <w:szCs w:val="18"/>
              </w:rPr>
            </w:pPr>
            <w:r w:rsidRPr="001A7EEF">
              <w:rPr>
                <w:szCs w:val="18"/>
              </w:rPr>
              <w:t>3.1) screening of needs &amp; awareness raising:local consultants; 3.2) actual KET application  projects</w:t>
            </w:r>
          </w:p>
        </w:tc>
        <w:tc>
          <w:tcPr>
            <w:tcW w:w="2770" w:type="pct"/>
          </w:tcPr>
          <w:p w14:paraId="1F645533" w14:textId="77777777" w:rsidR="00A8599B" w:rsidRPr="001A7EEF" w:rsidRDefault="00A8599B" w:rsidP="0027228E">
            <w:pPr>
              <w:pStyle w:val="Body3"/>
              <w:rPr>
                <w:szCs w:val="18"/>
              </w:rPr>
            </w:pPr>
            <w:r w:rsidRPr="001A7EEF">
              <w:rPr>
                <w:szCs w:val="18"/>
              </w:rPr>
              <w:t>3.1 Local / national expertise</w:t>
            </w:r>
          </w:p>
          <w:p w14:paraId="755D495D" w14:textId="48AC6641" w:rsidR="00A8599B" w:rsidRPr="001A7EEF" w:rsidRDefault="00A8599B" w:rsidP="0027228E">
            <w:pPr>
              <w:pStyle w:val="Body3"/>
              <w:rPr>
                <w:szCs w:val="18"/>
              </w:rPr>
            </w:pPr>
            <w:r w:rsidRPr="001A7EEF">
              <w:rPr>
                <w:szCs w:val="18"/>
              </w:rPr>
              <w:t xml:space="preserve">3.2 As above,  any lacking expettise could be axceesed  add hoc through innovation vouchers  </w:t>
            </w:r>
          </w:p>
        </w:tc>
      </w:tr>
      <w:tr w:rsidR="00A8599B" w:rsidRPr="001A7EEF" w14:paraId="652FF5D5" w14:textId="77777777" w:rsidTr="00072B19">
        <w:trPr>
          <w:trHeight w:val="441"/>
        </w:trPr>
        <w:tc>
          <w:tcPr>
            <w:tcW w:w="919" w:type="pct"/>
          </w:tcPr>
          <w:p w14:paraId="77B94B1B" w14:textId="4CE27EAA" w:rsidR="00A8599B" w:rsidRPr="001A7EEF" w:rsidRDefault="00A8599B" w:rsidP="0027228E">
            <w:pPr>
              <w:pStyle w:val="Body3"/>
              <w:rPr>
                <w:szCs w:val="18"/>
              </w:rPr>
            </w:pPr>
            <w:r w:rsidRPr="001A7EEF">
              <w:rPr>
                <w:szCs w:val="18"/>
              </w:rPr>
              <w:t>Type 4 TRL improvement / certification</w:t>
            </w:r>
          </w:p>
        </w:tc>
        <w:tc>
          <w:tcPr>
            <w:tcW w:w="1311" w:type="pct"/>
          </w:tcPr>
          <w:p w14:paraId="1CD98866" w14:textId="452552CF" w:rsidR="00A8599B" w:rsidRPr="001A7EEF" w:rsidRDefault="00A8599B" w:rsidP="0027228E">
            <w:pPr>
              <w:pStyle w:val="Body3"/>
              <w:rPr>
                <w:szCs w:val="18"/>
              </w:rPr>
            </w:pPr>
            <w:r w:rsidRPr="001A7EEF">
              <w:rPr>
                <w:szCs w:val="18"/>
              </w:rPr>
              <w:t>Systematic way to address these issues needed in five out of six regions</w:t>
            </w:r>
          </w:p>
        </w:tc>
        <w:tc>
          <w:tcPr>
            <w:tcW w:w="2770" w:type="pct"/>
            <w:vAlign w:val="center"/>
          </w:tcPr>
          <w:p w14:paraId="0E0EB484" w14:textId="72CE807B" w:rsidR="00A8599B" w:rsidRPr="001A7EEF" w:rsidRDefault="00A8599B" w:rsidP="0027228E">
            <w:pPr>
              <w:pStyle w:val="Body3"/>
              <w:rPr>
                <w:szCs w:val="18"/>
              </w:rPr>
            </w:pPr>
            <w:r w:rsidRPr="001A7EEF">
              <w:rPr>
                <w:szCs w:val="18"/>
              </w:rPr>
              <w:t>National funds, national innovation funds,  ESIF 2014-2020; interegional connectivity not required.</w:t>
            </w:r>
          </w:p>
        </w:tc>
      </w:tr>
      <w:tr w:rsidR="00A8599B" w:rsidRPr="001A7EEF" w14:paraId="0F1C6F7C" w14:textId="77777777" w:rsidTr="00072B19">
        <w:trPr>
          <w:trHeight w:val="192"/>
        </w:trPr>
        <w:tc>
          <w:tcPr>
            <w:tcW w:w="919" w:type="pct"/>
          </w:tcPr>
          <w:p w14:paraId="706A7C20" w14:textId="7723F5C7" w:rsidR="00A8599B" w:rsidRPr="001A7EEF" w:rsidRDefault="00A8599B" w:rsidP="0027228E">
            <w:pPr>
              <w:pStyle w:val="Body3"/>
              <w:rPr>
                <w:szCs w:val="18"/>
              </w:rPr>
            </w:pPr>
            <w:r w:rsidRPr="001A7EEF">
              <w:rPr>
                <w:szCs w:val="18"/>
              </w:rPr>
              <w:t>Type 5 Innovation management chain</w:t>
            </w:r>
          </w:p>
        </w:tc>
        <w:tc>
          <w:tcPr>
            <w:tcW w:w="1311" w:type="pct"/>
          </w:tcPr>
          <w:p w14:paraId="00D760B2" w14:textId="1D060420" w:rsidR="00A8599B" w:rsidRPr="001A7EEF" w:rsidRDefault="00A8599B" w:rsidP="0027228E">
            <w:pPr>
              <w:pStyle w:val="Body3"/>
              <w:rPr>
                <w:szCs w:val="18"/>
              </w:rPr>
            </w:pPr>
            <w:r w:rsidRPr="001A7EEF">
              <w:rPr>
                <w:szCs w:val="18"/>
              </w:rPr>
              <w:t>5.1 R&amp;D council, 5.2 Proof of concept, 5.3 Prototype, 5.4 Scaling up, 5.5  Business plan, 5.6 Branded marketing</w:t>
            </w:r>
          </w:p>
        </w:tc>
        <w:tc>
          <w:tcPr>
            <w:tcW w:w="2770" w:type="pct"/>
          </w:tcPr>
          <w:p w14:paraId="69697E3A" w14:textId="51E230FD" w:rsidR="00A8599B" w:rsidRPr="001A7EEF" w:rsidRDefault="00A8599B" w:rsidP="0027228E">
            <w:pPr>
              <w:pStyle w:val="Body3"/>
              <w:rPr>
                <w:szCs w:val="18"/>
              </w:rPr>
            </w:pPr>
            <w:r w:rsidRPr="001A7EEF">
              <w:rPr>
                <w:szCs w:val="18"/>
              </w:rPr>
              <w:t>National funds, national innovation funds,  ESIF 2014-2020; interegional connectivity, in principle, not required, but good to not exlcude it, allow for innovation vouchers with interregional eligibility</w:t>
            </w:r>
          </w:p>
        </w:tc>
      </w:tr>
      <w:tr w:rsidR="00A8599B" w:rsidRPr="001A7EEF" w14:paraId="2F727B0F" w14:textId="77777777" w:rsidTr="00072B19">
        <w:trPr>
          <w:trHeight w:val="192"/>
        </w:trPr>
        <w:tc>
          <w:tcPr>
            <w:tcW w:w="919" w:type="pct"/>
          </w:tcPr>
          <w:p w14:paraId="14295AE0" w14:textId="43A57320" w:rsidR="00A8599B" w:rsidRPr="001A7EEF" w:rsidRDefault="00A8599B" w:rsidP="0027228E">
            <w:pPr>
              <w:pStyle w:val="Body3"/>
              <w:rPr>
                <w:szCs w:val="18"/>
              </w:rPr>
            </w:pPr>
            <w:r w:rsidRPr="001A7EEF">
              <w:rPr>
                <w:szCs w:val="18"/>
              </w:rPr>
              <w:t>Type 6 Constant renewal services</w:t>
            </w:r>
          </w:p>
        </w:tc>
        <w:tc>
          <w:tcPr>
            <w:tcW w:w="1311" w:type="pct"/>
          </w:tcPr>
          <w:p w14:paraId="119001A5" w14:textId="64EC0D69" w:rsidR="00A8599B" w:rsidRPr="001A7EEF" w:rsidRDefault="00A8599B" w:rsidP="0027228E">
            <w:pPr>
              <w:pStyle w:val="Body3"/>
              <w:rPr>
                <w:szCs w:val="18"/>
              </w:rPr>
            </w:pPr>
            <w:r w:rsidRPr="001A7EEF">
              <w:rPr>
                <w:szCs w:val="18"/>
              </w:rPr>
              <w:t>Upstreaming and downstreaming (Annex I of the CPR):</w:t>
            </w:r>
          </w:p>
        </w:tc>
        <w:tc>
          <w:tcPr>
            <w:tcW w:w="2770" w:type="pct"/>
          </w:tcPr>
          <w:p w14:paraId="5F5DE04B" w14:textId="348AB816" w:rsidR="00A8599B" w:rsidRPr="001A7EEF" w:rsidRDefault="00A8599B" w:rsidP="0027228E">
            <w:pPr>
              <w:pStyle w:val="Body3"/>
              <w:rPr>
                <w:szCs w:val="18"/>
              </w:rPr>
            </w:pPr>
            <w:r w:rsidRPr="001A7EEF">
              <w:rPr>
                <w:szCs w:val="18"/>
              </w:rPr>
              <w:t>National funds, national innovation funds,  ESIF 2014-2020</w:t>
            </w:r>
            <w:r>
              <w:rPr>
                <w:szCs w:val="18"/>
              </w:rPr>
              <w:t xml:space="preserve">; interegional connectivity possibly </w:t>
            </w:r>
            <w:r w:rsidRPr="001A7EEF">
              <w:rPr>
                <w:szCs w:val="18"/>
              </w:rPr>
              <w:t>required</w:t>
            </w:r>
          </w:p>
        </w:tc>
      </w:tr>
      <w:tr w:rsidR="00A8599B" w:rsidRPr="001A7EEF" w14:paraId="5DE83669" w14:textId="77777777" w:rsidTr="00072B19">
        <w:trPr>
          <w:trHeight w:val="192"/>
        </w:trPr>
        <w:tc>
          <w:tcPr>
            <w:tcW w:w="919" w:type="pct"/>
          </w:tcPr>
          <w:p w14:paraId="55E7B1CF" w14:textId="7A29618E" w:rsidR="00A8599B" w:rsidRPr="001A7EEF" w:rsidRDefault="00A8599B" w:rsidP="0027228E">
            <w:pPr>
              <w:pStyle w:val="Body3"/>
              <w:rPr>
                <w:szCs w:val="18"/>
              </w:rPr>
            </w:pPr>
            <w:r w:rsidRPr="001A7EEF">
              <w:rPr>
                <w:szCs w:val="18"/>
              </w:rPr>
              <w:t>Type 7 Commercialisation of research, cross border</w:t>
            </w:r>
          </w:p>
        </w:tc>
        <w:tc>
          <w:tcPr>
            <w:tcW w:w="1311" w:type="pct"/>
          </w:tcPr>
          <w:p w14:paraId="2107498F" w14:textId="20908FE1" w:rsidR="00A8599B" w:rsidRPr="001A7EEF" w:rsidRDefault="00A8599B" w:rsidP="0027228E">
            <w:pPr>
              <w:pStyle w:val="Body3"/>
              <w:rPr>
                <w:szCs w:val="18"/>
              </w:rPr>
            </w:pPr>
            <w:r w:rsidRPr="001A7EEF">
              <w:rPr>
                <w:szCs w:val="18"/>
              </w:rPr>
              <w:t>7.1) Awareness raising</w:t>
            </w:r>
          </w:p>
          <w:p w14:paraId="349D375A" w14:textId="4DA4B9AB" w:rsidR="00A8599B" w:rsidRPr="001A7EEF" w:rsidRDefault="00A8599B" w:rsidP="0027228E">
            <w:pPr>
              <w:pStyle w:val="Body3"/>
              <w:rPr>
                <w:szCs w:val="18"/>
              </w:rPr>
            </w:pPr>
            <w:r w:rsidRPr="001A7EEF">
              <w:rPr>
                <w:szCs w:val="18"/>
              </w:rPr>
              <w:t>7.2) Cross border, interregional</w:t>
            </w:r>
          </w:p>
        </w:tc>
        <w:tc>
          <w:tcPr>
            <w:tcW w:w="2770" w:type="pct"/>
          </w:tcPr>
          <w:p w14:paraId="5EC4092A" w14:textId="77777777" w:rsidR="00A8599B" w:rsidRPr="001A7EEF" w:rsidRDefault="00A8599B" w:rsidP="0027228E">
            <w:pPr>
              <w:pStyle w:val="Body3"/>
              <w:rPr>
                <w:szCs w:val="18"/>
              </w:rPr>
            </w:pPr>
            <w:r w:rsidRPr="001A7EEF">
              <w:rPr>
                <w:szCs w:val="18"/>
              </w:rPr>
              <w:t>7.1: National funds, national innovation funds,  ESIF 2014-2020; interegional connectivity not required.</w:t>
            </w:r>
          </w:p>
          <w:p w14:paraId="21A06B73" w14:textId="77777777" w:rsidR="00A8599B" w:rsidRPr="001A7EEF" w:rsidRDefault="00A8599B" w:rsidP="0027228E">
            <w:pPr>
              <w:pStyle w:val="Body3"/>
              <w:rPr>
                <w:szCs w:val="18"/>
              </w:rPr>
            </w:pPr>
          </w:p>
          <w:p w14:paraId="47BDF837" w14:textId="0DABBEA9" w:rsidR="00A8599B" w:rsidRPr="001A7EEF" w:rsidRDefault="00A8599B" w:rsidP="0027228E">
            <w:pPr>
              <w:pStyle w:val="Body3"/>
              <w:rPr>
                <w:szCs w:val="18"/>
              </w:rPr>
            </w:pPr>
            <w:r w:rsidRPr="001A7EEF">
              <w:rPr>
                <w:szCs w:val="18"/>
              </w:rPr>
              <w:t>7.2: Bilaterally earmarked national and /or ESIF funds</w:t>
            </w:r>
          </w:p>
        </w:tc>
      </w:tr>
      <w:tr w:rsidR="00A8599B" w:rsidRPr="001A7EEF" w14:paraId="4DABE792" w14:textId="77777777" w:rsidTr="00072B19">
        <w:trPr>
          <w:trHeight w:val="192"/>
        </w:trPr>
        <w:tc>
          <w:tcPr>
            <w:tcW w:w="919" w:type="pct"/>
          </w:tcPr>
          <w:p w14:paraId="351659C9" w14:textId="2CFADAE3" w:rsidR="00A8599B" w:rsidRPr="001A7EEF" w:rsidRDefault="00A8599B" w:rsidP="0027228E">
            <w:pPr>
              <w:pStyle w:val="Body3"/>
              <w:rPr>
                <w:szCs w:val="18"/>
              </w:rPr>
            </w:pPr>
            <w:r w:rsidRPr="001A7EEF">
              <w:rPr>
                <w:szCs w:val="18"/>
              </w:rPr>
              <w:t>Type 8 Direct research to business cooperations</w:t>
            </w:r>
          </w:p>
        </w:tc>
        <w:tc>
          <w:tcPr>
            <w:tcW w:w="1311" w:type="pct"/>
          </w:tcPr>
          <w:p w14:paraId="7FCB519B" w14:textId="77777777" w:rsidR="00A8599B" w:rsidRPr="001A7EEF" w:rsidRDefault="00A8599B" w:rsidP="0027228E">
            <w:pPr>
              <w:pStyle w:val="Body3"/>
              <w:rPr>
                <w:szCs w:val="18"/>
              </w:rPr>
            </w:pPr>
            <w:r w:rsidRPr="001A7EEF">
              <w:rPr>
                <w:szCs w:val="18"/>
              </w:rPr>
              <w:t xml:space="preserve">8.1) regular awareness raising within the partner areas and </w:t>
            </w:r>
          </w:p>
          <w:p w14:paraId="4145C6A4" w14:textId="36069D52" w:rsidR="00A8599B" w:rsidRPr="001A7EEF" w:rsidRDefault="00A8599B" w:rsidP="0027228E">
            <w:pPr>
              <w:pStyle w:val="Body3"/>
              <w:rPr>
                <w:szCs w:val="18"/>
              </w:rPr>
            </w:pPr>
            <w:r w:rsidRPr="001A7EEF">
              <w:rPr>
                <w:szCs w:val="18"/>
              </w:rPr>
              <w:t>8.2) support project preparation actions.</w:t>
            </w:r>
          </w:p>
        </w:tc>
        <w:tc>
          <w:tcPr>
            <w:tcW w:w="2770" w:type="pct"/>
          </w:tcPr>
          <w:p w14:paraId="78CC2DEA" w14:textId="67A8FC7E" w:rsidR="00A8599B" w:rsidRPr="001A7EEF" w:rsidRDefault="00A8599B" w:rsidP="0027228E">
            <w:pPr>
              <w:pStyle w:val="Body3"/>
              <w:rPr>
                <w:szCs w:val="18"/>
              </w:rPr>
            </w:pPr>
            <w:r w:rsidRPr="001A7EEF">
              <w:rPr>
                <w:szCs w:val="18"/>
              </w:rPr>
              <w:t>8.1 Task of regional innovation intermediary &amp; linkages to EEN is relevant.</w:t>
            </w:r>
          </w:p>
          <w:p w14:paraId="4C0A65B7" w14:textId="77777777" w:rsidR="00A8599B" w:rsidRPr="001A7EEF" w:rsidRDefault="00A8599B" w:rsidP="0027228E">
            <w:pPr>
              <w:pStyle w:val="Body3"/>
              <w:rPr>
                <w:szCs w:val="18"/>
              </w:rPr>
            </w:pPr>
          </w:p>
          <w:p w14:paraId="305FC4E0" w14:textId="6C4046D3" w:rsidR="00A8599B" w:rsidRPr="001A7EEF" w:rsidRDefault="00A8599B" w:rsidP="0027228E">
            <w:pPr>
              <w:pStyle w:val="Body3"/>
              <w:rPr>
                <w:szCs w:val="18"/>
              </w:rPr>
            </w:pPr>
            <w:r w:rsidRPr="001A7EEF">
              <w:rPr>
                <w:szCs w:val="18"/>
              </w:rPr>
              <w:t>8.2  Small, bilaterally earmarked funds for setting up such partnership –based options. Can national and / or ESIF funds.</w:t>
            </w:r>
          </w:p>
          <w:p w14:paraId="6F1682FC" w14:textId="339B9EF7" w:rsidR="00A8599B" w:rsidRPr="001A7EEF" w:rsidRDefault="00A8599B" w:rsidP="0027228E">
            <w:pPr>
              <w:pStyle w:val="Body3"/>
              <w:rPr>
                <w:szCs w:val="18"/>
              </w:rPr>
            </w:pPr>
          </w:p>
        </w:tc>
      </w:tr>
    </w:tbl>
    <w:p w14:paraId="2408B624" w14:textId="382451D9" w:rsidR="004A6581" w:rsidRPr="006A4C93" w:rsidRDefault="004A6581" w:rsidP="00837006">
      <w:pPr>
        <w:shd w:val="clear" w:color="auto" w:fill="FFFFFF" w:themeFill="background1"/>
        <w:spacing w:before="0" w:after="0" w:line="240" w:lineRule="auto"/>
        <w:ind w:left="0" w:right="0"/>
        <w:jc w:val="left"/>
        <w:sectPr w:rsidR="004A6581" w:rsidRPr="006A4C93" w:rsidSect="00E66028">
          <w:headerReference w:type="default" r:id="rId15"/>
          <w:footerReference w:type="even" r:id="rId16"/>
          <w:footerReference w:type="default" r:id="rId17"/>
          <w:pgSz w:w="11900" w:h="16840"/>
          <w:pgMar w:top="1531" w:right="1134" w:bottom="1531" w:left="1531" w:header="720" w:footer="1049" w:gutter="0"/>
          <w:cols w:space="708"/>
          <w:docGrid w:linePitch="326"/>
        </w:sectPr>
      </w:pPr>
    </w:p>
    <w:p w14:paraId="19060248" w14:textId="77777777" w:rsidR="00A42A67" w:rsidRPr="006A4C93" w:rsidRDefault="00A42A67" w:rsidP="001A7EEF">
      <w:pPr>
        <w:pStyle w:val="Caption"/>
        <w:numPr>
          <w:ilvl w:val="0"/>
          <w:numId w:val="0"/>
        </w:numPr>
        <w:ind w:left="720"/>
      </w:pPr>
    </w:p>
    <w:sectPr w:rsidR="00A42A67" w:rsidRPr="006A4C93" w:rsidSect="00152A24">
      <w:pgSz w:w="11900" w:h="16820"/>
      <w:pgMar w:top="1531" w:right="1134" w:bottom="1531" w:left="1531" w:header="720" w:footer="10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BDCB" w14:textId="77777777" w:rsidR="000C3CD1" w:rsidRDefault="000C3CD1" w:rsidP="000B7386">
      <w:pPr>
        <w:spacing w:after="0" w:line="240" w:lineRule="auto"/>
      </w:pPr>
      <w:r>
        <w:separator/>
      </w:r>
    </w:p>
  </w:endnote>
  <w:endnote w:type="continuationSeparator" w:id="0">
    <w:p w14:paraId="3229CDB7" w14:textId="77777777" w:rsidR="000C3CD1" w:rsidRDefault="000C3CD1" w:rsidP="000B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Bold">
    <w:altName w:val="Microsoft Sans Serif"/>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Tiger">
    <w:altName w:val="STIXGeneral"/>
    <w:panose1 w:val="05050102010706020507"/>
    <w:charset w:val="4D"/>
    <w:family w:val="decorative"/>
    <w:pitch w:val="variable"/>
    <w:sig w:usb0="00000001"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HGPMinchoE">
    <w:panose1 w:val="020209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mil MN">
    <w:panose1 w:val="02020600050405020304"/>
    <w:charset w:val="00"/>
    <w:family w:val="auto"/>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ple Symbols">
    <w:panose1 w:val="02000000000000000000"/>
    <w:charset w:val="B1"/>
    <w:family w:val="auto"/>
    <w:pitch w:val="variable"/>
    <w:sig w:usb0="800008A3" w:usb1="08007BEB" w:usb2="01840034" w:usb3="00000000" w:csb0="000001F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CEA6" w14:textId="77777777" w:rsidR="00017477" w:rsidRDefault="00017477" w:rsidP="00EC6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862A9" w14:textId="77777777" w:rsidR="00017477" w:rsidRDefault="00017477" w:rsidP="000B7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F75E" w14:textId="2386F763" w:rsidR="00017477" w:rsidRPr="00C40FA6" w:rsidRDefault="00017477" w:rsidP="00FA2E0C">
    <w:pPr>
      <w:pStyle w:val="Header"/>
      <w:pBdr>
        <w:top w:val="single" w:sz="2" w:space="1" w:color="D9D9D9" w:themeColor="background1" w:themeShade="D9"/>
      </w:pBdr>
      <w:tabs>
        <w:tab w:val="left" w:pos="5216"/>
        <w:tab w:val="left" w:pos="9639"/>
      </w:tabs>
      <w:spacing w:line="360" w:lineRule="auto"/>
      <w:ind w:left="-284"/>
      <w:jc w:val="right"/>
      <w:rPr>
        <w:rFonts w:cs="Tahoma"/>
      </w:rPr>
    </w:pPr>
    <w:r>
      <w:rPr>
        <w:rFonts w:ascii="Calibri" w:eastAsia="Calibri" w:hAnsi="Calibri"/>
        <w:lang w:val="de-DE" w:eastAsia="de-DE"/>
      </w:rPr>
      <w:tab/>
    </w:r>
    <w:r>
      <w:rPr>
        <w:color w:val="F5C040" w:themeColor="accent5"/>
      </w:rPr>
      <w:t xml:space="preserve">Policy learning, </w:t>
    </w:r>
    <w:r>
      <w:rPr>
        <w:i/>
        <w:color w:val="F5C040" w:themeColor="accent5"/>
      </w:rPr>
      <w:t xml:space="preserve">capitalisation report of the innovation maps </w:t>
    </w:r>
    <w:r w:rsidRPr="00281CD5">
      <w:rPr>
        <w:rFonts w:cs="Tahoma"/>
        <w:i/>
      </w:rPr>
      <w:t xml:space="preserve">Page </w:t>
    </w:r>
    <w:r w:rsidRPr="00281CD5">
      <w:rPr>
        <w:rFonts w:cs="Tahoma"/>
        <w:i/>
      </w:rPr>
      <w:fldChar w:fldCharType="begin"/>
    </w:r>
    <w:r w:rsidRPr="00281CD5">
      <w:rPr>
        <w:rFonts w:cs="Tahoma"/>
        <w:i/>
      </w:rPr>
      <w:instrText xml:space="preserve"> PAGE </w:instrText>
    </w:r>
    <w:r w:rsidRPr="00281CD5">
      <w:rPr>
        <w:rFonts w:cs="Tahoma"/>
        <w:i/>
      </w:rPr>
      <w:fldChar w:fldCharType="separate"/>
    </w:r>
    <w:r>
      <w:rPr>
        <w:rFonts w:cs="Tahoma"/>
        <w:i/>
      </w:rPr>
      <w:t>3</w:t>
    </w:r>
    <w:r w:rsidRPr="00281CD5">
      <w:rPr>
        <w:rFonts w:cs="Tahoma"/>
        <w:i/>
      </w:rPr>
      <w:fldChar w:fldCharType="end"/>
    </w:r>
    <w:r w:rsidRPr="00281CD5">
      <w:rPr>
        <w:rFonts w:cs="Tahoma"/>
        <w:i/>
      </w:rPr>
      <w:t xml:space="preserve"> of </w:t>
    </w:r>
    <w:r w:rsidRPr="00281CD5">
      <w:rPr>
        <w:rFonts w:cs="Tahoma"/>
        <w:i/>
      </w:rPr>
      <w:fldChar w:fldCharType="begin"/>
    </w:r>
    <w:r w:rsidRPr="00281CD5">
      <w:rPr>
        <w:rFonts w:cs="Tahoma"/>
        <w:i/>
      </w:rPr>
      <w:instrText xml:space="preserve"> NUMPAGES </w:instrText>
    </w:r>
    <w:r w:rsidRPr="00281CD5">
      <w:rPr>
        <w:rFonts w:cs="Tahoma"/>
        <w:i/>
      </w:rPr>
      <w:fldChar w:fldCharType="separate"/>
    </w:r>
    <w:r>
      <w:rPr>
        <w:rFonts w:cs="Tahoma"/>
        <w:i/>
      </w:rPr>
      <w:t>38</w:t>
    </w:r>
    <w:r w:rsidRPr="00281CD5">
      <w:rPr>
        <w:rFonts w:cs="Tahom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497A" w14:textId="77777777" w:rsidR="000C3CD1" w:rsidRDefault="000C3CD1" w:rsidP="000B7386">
      <w:pPr>
        <w:spacing w:after="0" w:line="240" w:lineRule="auto"/>
      </w:pPr>
      <w:r>
        <w:separator/>
      </w:r>
    </w:p>
  </w:footnote>
  <w:footnote w:type="continuationSeparator" w:id="0">
    <w:p w14:paraId="0C4E4043" w14:textId="77777777" w:rsidR="000C3CD1" w:rsidRDefault="000C3CD1" w:rsidP="000B7386">
      <w:pPr>
        <w:spacing w:after="0" w:line="240" w:lineRule="auto"/>
      </w:pPr>
      <w:r>
        <w:continuationSeparator/>
      </w:r>
    </w:p>
  </w:footnote>
  <w:footnote w:id="1">
    <w:p w14:paraId="09896C30" w14:textId="77777777" w:rsidR="00017477" w:rsidRPr="00182326" w:rsidRDefault="00017477" w:rsidP="00526645">
      <w:pPr>
        <w:pStyle w:val="Heading5"/>
        <w:rPr>
          <w:rStyle w:val="FootnoteTextChar"/>
          <w:rFonts w:eastAsiaTheme="majorEastAsia"/>
        </w:rPr>
      </w:pPr>
      <w:r>
        <w:rPr>
          <w:rStyle w:val="FootnoteReference"/>
        </w:rPr>
        <w:footnoteRef/>
      </w:r>
      <w:r w:rsidRPr="000B67A8">
        <w:rPr>
          <w:lang w:val="it-IT"/>
        </w:rPr>
        <w:t xml:space="preserve"> </w:t>
      </w:r>
      <w:r w:rsidRPr="00394B0F">
        <w:rPr>
          <w:rStyle w:val="FootnoteTextChar"/>
        </w:rPr>
        <w:t>Roberto Basile, Roberta Capello, and Andrea Caragliu, 2011. Interregional Knowledge Spillovers and Economic</w:t>
      </w:r>
      <w:r w:rsidRPr="00182326">
        <w:rPr>
          <w:rStyle w:val="FootnoteTextChar"/>
          <w:rFonts w:eastAsiaTheme="majorEastAsia"/>
        </w:rPr>
        <w:t xml:space="preserve"> Growth: The Role of Relational Proximity. Retrieved from Research Gate on 9.4.2017.</w:t>
      </w:r>
    </w:p>
  </w:footnote>
  <w:footnote w:id="2">
    <w:p w14:paraId="78082974" w14:textId="77777777" w:rsidR="00017477" w:rsidRPr="00C25E7D" w:rsidRDefault="00017477" w:rsidP="00526645">
      <w:pPr>
        <w:pStyle w:val="Footnote"/>
        <w:ind w:left="340"/>
        <w:rPr>
          <w:rStyle w:val="Heading5Char"/>
          <w:iCs/>
          <w:color w:val="auto"/>
        </w:rPr>
      </w:pPr>
      <w:r w:rsidRPr="00526645">
        <w:rPr>
          <w:rStyle w:val="FootnoteReference"/>
          <w:rFonts w:eastAsiaTheme="minorEastAsia" w:cstheme="majorBidi"/>
          <w:bCs w:val="0"/>
          <w:noProof/>
          <w:szCs w:val="18"/>
          <w:bdr w:val="none" w:sz="0" w:space="0" w:color="auto"/>
          <w:lang w:eastAsia="fi-FI"/>
        </w:rPr>
        <w:footnoteRef/>
      </w:r>
      <w:r w:rsidRPr="00526645">
        <w:rPr>
          <w:rStyle w:val="FootnoteReference"/>
          <w:rFonts w:eastAsiaTheme="minorEastAsia" w:cstheme="majorBidi"/>
          <w:bCs w:val="0"/>
          <w:noProof/>
          <w:szCs w:val="18"/>
          <w:bdr w:val="none" w:sz="0" w:space="0" w:color="auto"/>
          <w:lang w:eastAsia="fi-FI"/>
        </w:rPr>
        <w:t xml:space="preserve"> </w:t>
      </w:r>
      <w:r w:rsidRPr="00526645">
        <w:rPr>
          <w:rStyle w:val="FootnoteTextChar"/>
          <w:rFonts w:eastAsiaTheme="majorEastAsia"/>
          <w:bCs w:val="0"/>
          <w:bdr w:val="none" w:sz="0" w:space="0" w:color="auto"/>
          <w:lang w:eastAsia="fi-FI"/>
        </w:rPr>
        <w:t>FIRI</w:t>
      </w:r>
      <w:r w:rsidRPr="00526645">
        <w:rPr>
          <w:rStyle w:val="FootnoteTextChar"/>
          <w:rFonts w:eastAsiaTheme="majorEastAsia"/>
          <w:bCs w:val="0"/>
          <w:bdr w:val="none" w:sz="0" w:space="0" w:color="auto"/>
        </w:rPr>
        <w:t xml:space="preserve"> the Finnish research inFrastructure committee), AKA (Academy of Finland), MINEDU (Ministry of Education), 2014. Finland’s strategy and roadmap for research infrastructures 2014-2020. Page 3, stressing quality of research, impact, and internationalisation.</w:t>
      </w:r>
      <w:r>
        <w:rPr>
          <w:rStyle w:val="Heading5Char"/>
          <w:color w:val="auto"/>
        </w:rPr>
        <w:t xml:space="preserve"> </w:t>
      </w:r>
    </w:p>
  </w:footnote>
  <w:footnote w:id="3">
    <w:p w14:paraId="6C2B33EF" w14:textId="77777777" w:rsidR="00017477" w:rsidRPr="005E3B91" w:rsidRDefault="00017477" w:rsidP="005E3B91">
      <w:pPr>
        <w:pStyle w:val="FootnoteText"/>
        <w:rPr>
          <w:szCs w:val="16"/>
        </w:rPr>
      </w:pPr>
      <w:r w:rsidRPr="005E3B91">
        <w:rPr>
          <w:rStyle w:val="FootnoteReference"/>
          <w:rFonts w:cstheme="majorBidi"/>
          <w:color w:val="7F7F7F" w:themeColor="text1" w:themeTint="80"/>
          <w:sz w:val="16"/>
          <w:szCs w:val="16"/>
          <w:lang w:val="en-US" w:eastAsia="fi-FI"/>
        </w:rPr>
        <w:footnoteRef/>
      </w:r>
      <w:r w:rsidRPr="005E3B91">
        <w:rPr>
          <w:rStyle w:val="FootnoteReference"/>
          <w:rFonts w:cstheme="majorBidi"/>
          <w:color w:val="7F7F7F" w:themeColor="text1" w:themeTint="80"/>
          <w:sz w:val="16"/>
          <w:szCs w:val="16"/>
          <w:lang w:val="en-US" w:eastAsia="fi-FI"/>
        </w:rPr>
        <w:t xml:space="preserve"> </w:t>
      </w:r>
      <w:r w:rsidRPr="005E3B91">
        <w:rPr>
          <w:szCs w:val="16"/>
        </w:rPr>
        <w:t>IUS = Innovation Union Scoreboard</w:t>
      </w:r>
    </w:p>
  </w:footnote>
  <w:footnote w:id="4">
    <w:p w14:paraId="50744E23" w14:textId="77777777" w:rsidR="00017477" w:rsidRPr="005E3B91" w:rsidRDefault="00017477" w:rsidP="005E3B91">
      <w:pPr>
        <w:pStyle w:val="FootnoteText"/>
        <w:rPr>
          <w:szCs w:val="16"/>
        </w:rPr>
      </w:pPr>
      <w:r w:rsidRPr="0068169C">
        <w:rPr>
          <w:rStyle w:val="FootnoteReference"/>
          <w:sz w:val="16"/>
          <w:szCs w:val="16"/>
        </w:rPr>
        <w:footnoteRef/>
      </w:r>
      <w:r w:rsidRPr="0068169C">
        <w:rPr>
          <w:rStyle w:val="FootnoteReference"/>
          <w:sz w:val="16"/>
          <w:szCs w:val="16"/>
        </w:rPr>
        <w:t xml:space="preserve"> </w:t>
      </w:r>
      <w:r w:rsidRPr="0068169C">
        <w:rPr>
          <w:color w:val="FF0000"/>
          <w:szCs w:val="16"/>
        </w:rPr>
        <w:t xml:space="preserve"> </w:t>
      </w:r>
      <w:r w:rsidRPr="005E3B91">
        <w:rPr>
          <w:szCs w:val="16"/>
        </w:rPr>
        <w:t>http://www.stat.fi/tup/suoluk/suoluk_vaesto_en.html</w:t>
      </w:r>
    </w:p>
  </w:footnote>
  <w:footnote w:id="5">
    <w:p w14:paraId="18E6675D" w14:textId="77777777"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http://www.stat.fi/tup/suoluk/suoluk_vaesto_en.html</w:t>
      </w:r>
    </w:p>
  </w:footnote>
  <w:footnote w:id="6">
    <w:p w14:paraId="5A181BAC" w14:textId="77777777" w:rsidR="00017477" w:rsidRPr="005E3B91" w:rsidRDefault="00017477" w:rsidP="005E3B91">
      <w:pPr>
        <w:pStyle w:val="FootnoteText"/>
        <w:rPr>
          <w:szCs w:val="16"/>
        </w:rPr>
      </w:pPr>
      <w:r w:rsidRPr="0068169C">
        <w:rPr>
          <w:rStyle w:val="FootnoteReference"/>
          <w:sz w:val="16"/>
          <w:szCs w:val="16"/>
        </w:rPr>
        <w:footnoteRef/>
      </w:r>
      <w:r w:rsidRPr="0068169C">
        <w:rPr>
          <w:color w:val="FF0000"/>
          <w:szCs w:val="16"/>
        </w:rPr>
        <w:t xml:space="preserve"> </w:t>
      </w:r>
      <w:r w:rsidRPr="005E3B91">
        <w:rPr>
          <w:szCs w:val="16"/>
        </w:rPr>
        <w:t>Data 2011</w:t>
      </w:r>
      <w:r w:rsidRPr="005E3B91">
        <w:rPr>
          <w:rStyle w:val="Hyperlink"/>
          <w:color w:val="7F7F7F" w:themeColor="text1" w:themeTint="80"/>
          <w:sz w:val="16"/>
          <w:szCs w:val="16"/>
        </w:rPr>
        <w:t xml:space="preserve">, </w:t>
      </w:r>
      <w:hyperlink r:id="rId1" w:history="1">
        <w:r w:rsidRPr="005E3B91">
          <w:rPr>
            <w:rStyle w:val="Hyperlink"/>
            <w:color w:val="7F7F7F" w:themeColor="text1" w:themeTint="80"/>
            <w:sz w:val="16"/>
            <w:szCs w:val="16"/>
          </w:rPr>
          <w:t>https://www.ksh.hu/docs/eng/xftp/idoszaki/gdpter/egdpter11.pdf</w:t>
        </w:r>
      </w:hyperlink>
      <w:r w:rsidRPr="005E3B91">
        <w:rPr>
          <w:szCs w:val="16"/>
        </w:rPr>
        <w:t>, page 9</w:t>
      </w:r>
    </w:p>
  </w:footnote>
  <w:footnote w:id="7">
    <w:p w14:paraId="44A5BCB8" w14:textId="77777777"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Foray D., David P.A., Hall B., Bronwyn H., 2009, </w:t>
      </w:r>
      <w:r w:rsidRPr="005E3B91">
        <w:rPr>
          <w:i/>
          <w:iCs/>
          <w:szCs w:val="16"/>
        </w:rPr>
        <w:t>Smart Specialisation – e Concept</w:t>
      </w:r>
      <w:r w:rsidRPr="005E3B91">
        <w:rPr>
          <w:szCs w:val="16"/>
        </w:rPr>
        <w:t xml:space="preserve">. Brussels. </w:t>
      </w:r>
    </w:p>
    <w:p w14:paraId="2545AEB8" w14:textId="77777777" w:rsidR="00017477" w:rsidRPr="005E3B91" w:rsidRDefault="00017477" w:rsidP="005E3B91">
      <w:pPr>
        <w:pStyle w:val="FootnoteText"/>
        <w:rPr>
          <w:szCs w:val="16"/>
        </w:rPr>
      </w:pPr>
      <w:r w:rsidRPr="005E3B91">
        <w:rPr>
          <w:szCs w:val="16"/>
        </w:rPr>
        <w:t xml:space="preserve">Foray D., Goddard J., Beldarrain X.G., Landabaso M., McCann P., Morgan K., Nauwelaers C., Ortega-Argilés R. and Mulatero F., 2012, </w:t>
      </w:r>
      <w:r w:rsidRPr="005E3B91">
        <w:rPr>
          <w:i/>
          <w:iCs/>
          <w:szCs w:val="16"/>
        </w:rPr>
        <w:t>Guide to Research and Innovation Strategies for Smart Specialisations (ris 3)</w:t>
      </w:r>
      <w:r w:rsidRPr="005E3B91">
        <w:rPr>
          <w:szCs w:val="16"/>
        </w:rPr>
        <w:t xml:space="preserve">. Luxemburg: European Union. </w:t>
      </w:r>
    </w:p>
    <w:p w14:paraId="7D4C9471" w14:textId="77777777" w:rsidR="00017477" w:rsidRPr="005E3B91" w:rsidRDefault="00017477" w:rsidP="005E3B91">
      <w:pPr>
        <w:pStyle w:val="FootnoteText"/>
        <w:rPr>
          <w:szCs w:val="16"/>
        </w:rPr>
      </w:pPr>
      <w:r w:rsidRPr="005E3B91">
        <w:rPr>
          <w:szCs w:val="16"/>
        </w:rPr>
        <w:t xml:space="preserve">Foray D., Goenega X., 2013, </w:t>
      </w:r>
      <w:r w:rsidRPr="005E3B91">
        <w:rPr>
          <w:i/>
          <w:iCs/>
          <w:szCs w:val="16"/>
        </w:rPr>
        <w:t>e Goals of Smart Specialisation</w:t>
      </w:r>
      <w:r w:rsidRPr="005E3B91">
        <w:rPr>
          <w:szCs w:val="16"/>
        </w:rPr>
        <w:t xml:space="preserve">. Seville (Spain): Euroean Commission. </w:t>
      </w:r>
    </w:p>
    <w:p w14:paraId="7DE7BDD1" w14:textId="77777777" w:rsidR="00017477" w:rsidRPr="005E3B91" w:rsidRDefault="00017477" w:rsidP="005E3B91">
      <w:pPr>
        <w:pStyle w:val="FootnoteText"/>
        <w:rPr>
          <w:rStyle w:val="Hyperlink"/>
          <w:color w:val="7F7F7F" w:themeColor="text1" w:themeTint="80"/>
          <w:sz w:val="16"/>
          <w:szCs w:val="16"/>
        </w:rPr>
      </w:pPr>
      <w:r w:rsidRPr="005E3B91">
        <w:rPr>
          <w:szCs w:val="16"/>
        </w:rPr>
        <w:t>Donato Iacobucci, Enrico Guzzini, 2015</w:t>
      </w:r>
      <w:r w:rsidRPr="005E3B91">
        <w:rPr>
          <w:rStyle w:val="FootnoteTextChar"/>
          <w:rFonts w:eastAsiaTheme="majorEastAsia"/>
          <w:szCs w:val="16"/>
        </w:rPr>
        <w:t xml:space="preserve">. </w:t>
      </w:r>
      <w:r w:rsidRPr="005E3B91">
        <w:rPr>
          <w:rStyle w:val="FootnoteTextChar"/>
          <w:szCs w:val="16"/>
        </w:rPr>
        <w:t>Relatedness and connectivity in technological domains: missing links in S3 design and implementation</w:t>
      </w:r>
      <w:r w:rsidRPr="005E3B91">
        <w:rPr>
          <w:rStyle w:val="FootnoteTextChar"/>
          <w:rFonts w:eastAsiaTheme="majorEastAsia"/>
          <w:szCs w:val="16"/>
        </w:rPr>
        <w:t xml:space="preserve">; European Planning Studies </w:t>
      </w:r>
      <w:hyperlink r:id="rId2" w:history="1">
        <w:r w:rsidRPr="005E3B91">
          <w:rPr>
            <w:rStyle w:val="apple-converted-space"/>
            <w:szCs w:val="16"/>
          </w:rPr>
          <w:t> </w:t>
        </w:r>
      </w:hyperlink>
      <w:r w:rsidRPr="005E3B91">
        <w:rPr>
          <w:szCs w:val="16"/>
        </w:rPr>
        <w:t>Volume 24, 2016 –</w:t>
      </w:r>
      <w:r w:rsidRPr="005E3B91">
        <w:rPr>
          <w:rStyle w:val="apple-converted-space"/>
          <w:szCs w:val="16"/>
        </w:rPr>
        <w:t xml:space="preserve"> Issue 8: </w:t>
      </w:r>
      <w:r w:rsidRPr="005E3B91">
        <w:rPr>
          <w:rStyle w:val="specialtitle"/>
          <w:szCs w:val="16"/>
        </w:rPr>
        <w:t xml:space="preserve">Regional Innovation Strstegies 3(RIS3): From Concept to Applications, </w:t>
      </w:r>
      <w:hyperlink r:id="rId3" w:history="1">
        <w:r w:rsidRPr="005E3B91">
          <w:rPr>
            <w:rStyle w:val="Hyperlink"/>
            <w:color w:val="7F7F7F" w:themeColor="text1" w:themeTint="80"/>
            <w:sz w:val="16"/>
            <w:szCs w:val="16"/>
          </w:rPr>
          <w:t>http://dx.doi.org/10.1080/09654313.2016.1170108</w:t>
        </w:r>
      </w:hyperlink>
      <w:r w:rsidRPr="005E3B91">
        <w:rPr>
          <w:rStyle w:val="Hyperlink"/>
          <w:color w:val="7F7F7F" w:themeColor="text1" w:themeTint="80"/>
          <w:sz w:val="16"/>
          <w:szCs w:val="16"/>
        </w:rPr>
        <w:t xml:space="preserve"> .</w:t>
      </w:r>
    </w:p>
    <w:p w14:paraId="3E69E40D" w14:textId="77777777" w:rsidR="00017477" w:rsidRPr="005E3B91" w:rsidRDefault="00017477" w:rsidP="005E3B91">
      <w:pPr>
        <w:pStyle w:val="FootnoteText"/>
        <w:rPr>
          <w:i/>
          <w:iCs/>
          <w:szCs w:val="16"/>
        </w:rPr>
      </w:pPr>
      <w:r w:rsidRPr="005E3B91">
        <w:rPr>
          <w:rStyle w:val="FootnoteTextChar"/>
          <w:rFonts w:eastAsiaTheme="majorEastAsia" w:cs="Tamil MN"/>
          <w:szCs w:val="16"/>
        </w:rPr>
        <w:t>Donato Iacobucci, Enrico Guzzini, 2016. La ‘Smart Specialization Strategy’ delle regioni italiane e le relazioni fra ambiti tecnologici, Sciennze Regionali / Italian Journal of Regional Science Vol. 15 / n. 3, 2016, shared by the author 15.4.2017.</w:t>
      </w:r>
      <w:r w:rsidRPr="005E3B91">
        <w:rPr>
          <w:i/>
          <w:iCs/>
          <w:szCs w:val="16"/>
        </w:rPr>
        <w:t xml:space="preserve"> </w:t>
      </w:r>
    </w:p>
    <w:p w14:paraId="7F5E9A90" w14:textId="050E7698" w:rsidR="00017477" w:rsidRPr="005E3B91" w:rsidRDefault="00017477" w:rsidP="005E3B91">
      <w:pPr>
        <w:pStyle w:val="FootnoteText"/>
        <w:rPr>
          <w:szCs w:val="16"/>
          <w:lang w:val="fi-FI"/>
        </w:rPr>
      </w:pPr>
      <w:r w:rsidRPr="005E3B91">
        <w:rPr>
          <w:szCs w:val="16"/>
        </w:rPr>
        <w:t xml:space="preserve">Ruslan Rakhmatullin European Commission, DG JRC, IPTS, Smart Specialisation Platform, 2014. </w:t>
      </w:r>
      <w:r w:rsidRPr="005E3B91">
        <w:rPr>
          <w:rStyle w:val="FootnoteTextChar"/>
          <w:szCs w:val="16"/>
        </w:rPr>
        <w:t>Triple/Quadruple Helix in the context of Smart Specialisation,</w:t>
      </w:r>
      <w:r w:rsidRPr="005E3B91">
        <w:rPr>
          <w:rFonts w:ascii="Times" w:hAnsi="Times" w:cs="Times"/>
          <w:szCs w:val="16"/>
          <w:lang w:eastAsia="ja-JP"/>
        </w:rPr>
        <w:t xml:space="preserve"> </w:t>
      </w:r>
      <w:r w:rsidRPr="005E3B91">
        <w:rPr>
          <w:szCs w:val="16"/>
        </w:rPr>
        <w:t xml:space="preserve">29-30 May 2014 Guildford, UK. </w:t>
      </w:r>
    </w:p>
  </w:footnote>
  <w:footnote w:id="8">
    <w:p w14:paraId="6A43A814" w14:textId="77777777"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REGULATION (EU) No 1303/2013 OF THE EUROPEAN PARLIAMENT AND OF THE COUNCIL of 17 December 2013), page 378 Article 70 Eligibility of operations depending on location, §2 and page 415 Annex 1, COORDINATION AND SYNERGIES BETWEEN ESI FUNDS AND OTHER UNION POLICIES AND INSTRUMENTS. </w:t>
      </w:r>
    </w:p>
  </w:footnote>
  <w:footnote w:id="9">
    <w:p w14:paraId="51515B07" w14:textId="09935C68"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Part C.2, §2 of the approved BRIDGES AF</w:t>
      </w:r>
    </w:p>
  </w:footnote>
  <w:footnote w:id="10">
    <w:p w14:paraId="6E35FDDF" w14:textId="2861E4D3"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Part C.6.3 Innovative character, §1.</w:t>
      </w:r>
    </w:p>
  </w:footnote>
  <w:footnote w:id="11">
    <w:p w14:paraId="537B45B5" w14:textId="676BF479" w:rsidR="00017477" w:rsidRPr="00806E39" w:rsidRDefault="00017477" w:rsidP="00E91C98">
      <w:pPr>
        <w:widowControl w:val="0"/>
        <w:autoSpaceDE w:val="0"/>
        <w:autoSpaceDN w:val="0"/>
        <w:adjustRightInd w:val="0"/>
        <w:spacing w:before="0" w:after="240" w:line="180" w:lineRule="atLeast"/>
        <w:ind w:right="0"/>
        <w:jc w:val="left"/>
        <w:rPr>
          <w:lang w:val="fi-FI"/>
        </w:rPr>
      </w:pPr>
      <w:r>
        <w:rPr>
          <w:rStyle w:val="FootnoteReference"/>
        </w:rPr>
        <w:footnoteRef/>
      </w:r>
      <w:r>
        <w:t xml:space="preserve"> </w:t>
      </w:r>
      <w:r w:rsidRPr="00806E39">
        <w:rPr>
          <w:rStyle w:val="FootnoteTextChar"/>
        </w:rPr>
        <w:t>D1.Phase 1, semester 1: “IWG2 set up: to bring together regional authorities/MAs/IBs to identify, screen and finally activate synergies among the partner areas, especially between research and RIS3 economies, facilitated by e.g. interregional innovation vouchers. IWG2 refers to article 70.2 of the CPR. IWG2 is coordinated by PP 9 &amp; 10; members are PP2, PP3, PP4, and SK from PP5, 6,7</w:t>
      </w:r>
      <w:r>
        <w:rPr>
          <w:rStyle w:val="FootnoteTextChar"/>
        </w:rPr>
        <w:t xml:space="preserve">”. </w:t>
      </w:r>
    </w:p>
  </w:footnote>
  <w:footnote w:id="12">
    <w:p w14:paraId="35995AAB" w14:textId="60987E1A" w:rsidR="00017477" w:rsidRPr="005E3B91" w:rsidRDefault="00017477" w:rsidP="005E3B91">
      <w:pPr>
        <w:pStyle w:val="FootnoteText"/>
        <w:rPr>
          <w:szCs w:val="16"/>
        </w:rPr>
      </w:pPr>
      <w:r w:rsidRPr="0068169C">
        <w:rPr>
          <w:rStyle w:val="FootnoteReference"/>
          <w:sz w:val="16"/>
          <w:szCs w:val="16"/>
        </w:rPr>
        <w:footnoteRef/>
      </w:r>
      <w:r w:rsidRPr="005E3B91">
        <w:rPr>
          <w:szCs w:val="16"/>
        </w:rPr>
        <w:t xml:space="preserve"> D1, Phase 1, Semester 4: ”AC3: Inter­regional innovation co­operations, activation of Article 70.2 of the CPR &amp; research2industry framework partnerships. (ensured by IWG2 activities)”</w:t>
      </w:r>
      <w:r>
        <w:rPr>
          <w:szCs w:val="16"/>
        </w:rPr>
        <w:t xml:space="preserve">. </w:t>
      </w:r>
    </w:p>
  </w:footnote>
  <w:footnote w:id="13">
    <w:p w14:paraId="1A399B1A" w14:textId="1C1EB8FF" w:rsidR="00017477" w:rsidRPr="005E3B91" w:rsidRDefault="00017477" w:rsidP="005E3B91">
      <w:pPr>
        <w:pStyle w:val="FootnoteText"/>
        <w:rPr>
          <w:szCs w:val="16"/>
          <w:lang w:val="fi-FI"/>
        </w:rPr>
      </w:pPr>
      <w:r w:rsidRPr="0068169C">
        <w:rPr>
          <w:rStyle w:val="FootnoteReference"/>
          <w:sz w:val="16"/>
          <w:szCs w:val="16"/>
        </w:rPr>
        <w:footnoteRef/>
      </w:r>
      <w:r w:rsidRPr="0068169C">
        <w:rPr>
          <w:color w:val="FF0000"/>
          <w:szCs w:val="16"/>
        </w:rPr>
        <w:t xml:space="preserve"> </w:t>
      </w:r>
      <w:r w:rsidRPr="005E3B91">
        <w:rPr>
          <w:szCs w:val="16"/>
        </w:rPr>
        <w:t>Mark Boden (lead author) et al, 2017. Increasing the effectiveness of RIS3 implementation through university-to-industry interactions; woking document submitted to the UIIN 2017 confeerence, Dublin  June 7</w:t>
      </w:r>
      <w:r w:rsidRPr="005E3B91">
        <w:rPr>
          <w:szCs w:val="16"/>
          <w:vertAlign w:val="superscript"/>
        </w:rPr>
        <w:t>th</w:t>
      </w:r>
      <w:r w:rsidRPr="005E3B91">
        <w:rPr>
          <w:szCs w:val="16"/>
        </w:rPr>
        <w:t xml:space="preserve"> and 8</w:t>
      </w:r>
      <w:r w:rsidRPr="005E3B91">
        <w:rPr>
          <w:szCs w:val="16"/>
          <w:vertAlign w:val="superscript"/>
        </w:rPr>
        <w:t>th</w:t>
      </w:r>
      <w:r w:rsidRPr="005E3B91">
        <w:rPr>
          <w:szCs w:val="16"/>
        </w:rPr>
        <w:t xml:space="preserve"> 2017, page 5.</w:t>
      </w:r>
    </w:p>
  </w:footnote>
  <w:footnote w:id="14">
    <w:p w14:paraId="76AABAB2" w14:textId="77777777" w:rsidR="00017477" w:rsidRPr="005E3B91" w:rsidRDefault="00017477" w:rsidP="005E3B91">
      <w:pPr>
        <w:pStyle w:val="FootnoteText"/>
        <w:rPr>
          <w:szCs w:val="16"/>
        </w:rPr>
      </w:pPr>
      <w:r w:rsidRPr="00B63D31">
        <w:rPr>
          <w:rStyle w:val="FootnoteReference"/>
          <w:sz w:val="16"/>
          <w:szCs w:val="16"/>
        </w:rPr>
        <w:footnoteRef/>
      </w:r>
      <w:r w:rsidRPr="00B63D31">
        <w:rPr>
          <w:color w:val="FF0000"/>
          <w:szCs w:val="16"/>
        </w:rPr>
        <w:t xml:space="preserve"> </w:t>
      </w:r>
      <w:r w:rsidRPr="005E3B91">
        <w:rPr>
          <w:rStyle w:val="FootnoteTextChar"/>
          <w:szCs w:val="16"/>
        </w:rPr>
        <w:t>Wesley M. Cohen; Daniel A. Levinthal (1990) Absorptive Capacity: A New Perspective on Learning and Innovation, Administrative Science Quarterly, Vol. 35, No. 1, Special Issue: Technology, Organizations, and Innovation.(Mar.,</w:t>
      </w:r>
      <w:r w:rsidRPr="005E3B91">
        <w:rPr>
          <w:szCs w:val="16"/>
        </w:rPr>
        <w:t>1990),p.128-152,p.129</w:t>
      </w:r>
    </w:p>
    <w:p w14:paraId="1337601C" w14:textId="0EC93115" w:rsidR="00017477" w:rsidRPr="005E3B91" w:rsidRDefault="00017477" w:rsidP="005E3B91">
      <w:pPr>
        <w:pStyle w:val="FootnoteText"/>
        <w:rPr>
          <w:rStyle w:val="Hyperlink"/>
          <w:color w:val="7F7F7F" w:themeColor="text1" w:themeTint="80"/>
          <w:sz w:val="16"/>
          <w:szCs w:val="16"/>
        </w:rPr>
      </w:pPr>
      <w:r w:rsidRPr="005E3B91">
        <w:rPr>
          <w:rStyle w:val="Hyperlink"/>
          <w:color w:val="7F7F7F" w:themeColor="text1" w:themeTint="80"/>
          <w:sz w:val="16"/>
          <w:szCs w:val="16"/>
        </w:rPr>
        <w:t>http://links.jstor.org/sici?sici=0001-8392%28199003%2935%3A1%3C128%3AACANPO%3E2.0.CO%3B2-5  .</w:t>
      </w:r>
    </w:p>
  </w:footnote>
  <w:footnote w:id="15">
    <w:p w14:paraId="4E6EC99E" w14:textId="3FD8F0FD" w:rsidR="00017477" w:rsidRPr="005E3B91" w:rsidRDefault="00017477" w:rsidP="005E3B91">
      <w:pPr>
        <w:pStyle w:val="FootnoteText"/>
        <w:rPr>
          <w:szCs w:val="16"/>
        </w:rPr>
      </w:pPr>
      <w:r w:rsidRPr="00B63D31">
        <w:rPr>
          <w:rStyle w:val="FootnoteReference"/>
          <w:sz w:val="16"/>
          <w:szCs w:val="16"/>
        </w:rPr>
        <w:footnoteRef/>
      </w:r>
      <w:r w:rsidRPr="005E3B91">
        <w:rPr>
          <w:szCs w:val="16"/>
        </w:rPr>
        <w:t xml:space="preserve"> Vega-Jurado, J., Gutierrez-Gracia, A. and Fernandez-de-Lucio, I. (2008) Analysing the determinants of firm’s absorptive capacity: beyond R&amp;D. R&amp;D Management 38, 4, 392-405.</w:t>
      </w:r>
    </w:p>
    <w:p w14:paraId="0B399C20" w14:textId="77777777" w:rsidR="00017477" w:rsidRPr="005E3B91" w:rsidRDefault="00017477" w:rsidP="005E3B91">
      <w:pPr>
        <w:pStyle w:val="FootnoteText"/>
        <w:rPr>
          <w:szCs w:val="16"/>
          <w:lang w:val="fi-FI"/>
        </w:rPr>
      </w:pPr>
      <w:r w:rsidRPr="005E3B91">
        <w:rPr>
          <w:szCs w:val="16"/>
        </w:rPr>
        <w:t>Narula, R. (2002) Understanding Absorptive Capacities in an “Innovation Systems” Context: Consequences for Economic and Employment Growth. DRUID Working Paper nr. 04-02.</w:t>
      </w:r>
    </w:p>
  </w:footnote>
  <w:footnote w:id="16">
    <w:p w14:paraId="018C8DAB" w14:textId="0924895C" w:rsidR="00017477" w:rsidRPr="005E3B91" w:rsidRDefault="00017477" w:rsidP="005E3B91">
      <w:pPr>
        <w:pStyle w:val="FootnoteText"/>
        <w:rPr>
          <w:szCs w:val="16"/>
        </w:rPr>
      </w:pPr>
      <w:r w:rsidRPr="00AA37F6">
        <w:rPr>
          <w:rStyle w:val="FootnoteReference"/>
          <w:sz w:val="16"/>
          <w:szCs w:val="16"/>
        </w:rPr>
        <w:footnoteRef/>
      </w:r>
      <w:r w:rsidRPr="005E3B91">
        <w:rPr>
          <w:rStyle w:val="FootnoteTextChar"/>
          <w:szCs w:val="16"/>
        </w:rPr>
        <w:t>Oslo Manual (OECD/Eurostat, 2005) and</w:t>
      </w:r>
      <w:r w:rsidRPr="005E3B91">
        <w:rPr>
          <w:szCs w:val="16"/>
        </w:rPr>
        <w:t xml:space="preserve"> </w:t>
      </w:r>
      <w:hyperlink r:id="rId4" w:history="1">
        <w:r w:rsidRPr="005E3B91">
          <w:rPr>
            <w:rStyle w:val="Hyperlink"/>
            <w:color w:val="7F7F7F" w:themeColor="text1" w:themeTint="80"/>
            <w:sz w:val="16"/>
            <w:szCs w:val="16"/>
          </w:rPr>
          <w:t>https://www.innovationpolicyplatform.org/content/patent-data-performance-firms-regions-and-countries?topic-filters=12243</w:t>
        </w:r>
      </w:hyperlink>
      <w:r w:rsidRPr="005E3B91">
        <w:rPr>
          <w:rStyle w:val="FootnoteTextChar"/>
          <w:szCs w:val="16"/>
        </w:rPr>
        <w:t xml:space="preserve">  .</w:t>
      </w:r>
    </w:p>
  </w:footnote>
  <w:footnote w:id="17">
    <w:p w14:paraId="10E753C7" w14:textId="1A1C26A3" w:rsidR="00017477" w:rsidRPr="005E3B91" w:rsidRDefault="00017477" w:rsidP="005E3B91">
      <w:pPr>
        <w:pStyle w:val="FootnoteText"/>
        <w:rPr>
          <w:szCs w:val="16"/>
        </w:rPr>
      </w:pPr>
      <w:r w:rsidRPr="005E3B91">
        <w:rPr>
          <w:rStyle w:val="FootnoteReference"/>
          <w:color w:val="7F7F7F" w:themeColor="text1" w:themeTint="80"/>
          <w:sz w:val="16"/>
          <w:szCs w:val="16"/>
        </w:rPr>
        <w:footnoteRef/>
      </w:r>
      <w:r w:rsidRPr="005E3B91">
        <w:rPr>
          <w:szCs w:val="16"/>
        </w:rPr>
        <w:t xml:space="preserve"> ANSELIN L. (1988) Spatial Econometrics: methods and models. Kluwer, Dordrecht.</w:t>
      </w:r>
    </w:p>
    <w:p w14:paraId="48EB9A64" w14:textId="77777777" w:rsidR="00017477" w:rsidRPr="005E3B91" w:rsidRDefault="00017477" w:rsidP="005E3B91">
      <w:pPr>
        <w:pStyle w:val="FootnoteText"/>
        <w:rPr>
          <w:szCs w:val="16"/>
        </w:rPr>
      </w:pPr>
      <w:r w:rsidRPr="005E3B91">
        <w:rPr>
          <w:szCs w:val="16"/>
        </w:rPr>
        <w:t xml:space="preserve">BRESCHI S., LISSONI F. and MALERBA F. (2003) Knowledge-relatedness in firm technological diversification. Research Policy 32, 69-87. </w:t>
      </w:r>
    </w:p>
    <w:p w14:paraId="64885B8B" w14:textId="77777777" w:rsidR="00017477" w:rsidRPr="005E3B91" w:rsidRDefault="00017477" w:rsidP="005E3B91">
      <w:pPr>
        <w:pStyle w:val="FootnoteText"/>
        <w:rPr>
          <w:szCs w:val="16"/>
        </w:rPr>
      </w:pPr>
      <w:r w:rsidRPr="005E3B91">
        <w:rPr>
          <w:szCs w:val="16"/>
        </w:rPr>
        <w:t xml:space="preserve">DISSART J. C. (2003) Regional economic diversity and regional economic stability: research results and agenda. </w:t>
      </w:r>
      <w:r w:rsidRPr="005E3B91">
        <w:rPr>
          <w:i/>
          <w:iCs/>
          <w:szCs w:val="16"/>
        </w:rPr>
        <w:t xml:space="preserve">International Regional Science Review </w:t>
      </w:r>
      <w:r w:rsidRPr="005E3B91">
        <w:rPr>
          <w:b/>
          <w:bCs/>
          <w:szCs w:val="16"/>
        </w:rPr>
        <w:t>26</w:t>
      </w:r>
      <w:r w:rsidRPr="005E3B91">
        <w:rPr>
          <w:szCs w:val="16"/>
        </w:rPr>
        <w:t xml:space="preserve">, 423-446. </w:t>
      </w:r>
    </w:p>
    <w:p w14:paraId="3C815146" w14:textId="1DFE13ED" w:rsidR="00017477" w:rsidRPr="005E3B91" w:rsidRDefault="00017477" w:rsidP="005E3B91">
      <w:pPr>
        <w:pStyle w:val="FootnoteText"/>
        <w:rPr>
          <w:szCs w:val="16"/>
        </w:rPr>
      </w:pPr>
      <w:r w:rsidRPr="005E3B91">
        <w:rPr>
          <w:szCs w:val="16"/>
        </w:rPr>
        <w:t xml:space="preserve">FELDMAN M. P. and AUDRETSCH D. B. (1999) Innovation in cities: Science-based diversity, specialization and localized competition. </w:t>
      </w:r>
      <w:r w:rsidRPr="005E3B91">
        <w:rPr>
          <w:i/>
          <w:iCs/>
          <w:szCs w:val="16"/>
        </w:rPr>
        <w:t xml:space="preserve">European Economic Review </w:t>
      </w:r>
      <w:r w:rsidRPr="005E3B91">
        <w:rPr>
          <w:b/>
          <w:bCs/>
          <w:szCs w:val="16"/>
        </w:rPr>
        <w:t>43</w:t>
      </w:r>
      <w:r w:rsidRPr="005E3B91">
        <w:rPr>
          <w:szCs w:val="16"/>
        </w:rPr>
        <w:t xml:space="preserve">, 409-429. </w:t>
      </w:r>
    </w:p>
    <w:p w14:paraId="703FB4E6" w14:textId="684A257C" w:rsidR="00017477" w:rsidRPr="005E3B91" w:rsidRDefault="00017477" w:rsidP="005E3B91">
      <w:pPr>
        <w:pStyle w:val="FootnoteText"/>
        <w:rPr>
          <w:rStyle w:val="FootnoteTextChar"/>
          <w:szCs w:val="16"/>
        </w:rPr>
      </w:pPr>
      <w:r w:rsidRPr="005E3B91">
        <w:rPr>
          <w:szCs w:val="16"/>
        </w:rPr>
        <w:t xml:space="preserve">JACOBS J. (1969) </w:t>
      </w:r>
      <w:r w:rsidRPr="005E3B91">
        <w:rPr>
          <w:i/>
          <w:iCs/>
          <w:szCs w:val="16"/>
        </w:rPr>
        <w:t>The Economy of Cities</w:t>
      </w:r>
      <w:r w:rsidRPr="005E3B91">
        <w:rPr>
          <w:szCs w:val="16"/>
        </w:rPr>
        <w:t xml:space="preserve">. Vintage, New York </w:t>
      </w:r>
      <w:r w:rsidRPr="005E3B91">
        <w:rPr>
          <w:rStyle w:val="FootnoteTextChar"/>
          <w:szCs w:val="16"/>
        </w:rPr>
        <w:t xml:space="preserve">JACQUEMIN A. P. and BERRY C. H. (1979) Entropy measure of diversification and corporate growth. Journal of Industrial Economics 27, 359-369. </w:t>
      </w:r>
    </w:p>
    <w:p w14:paraId="570BDEFA" w14:textId="77777777" w:rsidR="00017477" w:rsidRPr="005E3B91" w:rsidRDefault="00017477" w:rsidP="005E3B91">
      <w:pPr>
        <w:pStyle w:val="FootnoteText"/>
        <w:rPr>
          <w:szCs w:val="16"/>
        </w:rPr>
      </w:pPr>
      <w:r w:rsidRPr="005E3B91">
        <w:rPr>
          <w:szCs w:val="16"/>
        </w:rPr>
        <w:t xml:space="preserve">JAFFE A. B. (1986) Technological opportunity and spillovers of R&amp;D. </w:t>
      </w:r>
      <w:r w:rsidRPr="005E3B91">
        <w:rPr>
          <w:i/>
          <w:iCs/>
          <w:szCs w:val="16"/>
        </w:rPr>
        <w:t xml:space="preserve">American Economic Review </w:t>
      </w:r>
      <w:r w:rsidRPr="005E3B91">
        <w:rPr>
          <w:b/>
          <w:bCs/>
          <w:szCs w:val="16"/>
        </w:rPr>
        <w:t>76</w:t>
      </w:r>
      <w:r w:rsidRPr="005E3B91">
        <w:rPr>
          <w:szCs w:val="16"/>
        </w:rPr>
        <w:t xml:space="preserve">, 984-1001. </w:t>
      </w:r>
    </w:p>
    <w:p w14:paraId="0D553229" w14:textId="49BB9F3A" w:rsidR="00017477" w:rsidRPr="005E3B91" w:rsidRDefault="00017477" w:rsidP="005E3B91">
      <w:pPr>
        <w:pStyle w:val="FootnoteText"/>
        <w:rPr>
          <w:szCs w:val="16"/>
        </w:rPr>
      </w:pPr>
      <w:r w:rsidRPr="005E3B91">
        <w:rPr>
          <w:szCs w:val="16"/>
        </w:rPr>
        <w:t>KOEN FRENKEN, FRANK VAN OORT  and THIJS VERBURG, 2005. Related Variety, Unrelated Variety and Regional Economic Growth, Regional Studies, Vol. 41.5, pp. 685–697, July 2007.</w:t>
      </w:r>
    </w:p>
    <w:p w14:paraId="3110C225" w14:textId="77777777" w:rsidR="00017477" w:rsidRPr="005E3B91" w:rsidRDefault="00017477" w:rsidP="005E3B91">
      <w:pPr>
        <w:pStyle w:val="FootnoteText"/>
        <w:rPr>
          <w:szCs w:val="16"/>
        </w:rPr>
      </w:pPr>
      <w:r w:rsidRPr="005E3B91">
        <w:rPr>
          <w:szCs w:val="16"/>
        </w:rPr>
        <w:t xml:space="preserve">Castaldi, C., Frenken, K., &amp; Los, B.,2013. Related variety, unrelated variety and technological breakthroughs : an analysis of U.S. state-level patenting. (ECIS working paper series; Vol. 201303). Eindhoven: Technische Universiteit Eindhoven. </w:t>
      </w:r>
    </w:p>
    <w:p w14:paraId="04C193AF" w14:textId="193537EB" w:rsidR="00017477" w:rsidRPr="005E3B91" w:rsidRDefault="00017477" w:rsidP="005E3B91">
      <w:pPr>
        <w:pStyle w:val="FootnoteText"/>
        <w:rPr>
          <w:szCs w:val="16"/>
        </w:rPr>
      </w:pPr>
      <w:r w:rsidRPr="005E3B91">
        <w:rPr>
          <w:szCs w:val="16"/>
        </w:rPr>
        <w:t xml:space="preserve"> Matthias Brachert, Alexander Kubis, Mirko Titze, 2013. Related Variety, Unrelated Variety and Regional Functions: A spatial panel approach; Papers in Evolutionary Economic Geography # 13.01.</w:t>
      </w:r>
    </w:p>
  </w:footnote>
  <w:footnote w:id="18">
    <w:p w14:paraId="3D9E673C" w14:textId="262AA2F8" w:rsidR="00017477" w:rsidRPr="005E3B91" w:rsidRDefault="00017477" w:rsidP="005E3B91">
      <w:pPr>
        <w:pStyle w:val="FootnoteText"/>
        <w:rPr>
          <w:szCs w:val="16"/>
          <w:lang w:val="fi-FI"/>
        </w:rPr>
      </w:pPr>
      <w:r w:rsidRPr="005E3B91">
        <w:rPr>
          <w:rStyle w:val="FootnoteReference"/>
          <w:color w:val="7F7F7F" w:themeColor="text1" w:themeTint="80"/>
          <w:sz w:val="16"/>
          <w:szCs w:val="16"/>
        </w:rPr>
        <w:footnoteRef/>
      </w:r>
      <w:r w:rsidRPr="005E3B91">
        <w:rPr>
          <w:szCs w:val="16"/>
        </w:rPr>
        <w:t xml:space="preserve"> Comment on R2 ROP 2014-2020: Excellent provisions for modernisation &amp; renewal of the economy.</w:t>
      </w:r>
    </w:p>
  </w:footnote>
  <w:footnote w:id="19">
    <w:p w14:paraId="67C5A6FF" w14:textId="0103FD1F" w:rsidR="00017477" w:rsidRPr="000F21E2" w:rsidRDefault="00017477" w:rsidP="00C05D1A">
      <w:pPr>
        <w:spacing w:line="276" w:lineRule="auto"/>
      </w:pPr>
      <w:r>
        <w:rPr>
          <w:rStyle w:val="FootnoteReference"/>
        </w:rPr>
        <w:footnoteRef/>
      </w:r>
      <w:r>
        <w:t xml:space="preserve"> </w:t>
      </w:r>
      <w:r w:rsidRPr="000F21E2">
        <w:rPr>
          <w:rStyle w:val="FootnoteTextChar"/>
        </w:rPr>
        <w:t xml:space="preserve">CPR= Common Provisions Regulation </w:t>
      </w:r>
      <w:r w:rsidRPr="000F21E2">
        <w:rPr>
          <w:rStyle w:val="FootnoteTextChar"/>
          <w:lang w:val="en-US" w:eastAsia="fi-F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20">
    <w:p w14:paraId="519F22A6" w14:textId="04C9DD54" w:rsidR="00017477" w:rsidRPr="005E3B91" w:rsidRDefault="00017477" w:rsidP="005E3B91">
      <w:pPr>
        <w:pStyle w:val="FootnoteText"/>
        <w:rPr>
          <w:szCs w:val="16"/>
          <w:lang w:val="fi-FI"/>
        </w:rPr>
      </w:pPr>
      <w:r w:rsidRPr="005E3B91">
        <w:rPr>
          <w:rStyle w:val="FootnoteReference"/>
          <w:color w:val="7F7F7F" w:themeColor="text1" w:themeTint="80"/>
          <w:sz w:val="16"/>
          <w:szCs w:val="16"/>
        </w:rPr>
        <w:footnoteRef/>
      </w:r>
      <w:r w:rsidRPr="005E3B91">
        <w:rPr>
          <w:szCs w:val="16"/>
        </w:rPr>
        <w:t xml:space="preserve"> </w:t>
      </w:r>
      <w:r w:rsidRPr="005E3B91">
        <w:rPr>
          <w:rStyle w:val="FootnoteTextChar"/>
          <w:szCs w:val="16"/>
          <w:lang w:eastAsia="fi-FI"/>
        </w:rPr>
        <w:t xml:space="preserve">Measuring regional Innovation: Prof. Hugo Hollanders stresses the role of benchmarking and indicators in designing and monitoring efficient regional policies. </w:t>
      </w:r>
      <w:hyperlink r:id="rId5" w:history="1">
        <w:r w:rsidRPr="005E3B91">
          <w:rPr>
            <w:rStyle w:val="Hyperlink"/>
            <w:rFonts w:ascii="Tahoma" w:hAnsi="Tahoma"/>
            <w:color w:val="7F7F7F" w:themeColor="text1" w:themeTint="80"/>
            <w:sz w:val="16"/>
            <w:szCs w:val="16"/>
          </w:rPr>
          <w:t>http://www.wire2014.eu/03-06-14-measuring-regional-innovation-hugo-hollanders-streses-the-role-of-benchmarking-and-indicators-in-designing-and-monitoring-efficient-regional-policies/</w:t>
        </w:r>
      </w:hyperlink>
      <w:r w:rsidRPr="005E3B91">
        <w:rPr>
          <w:rStyle w:val="FootnoteTextChar"/>
          <w:szCs w:val="16"/>
        </w:rPr>
        <w:t>.</w:t>
      </w:r>
    </w:p>
  </w:footnote>
  <w:footnote w:id="21">
    <w:p w14:paraId="030C8E3C" w14:textId="77777777" w:rsidR="00017477" w:rsidRPr="005E3B91" w:rsidRDefault="00017477" w:rsidP="005E3B91">
      <w:pPr>
        <w:pStyle w:val="FootnoteText"/>
        <w:rPr>
          <w:szCs w:val="16"/>
        </w:rPr>
      </w:pPr>
      <w:r w:rsidRPr="00583DFE">
        <w:rPr>
          <w:rStyle w:val="FootnoteReference"/>
          <w:sz w:val="16"/>
          <w:szCs w:val="16"/>
        </w:rPr>
        <w:footnoteRef/>
      </w:r>
      <w:r w:rsidRPr="00583DFE">
        <w:rPr>
          <w:color w:val="FF0000"/>
          <w:szCs w:val="16"/>
        </w:rPr>
        <w:t xml:space="preserve"> </w:t>
      </w:r>
      <w:r w:rsidRPr="005E3B91">
        <w:rPr>
          <w:szCs w:val="16"/>
        </w:rPr>
        <w:t>ANSELIN L. (1988) Spatial Econometrics: methods and models. Kluwer, Dordrecht.</w:t>
      </w:r>
    </w:p>
    <w:p w14:paraId="13B9336B" w14:textId="77777777" w:rsidR="00017477" w:rsidRPr="005E3B91" w:rsidRDefault="00017477" w:rsidP="005E3B91">
      <w:pPr>
        <w:pStyle w:val="FootnoteText"/>
        <w:rPr>
          <w:szCs w:val="16"/>
        </w:rPr>
      </w:pPr>
      <w:r w:rsidRPr="005E3B91">
        <w:rPr>
          <w:szCs w:val="16"/>
        </w:rPr>
        <w:t xml:space="preserve">BRESCHI S., LISSONI F. and MALERBA F. (2003) Knowledge-relatedness in firm technological diversification. Research Policy 32, 69-87. </w:t>
      </w:r>
    </w:p>
    <w:p w14:paraId="42F65C60" w14:textId="77777777" w:rsidR="00017477" w:rsidRPr="005E3B91" w:rsidRDefault="00017477" w:rsidP="005E3B91">
      <w:pPr>
        <w:pStyle w:val="FootnoteText"/>
        <w:rPr>
          <w:szCs w:val="16"/>
        </w:rPr>
      </w:pPr>
      <w:r w:rsidRPr="005E3B91">
        <w:rPr>
          <w:szCs w:val="16"/>
        </w:rPr>
        <w:t xml:space="preserve">Castaldi, C., Frenken, K., &amp; Los, B.,2013. Related variety, unrelated variety and technological breakthroughs: an analysis of U.S. state-level patenting. (ECIS working paper series; Vol. 201303). Eindhoven: Technische Universiteit Eindhoven. </w:t>
      </w:r>
    </w:p>
    <w:p w14:paraId="0042AAD1" w14:textId="77777777" w:rsidR="00017477" w:rsidRPr="005E3B91" w:rsidRDefault="00017477" w:rsidP="005E3B91">
      <w:pPr>
        <w:pStyle w:val="FootnoteText"/>
        <w:rPr>
          <w:szCs w:val="16"/>
        </w:rPr>
      </w:pPr>
      <w:r w:rsidRPr="005E3B91">
        <w:rPr>
          <w:szCs w:val="16"/>
        </w:rPr>
        <w:t xml:space="preserve">DISSART J. C. (2003) Regional economic diversity and regional economic stability: research results and agenda. </w:t>
      </w:r>
      <w:r w:rsidRPr="005E3B91">
        <w:rPr>
          <w:i/>
          <w:iCs/>
          <w:szCs w:val="16"/>
        </w:rPr>
        <w:t xml:space="preserve">International Regional Science Review </w:t>
      </w:r>
      <w:r w:rsidRPr="005E3B91">
        <w:rPr>
          <w:b/>
          <w:bCs/>
          <w:szCs w:val="16"/>
        </w:rPr>
        <w:t>26</w:t>
      </w:r>
      <w:r w:rsidRPr="005E3B91">
        <w:rPr>
          <w:szCs w:val="16"/>
        </w:rPr>
        <w:t xml:space="preserve">, 423-446. </w:t>
      </w:r>
    </w:p>
    <w:p w14:paraId="189FC289" w14:textId="77777777" w:rsidR="00017477" w:rsidRPr="005E3B91" w:rsidRDefault="00017477" w:rsidP="005E3B91">
      <w:pPr>
        <w:pStyle w:val="FootnoteText"/>
        <w:rPr>
          <w:szCs w:val="16"/>
        </w:rPr>
      </w:pPr>
      <w:r w:rsidRPr="005E3B91">
        <w:rPr>
          <w:szCs w:val="16"/>
        </w:rPr>
        <w:t xml:space="preserve">FELDMAN M. P. and AUDRETSCH D. B. (1999) Innovation in cities: Science-based diversity, specialization and localized competition. </w:t>
      </w:r>
      <w:r w:rsidRPr="005E3B91">
        <w:rPr>
          <w:i/>
          <w:iCs/>
          <w:szCs w:val="16"/>
        </w:rPr>
        <w:t xml:space="preserve">European Economic Review </w:t>
      </w:r>
      <w:r w:rsidRPr="005E3B91">
        <w:rPr>
          <w:b/>
          <w:bCs/>
          <w:szCs w:val="16"/>
        </w:rPr>
        <w:t>43</w:t>
      </w:r>
      <w:r w:rsidRPr="005E3B91">
        <w:rPr>
          <w:szCs w:val="16"/>
        </w:rPr>
        <w:t xml:space="preserve">, 409-429. </w:t>
      </w:r>
    </w:p>
    <w:p w14:paraId="43F6B47F" w14:textId="77777777" w:rsidR="00017477" w:rsidRPr="005E3B91" w:rsidRDefault="00017477" w:rsidP="005E3B91">
      <w:pPr>
        <w:pStyle w:val="FootnoteText"/>
        <w:rPr>
          <w:rStyle w:val="FootnoteTextChar"/>
          <w:szCs w:val="16"/>
        </w:rPr>
      </w:pPr>
      <w:r w:rsidRPr="005E3B91">
        <w:rPr>
          <w:szCs w:val="16"/>
        </w:rPr>
        <w:t xml:space="preserve">JACOBS J. (1969) </w:t>
      </w:r>
      <w:r w:rsidRPr="005E3B91">
        <w:rPr>
          <w:i/>
          <w:iCs/>
          <w:szCs w:val="16"/>
        </w:rPr>
        <w:t>The Economy of Cities</w:t>
      </w:r>
      <w:r w:rsidRPr="005E3B91">
        <w:rPr>
          <w:szCs w:val="16"/>
        </w:rPr>
        <w:t xml:space="preserve">. Vintage, New York </w:t>
      </w:r>
      <w:r w:rsidRPr="005E3B91">
        <w:rPr>
          <w:rStyle w:val="FootnoteTextChar"/>
          <w:szCs w:val="16"/>
        </w:rPr>
        <w:t xml:space="preserve">JACQUEMIN A. P. and BERRY C. H. (1979) Entropy measure of diversification and corporate growth. Journal of Industrial Economics 27, 359-369. </w:t>
      </w:r>
    </w:p>
    <w:p w14:paraId="6A775338" w14:textId="77777777" w:rsidR="00017477" w:rsidRPr="005E3B91" w:rsidRDefault="00017477" w:rsidP="005E3B91">
      <w:pPr>
        <w:pStyle w:val="FootnoteText"/>
        <w:rPr>
          <w:szCs w:val="16"/>
        </w:rPr>
      </w:pPr>
      <w:r w:rsidRPr="005E3B91">
        <w:rPr>
          <w:szCs w:val="16"/>
        </w:rPr>
        <w:t xml:space="preserve">JAFFE A. B. (1986) Technological opportunity and spillovers of R&amp;D. </w:t>
      </w:r>
      <w:r w:rsidRPr="005E3B91">
        <w:rPr>
          <w:i/>
          <w:iCs/>
          <w:szCs w:val="16"/>
        </w:rPr>
        <w:t xml:space="preserve">American Economic Review </w:t>
      </w:r>
      <w:r w:rsidRPr="005E3B91">
        <w:rPr>
          <w:b/>
          <w:bCs/>
          <w:szCs w:val="16"/>
        </w:rPr>
        <w:t>76</w:t>
      </w:r>
      <w:r w:rsidRPr="005E3B91">
        <w:rPr>
          <w:szCs w:val="16"/>
        </w:rPr>
        <w:t xml:space="preserve">, 984-1001. </w:t>
      </w:r>
    </w:p>
    <w:p w14:paraId="7EC06AA6" w14:textId="77777777" w:rsidR="00017477" w:rsidRPr="005E3B91" w:rsidRDefault="00017477" w:rsidP="005E3B91">
      <w:pPr>
        <w:pStyle w:val="FootnoteText"/>
        <w:rPr>
          <w:szCs w:val="16"/>
        </w:rPr>
      </w:pPr>
      <w:r w:rsidRPr="005E3B91">
        <w:rPr>
          <w:szCs w:val="16"/>
        </w:rPr>
        <w:t>KOEN FRENKEN, FRANK VAN OORT  and THIJS VERBURG, 2005. Related Variety, Unrelated Variety and Regional Economic Growth, Regional Studies, Vol. 41.5, pp. 685–697, July 2007.</w:t>
      </w:r>
    </w:p>
    <w:p w14:paraId="36C8644E" w14:textId="77777777" w:rsidR="00017477" w:rsidRPr="005E3B91" w:rsidRDefault="00017477" w:rsidP="005E3B91">
      <w:pPr>
        <w:pStyle w:val="FootnoteText"/>
        <w:rPr>
          <w:szCs w:val="16"/>
        </w:rPr>
      </w:pPr>
      <w:r w:rsidRPr="005E3B91">
        <w:rPr>
          <w:szCs w:val="16"/>
        </w:rPr>
        <w:t>Maria Lindquist, 2012. Regional innovation strategies in Sweden; Nordregio 2012.</w:t>
      </w:r>
    </w:p>
    <w:p w14:paraId="40BCE3DF" w14:textId="77777777" w:rsidR="00017477" w:rsidRPr="005E3B91" w:rsidRDefault="00017477" w:rsidP="005E3B91">
      <w:pPr>
        <w:pStyle w:val="FootnoteText"/>
        <w:rPr>
          <w:szCs w:val="16"/>
          <w:lang w:val="fi-FI"/>
        </w:rPr>
      </w:pPr>
      <w:r w:rsidRPr="005E3B91">
        <w:rPr>
          <w:szCs w:val="16"/>
        </w:rPr>
        <w:t xml:space="preserve"> Matthias Brachert, Alexander Kubis, Mirko Titze, 2013. Related Variety, Unrelated Variety and Regional Functions: A spatial panel approach; Papers in Evolutionary Economic Geography # 13.01. </w:t>
      </w:r>
    </w:p>
  </w:footnote>
  <w:footnote w:id="22">
    <w:p w14:paraId="7BA0A6E5" w14:textId="381E0DAC" w:rsidR="00017477" w:rsidRDefault="00017477" w:rsidP="00B81956">
      <w:pPr>
        <w:pStyle w:val="NormalWeb"/>
        <w:spacing w:before="0" w:beforeAutospacing="0" w:after="120" w:afterAutospacing="0"/>
        <w:rPr>
          <w:rStyle w:val="FootnoteTextChar"/>
          <w:lang w:val="en-US" w:eastAsia="fi-FI"/>
        </w:rPr>
      </w:pPr>
      <w:r>
        <w:rPr>
          <w:rStyle w:val="FootnoteReference"/>
        </w:rPr>
        <w:footnoteRef/>
      </w:r>
      <w:r>
        <w:t xml:space="preserve"> </w:t>
      </w:r>
      <w:r w:rsidRPr="00EF760C">
        <w:rPr>
          <w:rStyle w:val="FootnoteTextChar"/>
          <w:lang w:val="en-US" w:eastAsia="fi-FI"/>
        </w:rPr>
        <w:t>EC, 2102. Guide to Research and Innovation Strategies</w:t>
      </w:r>
      <w:r>
        <w:rPr>
          <w:rStyle w:val="FootnoteTextChar"/>
          <w:lang w:val="en-US" w:eastAsia="fi-FI"/>
        </w:rPr>
        <w:t xml:space="preserve"> for Smart Specialisations (RIS</w:t>
      </w:r>
      <w:r w:rsidRPr="00EF760C">
        <w:rPr>
          <w:rStyle w:val="FootnoteTextChar"/>
          <w:lang w:val="en-US" w:eastAsia="fi-FI"/>
        </w:rPr>
        <w:t>3)</w:t>
      </w:r>
      <w:r>
        <w:rPr>
          <w:rStyle w:val="FootnoteTextChar"/>
          <w:lang w:val="en-US" w:eastAsia="fi-FI"/>
        </w:rPr>
        <w:t>.</w:t>
      </w:r>
      <w:r w:rsidRPr="00EF760C">
        <w:rPr>
          <w:rStyle w:val="FootnoteTextChar"/>
          <w:lang w:val="en-US" w:eastAsia="fi-FI"/>
        </w:rPr>
        <w:t xml:space="preserve"> </w:t>
      </w:r>
    </w:p>
    <w:p w14:paraId="5D2F89E3" w14:textId="1906886D" w:rsidR="00017477" w:rsidRPr="005E3B91" w:rsidRDefault="00017477" w:rsidP="005E3B91">
      <w:pPr>
        <w:pStyle w:val="FootnoteText"/>
        <w:rPr>
          <w:szCs w:val="16"/>
        </w:rPr>
      </w:pPr>
      <w:r w:rsidRPr="005E3B91">
        <w:rPr>
          <w:szCs w:val="16"/>
        </w:rPr>
        <w:t xml:space="preserve">Donato Iacobucci &amp; Enrico Guzzini, 2016.Relatedness and connectivity in technological domains: missing links in S3 design and implementation; European Planning Studies, Volume 24, 2016 - Issue 8 Regional innovation strategies (RIS3): From concept to applications, pages 1511-1526. </w:t>
      </w:r>
      <w:hyperlink r:id="rId6" w:history="1">
        <w:r w:rsidRPr="005E3B91">
          <w:rPr>
            <w:szCs w:val="16"/>
          </w:rPr>
          <w:t>http://dx.doi.org/10.1080/09654313.2016.1170108</w:t>
        </w:r>
      </w:hyperlink>
      <w:r w:rsidRPr="005E3B91">
        <w:rPr>
          <w:szCs w:val="16"/>
        </w:rPr>
        <w:t xml:space="preserve">. </w:t>
      </w:r>
    </w:p>
    <w:p w14:paraId="03C9BC7C" w14:textId="77777777" w:rsidR="00017477" w:rsidRPr="005E3B91" w:rsidRDefault="00017477" w:rsidP="005E3B91">
      <w:pPr>
        <w:pStyle w:val="FootnoteText"/>
        <w:rPr>
          <w:szCs w:val="16"/>
        </w:rPr>
      </w:pPr>
      <w:r w:rsidRPr="005E3B91">
        <w:rPr>
          <w:szCs w:val="16"/>
        </w:rPr>
        <w:t xml:space="preserve">Rafael Rodríguez-Clemente. INVOLVEMENT OF A RESEARCH ORGANISATION IN THE DEVELOPMENT OF THE RIS3: THE EXPERIENCE OF CSIC IN SPAIN. </w:t>
      </w:r>
    </w:p>
    <w:p w14:paraId="6D508D8D" w14:textId="77777777" w:rsidR="00017477" w:rsidRPr="005E3B91" w:rsidRDefault="00017477" w:rsidP="005E3B91">
      <w:pPr>
        <w:pStyle w:val="FootnoteText"/>
        <w:rPr>
          <w:szCs w:val="16"/>
        </w:rPr>
      </w:pPr>
      <w:r w:rsidRPr="005E3B91">
        <w:rPr>
          <w:szCs w:val="16"/>
        </w:rPr>
        <w:t xml:space="preserve">Charles, D. and Ciampi-Stancova, K, (2014). Research and Technology Organisations and Smart Specialisation. S3 Policy Brief Series, No 15/2015. European Commision, Joint Research Centre, Institute for Prospective Technological Studies, Spain. </w:t>
      </w:r>
    </w:p>
    <w:p w14:paraId="46535661" w14:textId="77777777" w:rsidR="00017477" w:rsidRPr="005E3B91" w:rsidRDefault="00017477" w:rsidP="005E3B91">
      <w:pPr>
        <w:pStyle w:val="FootnoteText"/>
        <w:rPr>
          <w:szCs w:val="16"/>
        </w:rPr>
      </w:pPr>
      <w:r w:rsidRPr="005E3B91">
        <w:rPr>
          <w:szCs w:val="16"/>
        </w:rPr>
        <w:t xml:space="preserve">Evangelista R., Meliciani V. and Vezzani A. (2015). The Specialisation of EU Regions in Fast Growing and Key Enabling Technologies. JRC Technical Report, EUR 27524 EN; doi:10.2791/844794. </w:t>
      </w:r>
    </w:p>
    <w:p w14:paraId="0625A055" w14:textId="77777777" w:rsidR="00017477" w:rsidRPr="005E3B91" w:rsidRDefault="00017477" w:rsidP="005E3B91">
      <w:pPr>
        <w:pStyle w:val="FootnoteText"/>
        <w:rPr>
          <w:szCs w:val="16"/>
        </w:rPr>
      </w:pPr>
      <w:r w:rsidRPr="005E3B91">
        <w:rPr>
          <w:szCs w:val="16"/>
        </w:rPr>
        <w:t>Ruslan Rakhmatullin, 2014. Triple/Quadruple Helix in the context of Smart Specialisation; 29-30 May 2014, Guiford, UK.</w:t>
      </w:r>
    </w:p>
  </w:footnote>
  <w:footnote w:id="23">
    <w:p w14:paraId="6C848F3A" w14:textId="77777777" w:rsidR="00017477" w:rsidRPr="005E3B91" w:rsidRDefault="00017477" w:rsidP="005E3B91">
      <w:pPr>
        <w:pStyle w:val="FootnoteText"/>
        <w:rPr>
          <w:szCs w:val="16"/>
          <w:lang w:val="fi-FI"/>
        </w:rPr>
      </w:pPr>
      <w:r w:rsidRPr="005E3B91">
        <w:rPr>
          <w:rStyle w:val="FootnoteReference"/>
          <w:color w:val="7F7F7F" w:themeColor="text1" w:themeTint="80"/>
          <w:sz w:val="16"/>
          <w:szCs w:val="16"/>
        </w:rPr>
        <w:footnoteRef/>
      </w:r>
      <w:r w:rsidRPr="005E3B91">
        <w:rPr>
          <w:szCs w:val="16"/>
        </w:rPr>
        <w:t xml:space="preserve"> Roberta Capello &amp; Henning Kroll, 2016. From theory to practice in smart specialization strategy: emerging limits and possible future trajectories; European Planning Studies, Volume 24, 2016 - Issue 8: Regional Innovation Strategies 3 (RIS3): From Concept to Applications, Pages 1393-1406. </w:t>
      </w:r>
      <w:hyperlink r:id="rId7" w:history="1">
        <w:r w:rsidRPr="005E3B91">
          <w:rPr>
            <w:szCs w:val="16"/>
          </w:rPr>
          <w:t>http://dx.doi.org/10.1080/09654313.2016.1156058</w:t>
        </w:r>
      </w:hyperlink>
      <w:r w:rsidRPr="005E3B91">
        <w:rPr>
          <w:szCs w:val="16"/>
        </w:rPr>
        <w:t xml:space="preserve">. </w:t>
      </w:r>
    </w:p>
  </w:footnote>
  <w:footnote w:id="24">
    <w:p w14:paraId="2652EF74" w14:textId="31E1CB2B" w:rsidR="00017477" w:rsidRPr="005E3B91" w:rsidRDefault="00017477" w:rsidP="005E3B91">
      <w:pPr>
        <w:pStyle w:val="FootnoteText"/>
        <w:rPr>
          <w:szCs w:val="16"/>
          <w:lang w:val="fi-FI"/>
        </w:rPr>
      </w:pPr>
      <w:r w:rsidRPr="005E3B91">
        <w:rPr>
          <w:rStyle w:val="FootnoteReference"/>
          <w:color w:val="7F7F7F" w:themeColor="text1" w:themeTint="80"/>
          <w:sz w:val="16"/>
          <w:szCs w:val="16"/>
        </w:rPr>
        <w:footnoteRef/>
      </w:r>
      <w:r w:rsidRPr="005E3B91">
        <w:rPr>
          <w:szCs w:val="16"/>
        </w:rPr>
        <w:t xml:space="preserve"> Nevertheless, during the project, it would be interesting and useful to also consider connectivity actions based on opportunities, i.e. not to close gaps but to maximise performances.</w:t>
      </w:r>
    </w:p>
  </w:footnote>
  <w:footnote w:id="25">
    <w:p w14:paraId="796B2D78" w14:textId="65FD16CF" w:rsidR="00017477" w:rsidRPr="005E3B91" w:rsidRDefault="00017477" w:rsidP="005E3B91">
      <w:pPr>
        <w:pStyle w:val="FootnoteText"/>
        <w:rPr>
          <w:szCs w:val="16"/>
          <w:lang w:val="fi-FI"/>
        </w:rPr>
      </w:pPr>
      <w:r w:rsidRPr="00C675F3">
        <w:rPr>
          <w:rStyle w:val="FootnoteReference"/>
          <w:sz w:val="16"/>
          <w:szCs w:val="16"/>
        </w:rPr>
        <w:footnoteRef/>
      </w:r>
      <w:r w:rsidRPr="00C675F3">
        <w:rPr>
          <w:color w:val="FF0000"/>
          <w:szCs w:val="16"/>
        </w:rPr>
        <w:t xml:space="preserve"> </w:t>
      </w:r>
      <w:r w:rsidRPr="005E3B91">
        <w:rPr>
          <w:szCs w:val="16"/>
        </w:rPr>
        <w:t>KANTOLA and CEMIS, both by PP2.</w:t>
      </w:r>
    </w:p>
  </w:footnote>
  <w:footnote w:id="26">
    <w:p w14:paraId="04679147" w14:textId="7D7996DD" w:rsidR="00017477" w:rsidRPr="005E3B91" w:rsidRDefault="00017477" w:rsidP="005E3B91">
      <w:pPr>
        <w:pStyle w:val="FootnoteText"/>
        <w:rPr>
          <w:szCs w:val="16"/>
        </w:rPr>
      </w:pPr>
      <w:r w:rsidRPr="00C675F3">
        <w:rPr>
          <w:rStyle w:val="FootnoteReference"/>
          <w:sz w:val="16"/>
          <w:szCs w:val="16"/>
        </w:rPr>
        <w:footnoteRef/>
      </w:r>
      <w:r w:rsidRPr="00C675F3">
        <w:rPr>
          <w:color w:val="FF0000"/>
          <w:szCs w:val="16"/>
        </w:rPr>
        <w:t xml:space="preserve"> </w:t>
      </w:r>
      <w:r w:rsidRPr="005E3B91">
        <w:rPr>
          <w:szCs w:val="16"/>
        </w:rPr>
        <w:t>Baltic TRAM project, contributed by PP1.</w:t>
      </w:r>
    </w:p>
  </w:footnote>
  <w:footnote w:id="27">
    <w:p w14:paraId="0CB976BD" w14:textId="32169D3A" w:rsidR="00017477" w:rsidRPr="005E3B91" w:rsidRDefault="00017477" w:rsidP="005E3B91">
      <w:pPr>
        <w:pStyle w:val="FootnoteText"/>
        <w:rPr>
          <w:szCs w:val="16"/>
        </w:rPr>
      </w:pPr>
      <w:r w:rsidRPr="00C675F3">
        <w:rPr>
          <w:rStyle w:val="FootnoteReference"/>
          <w:sz w:val="16"/>
          <w:szCs w:val="16"/>
        </w:rPr>
        <w:footnoteRef/>
      </w:r>
      <w:r w:rsidRPr="00C675F3">
        <w:rPr>
          <w:color w:val="FF0000"/>
          <w:szCs w:val="16"/>
        </w:rPr>
        <w:t xml:space="preserve"> </w:t>
      </w:r>
      <w:r w:rsidRPr="005E3B91">
        <w:rPr>
          <w:szCs w:val="16"/>
        </w:rPr>
        <w:t>ZIM, good practice for interregional partnerships for the commercialisation of research, Germany/Finland, contributed by PP1.</w:t>
      </w:r>
    </w:p>
  </w:footnote>
  <w:footnote w:id="28">
    <w:p w14:paraId="06C732EF" w14:textId="2AA3C08B" w:rsidR="00017477" w:rsidRPr="003557AF" w:rsidRDefault="00017477" w:rsidP="00A7399A">
      <w:pPr>
        <w:rPr>
          <w:rStyle w:val="FootnoteTextChar"/>
          <w:lang w:val="fi-FI"/>
        </w:rPr>
      </w:pPr>
      <w:r>
        <w:rPr>
          <w:rStyle w:val="FootnoteReference"/>
        </w:rPr>
        <w:footnoteRef/>
      </w:r>
      <w:r>
        <w:t xml:space="preserve"> </w:t>
      </w:r>
      <w:r w:rsidRPr="003557AF">
        <w:rPr>
          <w:rStyle w:val="FootnoteTextChar"/>
        </w:rPr>
        <w:t>Similar considerations are also the focus take up by the Horizon 2020 programme called WIDESPREAD/ TEAMING.</w:t>
      </w:r>
    </w:p>
  </w:footnote>
  <w:footnote w:id="29">
    <w:p w14:paraId="76B4C2B6" w14:textId="77777777" w:rsidR="00A8599B" w:rsidRPr="00E14342" w:rsidRDefault="00A8599B" w:rsidP="00A8599B">
      <w:pPr>
        <w:spacing w:before="0" w:after="0" w:line="276" w:lineRule="auto"/>
        <w:ind w:right="0"/>
        <w:jc w:val="left"/>
        <w:rPr>
          <w:rFonts w:eastAsia="Times New Roman" w:cs="Tahoma"/>
          <w:color w:val="021B2B"/>
          <w:szCs w:val="18"/>
          <w:lang w:eastAsia="fi-FI"/>
        </w:rPr>
      </w:pPr>
      <w:r>
        <w:rPr>
          <w:rStyle w:val="FootnoteReference"/>
        </w:rPr>
        <w:footnoteRef/>
      </w:r>
      <w:r>
        <w:t xml:space="preserve"> </w:t>
      </w:r>
      <w:r w:rsidRPr="003A1D81">
        <w:rPr>
          <w:rStyle w:val="FootnoteTextChar"/>
        </w:rPr>
        <w:t>Type 1 Programme based (such as a centre of competence programme); Type 2 Access to research services</w:t>
      </w:r>
      <w:r>
        <w:rPr>
          <w:rStyle w:val="FootnoteTextChar"/>
        </w:rPr>
        <w:t xml:space="preserve"> tools</w:t>
      </w:r>
      <w:r w:rsidRPr="003A1D81">
        <w:rPr>
          <w:rStyle w:val="FootnoteTextChar"/>
        </w:rPr>
        <w:t>; Type 3 KET applications; Type 4 TRL improvement / certification; Type 5 Innovation management chain; Type 6 Constant renewal services; Type 7 Commercialisation of research, cross border; Type 8 Direct research to business cooperation.</w:t>
      </w:r>
      <w:r w:rsidRPr="00E14342">
        <w:rPr>
          <w:rFonts w:eastAsia="Times New Roman" w:cs="Tahoma"/>
          <w:color w:val="021B2B"/>
          <w:szCs w:val="18"/>
          <w:lang w:eastAsia="fi-FI"/>
        </w:rPr>
        <w:tab/>
        <w:t xml:space="preserve"> </w:t>
      </w:r>
    </w:p>
    <w:p w14:paraId="0F9EC831" w14:textId="77777777" w:rsidR="00A8599B" w:rsidRPr="003A1D81" w:rsidRDefault="00A8599B" w:rsidP="00A8599B">
      <w:pPr>
        <w:pStyle w:val="FootnoteText"/>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9098" w14:textId="53E2D693" w:rsidR="00017477" w:rsidRDefault="00017477" w:rsidP="00BE7AB2">
    <w:pPr>
      <w:pStyle w:val="Header"/>
      <w:tabs>
        <w:tab w:val="left" w:pos="5216"/>
        <w:tab w:val="left" w:pos="9214"/>
      </w:tabs>
      <w:spacing w:line="360" w:lineRule="auto"/>
      <w:rPr>
        <w:rFonts w:cs="Tahoma"/>
      </w:rPr>
    </w:pPr>
    <w:r w:rsidRPr="009456E1">
      <w:rPr>
        <w:spacing w:val="20"/>
      </w:rPr>
      <w:t xml:space="preserve">Interreg Europe </w:t>
    </w:r>
    <w:r>
      <w:rPr>
        <w:color w:val="F5C040" w:themeColor="accent5"/>
      </w:rPr>
      <w:t xml:space="preserve">PGI 00040 BRIDGES </w:t>
    </w:r>
    <w:r>
      <w:tab/>
    </w:r>
    <w:r>
      <w:tab/>
    </w:r>
    <w:r w:rsidRPr="00741151">
      <w:rPr>
        <w:rFonts w:cs="Tahoma"/>
      </w:rPr>
      <w:fldChar w:fldCharType="begin"/>
    </w:r>
    <w:r w:rsidRPr="00741151">
      <w:rPr>
        <w:rFonts w:cs="Tahoma"/>
      </w:rPr>
      <w:instrText xml:space="preserve"> PAGE   \* MERGEFORMAT </w:instrText>
    </w:r>
    <w:r w:rsidRPr="00741151">
      <w:rPr>
        <w:rFonts w:cs="Tahoma"/>
      </w:rPr>
      <w:fldChar w:fldCharType="separate"/>
    </w:r>
    <w:r>
      <w:rPr>
        <w:rFonts w:cs="Tahoma"/>
      </w:rPr>
      <w:t>3</w:t>
    </w:r>
    <w:r w:rsidRPr="00741151">
      <w:rPr>
        <w:rFonts w:cs="Tahoma"/>
      </w:rPr>
      <w:fldChar w:fldCharType="end"/>
    </w:r>
    <w:r w:rsidRPr="00741151">
      <w:rPr>
        <w:rFonts w:cs="Tahoma"/>
      </w:rPr>
      <w:t xml:space="preserve"> (</w:t>
    </w:r>
    <w:r>
      <w:rPr>
        <w:rFonts w:cs="Tahoma"/>
      </w:rPr>
      <w:fldChar w:fldCharType="begin"/>
    </w:r>
    <w:r>
      <w:rPr>
        <w:rFonts w:cs="Tahoma"/>
      </w:rPr>
      <w:instrText xml:space="preserve"> NUMPAGES   \* MERGEFORMAT </w:instrText>
    </w:r>
    <w:r>
      <w:rPr>
        <w:rFonts w:cs="Tahoma"/>
      </w:rPr>
      <w:fldChar w:fldCharType="separate"/>
    </w:r>
    <w:r w:rsidRPr="00BA7AA6">
      <w:rPr>
        <w:rFonts w:cs="Tahoma"/>
      </w:rPr>
      <w:t>38</w:t>
    </w:r>
    <w:r>
      <w:rPr>
        <w:rFonts w:cs="Tahoma"/>
      </w:rPr>
      <w:fldChar w:fldCharType="end"/>
    </w:r>
    <w:r w:rsidRPr="00741151">
      <w:rPr>
        <w:rFonts w:cs="Tahoma"/>
      </w:rPr>
      <w:t>)</w:t>
    </w:r>
    <w:r>
      <w:rPr>
        <w:rFonts w:cs="Tahoma"/>
      </w:rPr>
      <w:tab/>
    </w:r>
  </w:p>
  <w:p w14:paraId="743DE8E3" w14:textId="77777777" w:rsidR="00017477" w:rsidRPr="009456E1" w:rsidRDefault="00017477" w:rsidP="00C40FA6">
    <w:pPr>
      <w:pStyle w:val="Header"/>
      <w:pBdr>
        <w:top w:val="single" w:sz="2" w:space="0" w:color="D9D9D9" w:themeColor="background1" w:themeShade="D9"/>
      </w:pBdr>
      <w:tabs>
        <w:tab w:val="left" w:pos="5216"/>
        <w:tab w:val="left" w:pos="9639"/>
      </w:tabs>
      <w:spacing w:line="360" w:lineRule="auto"/>
      <w:rPr>
        <w:rStyle w:val="Hyperlink"/>
        <w:rFonts w:ascii="Tahoma" w:hAnsi="Tahoma"/>
        <w:color w:val="F5C040" w:themeColor="accent5"/>
      </w:rPr>
    </w:pPr>
    <w:hyperlink r:id="rId1" w:history="1">
      <w:r w:rsidRPr="009456E1">
        <w:rPr>
          <w:rStyle w:val="Hyperlink"/>
          <w:rFonts w:ascii="Tahoma" w:hAnsi="Tahoma"/>
          <w:color w:val="F5C040" w:themeColor="accent5"/>
        </w:rPr>
        <w:t>http://www.interregeurope.eu/bridges/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2AE"/>
    <w:multiLevelType w:val="hybridMultilevel"/>
    <w:tmpl w:val="EE2CD53A"/>
    <w:lvl w:ilvl="0" w:tplc="9AC024AA">
      <w:start w:val="1"/>
      <w:numFmt w:val="decimal"/>
      <w:pStyle w:val="List2"/>
      <w:lvlText w:val="Table %1"/>
      <w:lvlJc w:val="left"/>
      <w:pPr>
        <w:tabs>
          <w:tab w:val="num" w:pos="1134"/>
        </w:tabs>
        <w:ind w:left="1134" w:hanging="850"/>
      </w:pPr>
      <w:rPr>
        <w:rFonts w:ascii="Tahoma" w:hAnsi="Tahoma" w:hint="default"/>
        <w:b/>
        <w:bCs/>
        <w:i w:val="0"/>
        <w:iCs w:val="0"/>
        <w:color w:val="05436B" w:themeColor="background2" w:themeShade="40"/>
        <w:sz w:val="18"/>
        <w:szCs w:val="18"/>
      </w:rPr>
    </w:lvl>
    <w:lvl w:ilvl="1" w:tplc="E32477E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7D7"/>
    <w:multiLevelType w:val="hybridMultilevel"/>
    <w:tmpl w:val="D084CDCE"/>
    <w:lvl w:ilvl="0" w:tplc="2E526BF6">
      <w:start w:val="1"/>
      <w:numFmt w:val="decimal"/>
      <w:lvlText w:val="%1."/>
      <w:lvlJc w:val="left"/>
      <w:pPr>
        <w:ind w:left="1060" w:hanging="360"/>
      </w:pPr>
      <w:rPr>
        <w:rFonts w:ascii="Tahoma" w:hAnsi="Tahoma" w:hint="default"/>
        <w:b/>
        <w:bCs/>
        <w:i w:val="0"/>
        <w:iCs w:val="0"/>
        <w:caps w:val="0"/>
        <w:strike w:val="0"/>
        <w:dstrike w:val="0"/>
        <w:vanish w:val="0"/>
        <w:color w:val="FFD579"/>
        <w:sz w:val="20"/>
        <w:szCs w:val="20"/>
        <w:u w:val="none"/>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19172FBA"/>
    <w:multiLevelType w:val="multilevel"/>
    <w:tmpl w:val="D084CDCE"/>
    <w:lvl w:ilvl="0">
      <w:start w:val="1"/>
      <w:numFmt w:val="decimal"/>
      <w:lvlText w:val="%1."/>
      <w:lvlJc w:val="left"/>
      <w:pPr>
        <w:ind w:left="1060" w:hanging="360"/>
      </w:pPr>
      <w:rPr>
        <w:rFonts w:ascii="Tahoma" w:hAnsi="Tahoma" w:hint="default"/>
        <w:b/>
        <w:bCs/>
        <w:i w:val="0"/>
        <w:iCs w:val="0"/>
        <w:caps w:val="0"/>
        <w:strike w:val="0"/>
        <w:dstrike w:val="0"/>
        <w:vanish w:val="0"/>
        <w:color w:val="FFD579"/>
        <w:sz w:val="20"/>
        <w:szCs w:val="20"/>
        <w:u w:val="none"/>
        <w:vertAlign w:val="baseli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15:restartNumberingAfterBreak="0">
    <w:nsid w:val="25684B04"/>
    <w:multiLevelType w:val="hybridMultilevel"/>
    <w:tmpl w:val="4E1CDB08"/>
    <w:lvl w:ilvl="0" w:tplc="1248BD14">
      <w:start w:val="3"/>
      <w:numFmt w:val="decimal"/>
      <w:pStyle w:val="Caption"/>
      <w:lvlText w:val="Insights Table %1"/>
      <w:lvlJc w:val="left"/>
      <w:pPr>
        <w:ind w:left="720" w:hanging="360"/>
      </w:pPr>
      <w:rPr>
        <w:rFonts w:ascii="Tahoma Bold" w:hAnsi="Tahoma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47B39"/>
    <w:multiLevelType w:val="hybridMultilevel"/>
    <w:tmpl w:val="DA383A4C"/>
    <w:lvl w:ilvl="0" w:tplc="6FCC7BB8">
      <w:start w:val="1"/>
      <w:numFmt w:val="decimal"/>
      <w:pStyle w:val="ListBullet5"/>
      <w:lvlText w:val=" %1."/>
      <w:lvlJc w:val="left"/>
      <w:pPr>
        <w:ind w:left="737" w:hanging="453"/>
      </w:pPr>
      <w:rPr>
        <w:rFonts w:ascii="Tahoma" w:hAnsi="Tahoma" w:hint="default"/>
        <w:b/>
        <w:bCs/>
        <w:i w:val="0"/>
        <w:iCs w:val="0"/>
        <w:color w:val="FFD579"/>
        <w:sz w:val="20"/>
        <w:szCs w:val="18"/>
      </w:rPr>
    </w:lvl>
    <w:lvl w:ilvl="1" w:tplc="04090019">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5" w15:restartNumberingAfterBreak="0">
    <w:nsid w:val="31FB1540"/>
    <w:multiLevelType w:val="hybridMultilevel"/>
    <w:tmpl w:val="DDD020E6"/>
    <w:lvl w:ilvl="0" w:tplc="58ECDA2E">
      <w:start w:val="1"/>
      <w:numFmt w:val="decimal"/>
      <w:pStyle w:val="Otsikko12"/>
      <w:lvlText w:val="Table %1"/>
      <w:lvlJc w:val="left"/>
      <w:pPr>
        <w:tabs>
          <w:tab w:val="num" w:pos="964"/>
        </w:tabs>
        <w:ind w:left="907" w:hanging="623"/>
      </w:pPr>
      <w:rPr>
        <w:rFonts w:ascii="Tahoma" w:hAnsi="Tahoma" w:hint="default"/>
        <w:b/>
        <w:bCs/>
        <w:i w:val="0"/>
        <w:iCs w:val="0"/>
        <w:color w:val="05436B" w:themeColor="background2" w:themeShade="40"/>
        <w:sz w:val="18"/>
        <w:szCs w:val="18"/>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3B975779"/>
    <w:multiLevelType w:val="hybridMultilevel"/>
    <w:tmpl w:val="1FBE161A"/>
    <w:lvl w:ilvl="0" w:tplc="F7D2F07C">
      <w:start w:val="1"/>
      <w:numFmt w:val="bullet"/>
      <w:pStyle w:val="ListBullet2"/>
      <w:lvlText w:val=""/>
      <w:lvlJc w:val="left"/>
      <w:pPr>
        <w:ind w:left="567" w:hanging="340"/>
      </w:pPr>
      <w:rPr>
        <w:rFonts w:ascii="Symbol" w:hAnsi="Symbol" w:hint="default"/>
        <w:b/>
        <w:bCs/>
        <w:i w:val="0"/>
        <w:iCs w:val="0"/>
        <w:color w:val="FFD579"/>
        <w:sz w:val="18"/>
        <w:szCs w:val="18"/>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212FC"/>
    <w:multiLevelType w:val="hybridMultilevel"/>
    <w:tmpl w:val="DEA642DE"/>
    <w:lvl w:ilvl="0" w:tplc="03ECCD2E">
      <w:start w:val="1"/>
      <w:numFmt w:val="bullet"/>
      <w:pStyle w:val="Listwithsmallreddot"/>
      <w:lvlText w:val=""/>
      <w:lvlJc w:val="left"/>
      <w:pPr>
        <w:ind w:left="720" w:hanging="360"/>
      </w:pPr>
      <w:rPr>
        <w:rFonts w:ascii="Symbol Tiger" w:hAnsi="Symbol Tiger" w:hint="default"/>
        <w:b/>
        <w:i w:val="0"/>
        <w:color w:val="FFD579"/>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39B9"/>
    <w:multiLevelType w:val="hybridMultilevel"/>
    <w:tmpl w:val="68723460"/>
    <w:lvl w:ilvl="0" w:tplc="34224454">
      <w:start w:val="1"/>
      <w:numFmt w:val="decimal"/>
      <w:pStyle w:val="Heading6"/>
      <w:lvlText w:val="Table %1"/>
      <w:lvlJc w:val="left"/>
      <w:pPr>
        <w:tabs>
          <w:tab w:val="num" w:pos="1417"/>
        </w:tabs>
        <w:ind w:left="1417" w:hanging="737"/>
      </w:pPr>
      <w:rPr>
        <w:rFonts w:ascii="Tahoma" w:hAnsi="Tahoma" w:hint="default"/>
        <w:b/>
        <w:bCs/>
        <w:i w:val="0"/>
        <w:iCs w:val="0"/>
        <w:color w:val="05436B" w:themeColor="background2" w:themeShade="40"/>
        <w:sz w:val="18"/>
        <w:szCs w:val="18"/>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66866E24"/>
    <w:multiLevelType w:val="hybridMultilevel"/>
    <w:tmpl w:val="36B078A8"/>
    <w:lvl w:ilvl="0" w:tplc="201E9DAA">
      <w:start w:val="1"/>
      <w:numFmt w:val="decimal"/>
      <w:lvlText w:val="%1."/>
      <w:lvlJc w:val="left"/>
      <w:pPr>
        <w:ind w:left="947" w:hanging="360"/>
      </w:pPr>
      <w:rPr>
        <w:rFonts w:ascii="Tahoma" w:hAnsi="Tahoma" w:cs="Times New Roman" w:hint="default"/>
        <w:b w:val="0"/>
        <w:bCs w:val="0"/>
        <w:i w:val="0"/>
        <w:iCs w:val="0"/>
        <w:color w:val="021B2B" w:themeColor="background2" w:themeShade="1A"/>
        <w:sz w:val="20"/>
        <w:szCs w:val="20"/>
      </w:rPr>
    </w:lvl>
    <w:lvl w:ilvl="1" w:tplc="4C4EBB96">
      <w:start w:val="1"/>
      <w:numFmt w:val="lowerLetter"/>
      <w:pStyle w:val="ListBullet"/>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0" w15:restartNumberingAfterBreak="0">
    <w:nsid w:val="6E837496"/>
    <w:multiLevelType w:val="hybridMultilevel"/>
    <w:tmpl w:val="6C7892D4"/>
    <w:lvl w:ilvl="0" w:tplc="8DF46F5A">
      <w:start w:val="1"/>
      <w:numFmt w:val="bullet"/>
      <w:pStyle w:val="ListParagraph"/>
      <w:lvlText w:val=""/>
      <w:lvlJc w:val="left"/>
      <w:pPr>
        <w:ind w:left="737" w:hanging="377"/>
      </w:pPr>
      <w:rPr>
        <w:rFonts w:ascii="Symbol" w:hAnsi="Symbol" w:hint="default"/>
        <w:b/>
        <w:bCs/>
        <w:i w:val="0"/>
        <w:iCs w:val="0"/>
        <w:color w:val="FFD579"/>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62684"/>
    <w:multiLevelType w:val="hybridMultilevel"/>
    <w:tmpl w:val="D9A8AC80"/>
    <w:lvl w:ilvl="0" w:tplc="4F8C33E8">
      <w:start w:val="1"/>
      <w:numFmt w:val="decimal"/>
      <w:pStyle w:val="ListNumber2"/>
      <w:lvlText w:val="%1."/>
      <w:lvlJc w:val="left"/>
      <w:pPr>
        <w:ind w:left="567" w:hanging="283"/>
      </w:pPr>
      <w:rPr>
        <w:rFonts w:ascii="Tahoma Bold" w:hAnsi="Tahoma Bold" w:hint="default"/>
        <w:b/>
        <w:bCs/>
        <w:i w:val="0"/>
        <w:iCs w:val="0"/>
        <w:color w:val="FFD579"/>
        <w:sz w:val="18"/>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70E6720E"/>
    <w:multiLevelType w:val="hybridMultilevel"/>
    <w:tmpl w:val="ADD0926A"/>
    <w:lvl w:ilvl="0" w:tplc="68A87856">
      <w:start w:val="1"/>
      <w:numFmt w:val="decimal"/>
      <w:pStyle w:val="List4"/>
      <w:lvlText w:val="Part %1."/>
      <w:lvlJc w:val="left"/>
      <w:pPr>
        <w:ind w:left="120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num w:numId="1">
    <w:abstractNumId w:val="12"/>
  </w:num>
  <w:num w:numId="2">
    <w:abstractNumId w:val="4"/>
  </w:num>
  <w:num w:numId="3">
    <w:abstractNumId w:val="9"/>
  </w:num>
  <w:num w:numId="4">
    <w:abstractNumId w:val="11"/>
  </w:num>
  <w:num w:numId="5">
    <w:abstractNumId w:val="8"/>
  </w:num>
  <w:num w:numId="6">
    <w:abstractNumId w:val="0"/>
  </w:num>
  <w:num w:numId="7">
    <w:abstractNumId w:val="5"/>
  </w:num>
  <w:num w:numId="8">
    <w:abstractNumId w:val="10"/>
  </w:num>
  <w:num w:numId="9">
    <w:abstractNumId w:val="1"/>
  </w:num>
  <w:num w:numId="10">
    <w:abstractNumId w:val="7"/>
  </w:num>
  <w:num w:numId="11">
    <w:abstractNumId w:val="6"/>
  </w:num>
  <w:num w:numId="12">
    <w:abstractNumId w:val="2"/>
  </w:num>
  <w:num w:numId="13">
    <w:abstractNumId w:val="10"/>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i-FI" w:vendorID="64" w:dllVersion="0" w:nlCheck="1" w:checkStyle="0"/>
  <w:defaultTabStop w:val="1304"/>
  <w:autoHyphenation/>
  <w:hyphenationZone w:val="142"/>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8A"/>
    <w:rsid w:val="00003263"/>
    <w:rsid w:val="00005328"/>
    <w:rsid w:val="00005FA1"/>
    <w:rsid w:val="000061FE"/>
    <w:rsid w:val="00006E5B"/>
    <w:rsid w:val="00007582"/>
    <w:rsid w:val="000075B3"/>
    <w:rsid w:val="000079A8"/>
    <w:rsid w:val="00010DFC"/>
    <w:rsid w:val="00013A38"/>
    <w:rsid w:val="00015CE2"/>
    <w:rsid w:val="0001608D"/>
    <w:rsid w:val="00017477"/>
    <w:rsid w:val="00017A9C"/>
    <w:rsid w:val="00020928"/>
    <w:rsid w:val="000215ED"/>
    <w:rsid w:val="000222EF"/>
    <w:rsid w:val="00022C5F"/>
    <w:rsid w:val="00023B65"/>
    <w:rsid w:val="000274AD"/>
    <w:rsid w:val="00027C5B"/>
    <w:rsid w:val="00030E0C"/>
    <w:rsid w:val="00033776"/>
    <w:rsid w:val="00033B38"/>
    <w:rsid w:val="00033D75"/>
    <w:rsid w:val="000345E1"/>
    <w:rsid w:val="00034C5A"/>
    <w:rsid w:val="00035CFA"/>
    <w:rsid w:val="00036E8D"/>
    <w:rsid w:val="000377B3"/>
    <w:rsid w:val="00042D27"/>
    <w:rsid w:val="00047310"/>
    <w:rsid w:val="0005047A"/>
    <w:rsid w:val="00050A7A"/>
    <w:rsid w:val="00050CE2"/>
    <w:rsid w:val="00050E60"/>
    <w:rsid w:val="00052A76"/>
    <w:rsid w:val="00053108"/>
    <w:rsid w:val="0005310C"/>
    <w:rsid w:val="000531A3"/>
    <w:rsid w:val="00053502"/>
    <w:rsid w:val="00053F88"/>
    <w:rsid w:val="00054FDB"/>
    <w:rsid w:val="00055B7E"/>
    <w:rsid w:val="000604AC"/>
    <w:rsid w:val="000646BE"/>
    <w:rsid w:val="00065A28"/>
    <w:rsid w:val="000669C0"/>
    <w:rsid w:val="0006724A"/>
    <w:rsid w:val="00067BCD"/>
    <w:rsid w:val="0007094A"/>
    <w:rsid w:val="00072B19"/>
    <w:rsid w:val="00073DF5"/>
    <w:rsid w:val="00076AF9"/>
    <w:rsid w:val="000773E0"/>
    <w:rsid w:val="00077D45"/>
    <w:rsid w:val="00080604"/>
    <w:rsid w:val="000811AE"/>
    <w:rsid w:val="00082827"/>
    <w:rsid w:val="000838AD"/>
    <w:rsid w:val="000843AF"/>
    <w:rsid w:val="00085B21"/>
    <w:rsid w:val="00085E5D"/>
    <w:rsid w:val="000866CC"/>
    <w:rsid w:val="00087463"/>
    <w:rsid w:val="00087D97"/>
    <w:rsid w:val="000943D5"/>
    <w:rsid w:val="000A1AAF"/>
    <w:rsid w:val="000A1DB8"/>
    <w:rsid w:val="000A2003"/>
    <w:rsid w:val="000A7A11"/>
    <w:rsid w:val="000B0B91"/>
    <w:rsid w:val="000B0C77"/>
    <w:rsid w:val="000B1598"/>
    <w:rsid w:val="000B205F"/>
    <w:rsid w:val="000B40F0"/>
    <w:rsid w:val="000B4118"/>
    <w:rsid w:val="000B5D09"/>
    <w:rsid w:val="000B7386"/>
    <w:rsid w:val="000B7CC0"/>
    <w:rsid w:val="000C28BF"/>
    <w:rsid w:val="000C2BF5"/>
    <w:rsid w:val="000C36EB"/>
    <w:rsid w:val="000C39EF"/>
    <w:rsid w:val="000C3A36"/>
    <w:rsid w:val="000C3CD1"/>
    <w:rsid w:val="000C407B"/>
    <w:rsid w:val="000C4816"/>
    <w:rsid w:val="000C4C78"/>
    <w:rsid w:val="000C5965"/>
    <w:rsid w:val="000C66C3"/>
    <w:rsid w:val="000C6DE7"/>
    <w:rsid w:val="000D11FF"/>
    <w:rsid w:val="000D1240"/>
    <w:rsid w:val="000D21DF"/>
    <w:rsid w:val="000D2A7F"/>
    <w:rsid w:val="000D37CA"/>
    <w:rsid w:val="000D38F0"/>
    <w:rsid w:val="000D3E34"/>
    <w:rsid w:val="000D6099"/>
    <w:rsid w:val="000D74D0"/>
    <w:rsid w:val="000D7B9F"/>
    <w:rsid w:val="000E07AC"/>
    <w:rsid w:val="000E08AD"/>
    <w:rsid w:val="000E1A10"/>
    <w:rsid w:val="000E2440"/>
    <w:rsid w:val="000E2D16"/>
    <w:rsid w:val="000E4F3E"/>
    <w:rsid w:val="000E56B6"/>
    <w:rsid w:val="000E5D6F"/>
    <w:rsid w:val="000E7652"/>
    <w:rsid w:val="000F05F2"/>
    <w:rsid w:val="000F0E6A"/>
    <w:rsid w:val="000F21E2"/>
    <w:rsid w:val="000F3BEB"/>
    <w:rsid w:val="000F53A7"/>
    <w:rsid w:val="000F5573"/>
    <w:rsid w:val="000F6749"/>
    <w:rsid w:val="000F6F7A"/>
    <w:rsid w:val="000F78B5"/>
    <w:rsid w:val="000F7DBA"/>
    <w:rsid w:val="00100A54"/>
    <w:rsid w:val="00100E9B"/>
    <w:rsid w:val="0010593B"/>
    <w:rsid w:val="00106711"/>
    <w:rsid w:val="0010681A"/>
    <w:rsid w:val="00106DE6"/>
    <w:rsid w:val="001102D6"/>
    <w:rsid w:val="0011098E"/>
    <w:rsid w:val="00111927"/>
    <w:rsid w:val="0011306B"/>
    <w:rsid w:val="0011487F"/>
    <w:rsid w:val="00114BFB"/>
    <w:rsid w:val="00116775"/>
    <w:rsid w:val="001179B7"/>
    <w:rsid w:val="001217CA"/>
    <w:rsid w:val="0012229F"/>
    <w:rsid w:val="00122C54"/>
    <w:rsid w:val="0012475E"/>
    <w:rsid w:val="001279FE"/>
    <w:rsid w:val="00127F8C"/>
    <w:rsid w:val="001361ED"/>
    <w:rsid w:val="001412FE"/>
    <w:rsid w:val="00141342"/>
    <w:rsid w:val="0014188D"/>
    <w:rsid w:val="00141902"/>
    <w:rsid w:val="0014280A"/>
    <w:rsid w:val="00143CE7"/>
    <w:rsid w:val="00144B3F"/>
    <w:rsid w:val="001469FD"/>
    <w:rsid w:val="0015064B"/>
    <w:rsid w:val="00150CD3"/>
    <w:rsid w:val="001517C3"/>
    <w:rsid w:val="00152A24"/>
    <w:rsid w:val="00153A41"/>
    <w:rsid w:val="00153F04"/>
    <w:rsid w:val="001558A5"/>
    <w:rsid w:val="0015655F"/>
    <w:rsid w:val="001578A2"/>
    <w:rsid w:val="00161649"/>
    <w:rsid w:val="00161D2A"/>
    <w:rsid w:val="001624BA"/>
    <w:rsid w:val="00163251"/>
    <w:rsid w:val="00163513"/>
    <w:rsid w:val="0016564B"/>
    <w:rsid w:val="001656D6"/>
    <w:rsid w:val="0016732F"/>
    <w:rsid w:val="001713DB"/>
    <w:rsid w:val="00174467"/>
    <w:rsid w:val="0017447E"/>
    <w:rsid w:val="00175147"/>
    <w:rsid w:val="00175535"/>
    <w:rsid w:val="00176845"/>
    <w:rsid w:val="00177014"/>
    <w:rsid w:val="001772DC"/>
    <w:rsid w:val="00177B62"/>
    <w:rsid w:val="0018262D"/>
    <w:rsid w:val="00182F61"/>
    <w:rsid w:val="0018528C"/>
    <w:rsid w:val="00185439"/>
    <w:rsid w:val="00185F03"/>
    <w:rsid w:val="001861C0"/>
    <w:rsid w:val="001862DA"/>
    <w:rsid w:val="00187DDF"/>
    <w:rsid w:val="00191B68"/>
    <w:rsid w:val="00191DBC"/>
    <w:rsid w:val="00192476"/>
    <w:rsid w:val="00193EFA"/>
    <w:rsid w:val="00195EBA"/>
    <w:rsid w:val="00196659"/>
    <w:rsid w:val="00196B4C"/>
    <w:rsid w:val="001A0FB9"/>
    <w:rsid w:val="001A16EB"/>
    <w:rsid w:val="001A407B"/>
    <w:rsid w:val="001A40F2"/>
    <w:rsid w:val="001A52E2"/>
    <w:rsid w:val="001A5480"/>
    <w:rsid w:val="001A5DD8"/>
    <w:rsid w:val="001A6B2F"/>
    <w:rsid w:val="001A796B"/>
    <w:rsid w:val="001A7EEF"/>
    <w:rsid w:val="001A7FE9"/>
    <w:rsid w:val="001B166D"/>
    <w:rsid w:val="001B1E18"/>
    <w:rsid w:val="001B2AA9"/>
    <w:rsid w:val="001B4777"/>
    <w:rsid w:val="001B47ED"/>
    <w:rsid w:val="001B6427"/>
    <w:rsid w:val="001B67D0"/>
    <w:rsid w:val="001C0472"/>
    <w:rsid w:val="001C0C83"/>
    <w:rsid w:val="001C0EBE"/>
    <w:rsid w:val="001C2A2F"/>
    <w:rsid w:val="001C2FA5"/>
    <w:rsid w:val="001C39FE"/>
    <w:rsid w:val="001C4D8C"/>
    <w:rsid w:val="001C546E"/>
    <w:rsid w:val="001C5C20"/>
    <w:rsid w:val="001C609E"/>
    <w:rsid w:val="001C72B2"/>
    <w:rsid w:val="001D1155"/>
    <w:rsid w:val="001D2AA7"/>
    <w:rsid w:val="001D5F8B"/>
    <w:rsid w:val="001D64A5"/>
    <w:rsid w:val="001D6D97"/>
    <w:rsid w:val="001E0F1E"/>
    <w:rsid w:val="001E1138"/>
    <w:rsid w:val="001E22F3"/>
    <w:rsid w:val="001E25D5"/>
    <w:rsid w:val="001E28B4"/>
    <w:rsid w:val="001E2B3F"/>
    <w:rsid w:val="001E4BE9"/>
    <w:rsid w:val="001E61B5"/>
    <w:rsid w:val="001E7697"/>
    <w:rsid w:val="001F0C34"/>
    <w:rsid w:val="001F1C76"/>
    <w:rsid w:val="001F1E9B"/>
    <w:rsid w:val="001F371D"/>
    <w:rsid w:val="001F4922"/>
    <w:rsid w:val="00200D65"/>
    <w:rsid w:val="002012DA"/>
    <w:rsid w:val="0020173D"/>
    <w:rsid w:val="00206A08"/>
    <w:rsid w:val="00206FAA"/>
    <w:rsid w:val="00210335"/>
    <w:rsid w:val="00210A3F"/>
    <w:rsid w:val="00210D14"/>
    <w:rsid w:val="0021253B"/>
    <w:rsid w:val="002132CB"/>
    <w:rsid w:val="00213F34"/>
    <w:rsid w:val="0021470D"/>
    <w:rsid w:val="002148D2"/>
    <w:rsid w:val="00214BB3"/>
    <w:rsid w:val="002162B4"/>
    <w:rsid w:val="00216B92"/>
    <w:rsid w:val="00216D7F"/>
    <w:rsid w:val="00217732"/>
    <w:rsid w:val="002202BC"/>
    <w:rsid w:val="002202E6"/>
    <w:rsid w:val="0022034A"/>
    <w:rsid w:val="00220BE9"/>
    <w:rsid w:val="00221761"/>
    <w:rsid w:val="002227F7"/>
    <w:rsid w:val="002229FA"/>
    <w:rsid w:val="00223585"/>
    <w:rsid w:val="00225A6F"/>
    <w:rsid w:val="00225B1B"/>
    <w:rsid w:val="0022731C"/>
    <w:rsid w:val="00227AD0"/>
    <w:rsid w:val="00230A39"/>
    <w:rsid w:val="00230F6D"/>
    <w:rsid w:val="00232E91"/>
    <w:rsid w:val="002339A3"/>
    <w:rsid w:val="00233A92"/>
    <w:rsid w:val="00234003"/>
    <w:rsid w:val="00234052"/>
    <w:rsid w:val="0023586C"/>
    <w:rsid w:val="00235BB6"/>
    <w:rsid w:val="00237E0E"/>
    <w:rsid w:val="0024018A"/>
    <w:rsid w:val="0024052E"/>
    <w:rsid w:val="00241B2A"/>
    <w:rsid w:val="00242CBC"/>
    <w:rsid w:val="0024364F"/>
    <w:rsid w:val="002438F0"/>
    <w:rsid w:val="00245138"/>
    <w:rsid w:val="00245235"/>
    <w:rsid w:val="00245688"/>
    <w:rsid w:val="00245B44"/>
    <w:rsid w:val="0024657E"/>
    <w:rsid w:val="002469B2"/>
    <w:rsid w:val="00251F6E"/>
    <w:rsid w:val="00252DB7"/>
    <w:rsid w:val="00255305"/>
    <w:rsid w:val="002556A8"/>
    <w:rsid w:val="002556E3"/>
    <w:rsid w:val="00256B56"/>
    <w:rsid w:val="00257F11"/>
    <w:rsid w:val="0026103A"/>
    <w:rsid w:val="00261632"/>
    <w:rsid w:val="00261A3A"/>
    <w:rsid w:val="00261C0B"/>
    <w:rsid w:val="0026284D"/>
    <w:rsid w:val="00262CE1"/>
    <w:rsid w:val="00263D5A"/>
    <w:rsid w:val="00265254"/>
    <w:rsid w:val="00265AB0"/>
    <w:rsid w:val="00266864"/>
    <w:rsid w:val="00267B81"/>
    <w:rsid w:val="0027153A"/>
    <w:rsid w:val="00271C49"/>
    <w:rsid w:val="0027228E"/>
    <w:rsid w:val="002742D6"/>
    <w:rsid w:val="002757BD"/>
    <w:rsid w:val="002772FD"/>
    <w:rsid w:val="002774A8"/>
    <w:rsid w:val="002777A9"/>
    <w:rsid w:val="00277AB7"/>
    <w:rsid w:val="00280252"/>
    <w:rsid w:val="002811FE"/>
    <w:rsid w:val="0028144A"/>
    <w:rsid w:val="002816DC"/>
    <w:rsid w:val="0028195D"/>
    <w:rsid w:val="00283FB8"/>
    <w:rsid w:val="00285413"/>
    <w:rsid w:val="00291361"/>
    <w:rsid w:val="00292864"/>
    <w:rsid w:val="00292998"/>
    <w:rsid w:val="0029379C"/>
    <w:rsid w:val="002953AF"/>
    <w:rsid w:val="00297D7E"/>
    <w:rsid w:val="002A0126"/>
    <w:rsid w:val="002A1502"/>
    <w:rsid w:val="002A166F"/>
    <w:rsid w:val="002A224E"/>
    <w:rsid w:val="002A5DBB"/>
    <w:rsid w:val="002B084D"/>
    <w:rsid w:val="002B35A4"/>
    <w:rsid w:val="002B4522"/>
    <w:rsid w:val="002B58D7"/>
    <w:rsid w:val="002B5C0B"/>
    <w:rsid w:val="002B5CB2"/>
    <w:rsid w:val="002B69D1"/>
    <w:rsid w:val="002C0586"/>
    <w:rsid w:val="002C4809"/>
    <w:rsid w:val="002C567A"/>
    <w:rsid w:val="002C596E"/>
    <w:rsid w:val="002C5A1E"/>
    <w:rsid w:val="002C5ADC"/>
    <w:rsid w:val="002C7AB7"/>
    <w:rsid w:val="002C7B8F"/>
    <w:rsid w:val="002D060E"/>
    <w:rsid w:val="002D1004"/>
    <w:rsid w:val="002D1B66"/>
    <w:rsid w:val="002D2232"/>
    <w:rsid w:val="002D2562"/>
    <w:rsid w:val="002D3F45"/>
    <w:rsid w:val="002D55CB"/>
    <w:rsid w:val="002D5A05"/>
    <w:rsid w:val="002D78A4"/>
    <w:rsid w:val="002D7F9A"/>
    <w:rsid w:val="002E0AF8"/>
    <w:rsid w:val="002E5584"/>
    <w:rsid w:val="002E6C50"/>
    <w:rsid w:val="002E71FF"/>
    <w:rsid w:val="002E7491"/>
    <w:rsid w:val="002E79DF"/>
    <w:rsid w:val="002F0481"/>
    <w:rsid w:val="002F16F4"/>
    <w:rsid w:val="002F2285"/>
    <w:rsid w:val="002F3845"/>
    <w:rsid w:val="002F46BD"/>
    <w:rsid w:val="002F478D"/>
    <w:rsid w:val="002F535C"/>
    <w:rsid w:val="002F624B"/>
    <w:rsid w:val="002F666F"/>
    <w:rsid w:val="002F69CB"/>
    <w:rsid w:val="002F74EC"/>
    <w:rsid w:val="002F77B7"/>
    <w:rsid w:val="002F78DC"/>
    <w:rsid w:val="002F7DCB"/>
    <w:rsid w:val="00302404"/>
    <w:rsid w:val="00303E5F"/>
    <w:rsid w:val="00303EF3"/>
    <w:rsid w:val="00304099"/>
    <w:rsid w:val="00304A86"/>
    <w:rsid w:val="00307324"/>
    <w:rsid w:val="00310A69"/>
    <w:rsid w:val="00311FB0"/>
    <w:rsid w:val="003127EF"/>
    <w:rsid w:val="003139A0"/>
    <w:rsid w:val="0031592E"/>
    <w:rsid w:val="00315D53"/>
    <w:rsid w:val="0031655E"/>
    <w:rsid w:val="0031739F"/>
    <w:rsid w:val="00321BBF"/>
    <w:rsid w:val="00322456"/>
    <w:rsid w:val="003235CA"/>
    <w:rsid w:val="00324723"/>
    <w:rsid w:val="003265A7"/>
    <w:rsid w:val="003274F3"/>
    <w:rsid w:val="003303F6"/>
    <w:rsid w:val="00330D0A"/>
    <w:rsid w:val="0033203D"/>
    <w:rsid w:val="003324D5"/>
    <w:rsid w:val="00334EA6"/>
    <w:rsid w:val="003357CC"/>
    <w:rsid w:val="00343CF7"/>
    <w:rsid w:val="0034446D"/>
    <w:rsid w:val="00344541"/>
    <w:rsid w:val="00344E5A"/>
    <w:rsid w:val="003452DD"/>
    <w:rsid w:val="00347477"/>
    <w:rsid w:val="00347EF1"/>
    <w:rsid w:val="00351E81"/>
    <w:rsid w:val="00352895"/>
    <w:rsid w:val="003529A5"/>
    <w:rsid w:val="0035485C"/>
    <w:rsid w:val="00355103"/>
    <w:rsid w:val="003557AF"/>
    <w:rsid w:val="003607AC"/>
    <w:rsid w:val="00360E91"/>
    <w:rsid w:val="00361D54"/>
    <w:rsid w:val="00361DEC"/>
    <w:rsid w:val="00362EFB"/>
    <w:rsid w:val="003630AB"/>
    <w:rsid w:val="00363985"/>
    <w:rsid w:val="00364801"/>
    <w:rsid w:val="003659ED"/>
    <w:rsid w:val="00372739"/>
    <w:rsid w:val="00372A09"/>
    <w:rsid w:val="0037310B"/>
    <w:rsid w:val="00374542"/>
    <w:rsid w:val="00376A48"/>
    <w:rsid w:val="00377DD0"/>
    <w:rsid w:val="00380562"/>
    <w:rsid w:val="003821CB"/>
    <w:rsid w:val="00383330"/>
    <w:rsid w:val="0038532D"/>
    <w:rsid w:val="00385763"/>
    <w:rsid w:val="00385BCE"/>
    <w:rsid w:val="003864E0"/>
    <w:rsid w:val="0038657F"/>
    <w:rsid w:val="0039069F"/>
    <w:rsid w:val="00390B3E"/>
    <w:rsid w:val="003943E9"/>
    <w:rsid w:val="00394B0F"/>
    <w:rsid w:val="00394CC8"/>
    <w:rsid w:val="00395167"/>
    <w:rsid w:val="00396A48"/>
    <w:rsid w:val="00396E9D"/>
    <w:rsid w:val="003A0995"/>
    <w:rsid w:val="003A2F49"/>
    <w:rsid w:val="003A44AE"/>
    <w:rsid w:val="003A4FDD"/>
    <w:rsid w:val="003A52A7"/>
    <w:rsid w:val="003A5C7E"/>
    <w:rsid w:val="003A76CD"/>
    <w:rsid w:val="003B08DA"/>
    <w:rsid w:val="003B1F7A"/>
    <w:rsid w:val="003B37A7"/>
    <w:rsid w:val="003B4054"/>
    <w:rsid w:val="003B4927"/>
    <w:rsid w:val="003B5A5A"/>
    <w:rsid w:val="003B6B8C"/>
    <w:rsid w:val="003B6BC6"/>
    <w:rsid w:val="003C0EB3"/>
    <w:rsid w:val="003C2EE3"/>
    <w:rsid w:val="003C4CC3"/>
    <w:rsid w:val="003C5152"/>
    <w:rsid w:val="003C6D83"/>
    <w:rsid w:val="003D0E3E"/>
    <w:rsid w:val="003D2C50"/>
    <w:rsid w:val="003D2E9A"/>
    <w:rsid w:val="003D38AF"/>
    <w:rsid w:val="003D4478"/>
    <w:rsid w:val="003D461C"/>
    <w:rsid w:val="003D4E39"/>
    <w:rsid w:val="003D55CA"/>
    <w:rsid w:val="003D5A84"/>
    <w:rsid w:val="003D5E66"/>
    <w:rsid w:val="003D616F"/>
    <w:rsid w:val="003D6C6A"/>
    <w:rsid w:val="003D72AC"/>
    <w:rsid w:val="003D7702"/>
    <w:rsid w:val="003E3E3E"/>
    <w:rsid w:val="003E561E"/>
    <w:rsid w:val="003E5AA9"/>
    <w:rsid w:val="003E6C20"/>
    <w:rsid w:val="003E754F"/>
    <w:rsid w:val="003F11A1"/>
    <w:rsid w:val="003F1C65"/>
    <w:rsid w:val="003F28C6"/>
    <w:rsid w:val="003F2B1E"/>
    <w:rsid w:val="003F3586"/>
    <w:rsid w:val="003F3AB9"/>
    <w:rsid w:val="003F3B3B"/>
    <w:rsid w:val="003F41D7"/>
    <w:rsid w:val="003F4AE2"/>
    <w:rsid w:val="003F5630"/>
    <w:rsid w:val="003F64D2"/>
    <w:rsid w:val="003F758D"/>
    <w:rsid w:val="00400B58"/>
    <w:rsid w:val="00401560"/>
    <w:rsid w:val="004029D2"/>
    <w:rsid w:val="00402FEC"/>
    <w:rsid w:val="00405A4F"/>
    <w:rsid w:val="00405E7E"/>
    <w:rsid w:val="00406886"/>
    <w:rsid w:val="00406E1F"/>
    <w:rsid w:val="004073D4"/>
    <w:rsid w:val="00410C72"/>
    <w:rsid w:val="00412BDD"/>
    <w:rsid w:val="004131DB"/>
    <w:rsid w:val="00415068"/>
    <w:rsid w:val="00417F17"/>
    <w:rsid w:val="004201D2"/>
    <w:rsid w:val="00423BA6"/>
    <w:rsid w:val="00425344"/>
    <w:rsid w:val="00425774"/>
    <w:rsid w:val="004337A8"/>
    <w:rsid w:val="00434AA6"/>
    <w:rsid w:val="00435221"/>
    <w:rsid w:val="00437210"/>
    <w:rsid w:val="004375BD"/>
    <w:rsid w:val="00437B73"/>
    <w:rsid w:val="004415CD"/>
    <w:rsid w:val="004415DC"/>
    <w:rsid w:val="00441BA8"/>
    <w:rsid w:val="0044346E"/>
    <w:rsid w:val="00444467"/>
    <w:rsid w:val="00444B58"/>
    <w:rsid w:val="00445239"/>
    <w:rsid w:val="0044556A"/>
    <w:rsid w:val="004461E4"/>
    <w:rsid w:val="00446AE0"/>
    <w:rsid w:val="00451C86"/>
    <w:rsid w:val="00451F7B"/>
    <w:rsid w:val="00451FA9"/>
    <w:rsid w:val="00453236"/>
    <w:rsid w:val="00455649"/>
    <w:rsid w:val="00455FA0"/>
    <w:rsid w:val="004564A6"/>
    <w:rsid w:val="00457C83"/>
    <w:rsid w:val="00460F29"/>
    <w:rsid w:val="004619BC"/>
    <w:rsid w:val="00462953"/>
    <w:rsid w:val="004630FF"/>
    <w:rsid w:val="00463202"/>
    <w:rsid w:val="00463438"/>
    <w:rsid w:val="00464E2C"/>
    <w:rsid w:val="004705BA"/>
    <w:rsid w:val="0047191F"/>
    <w:rsid w:val="00472ED0"/>
    <w:rsid w:val="00474D98"/>
    <w:rsid w:val="00475EBE"/>
    <w:rsid w:val="00476155"/>
    <w:rsid w:val="00476387"/>
    <w:rsid w:val="0047717B"/>
    <w:rsid w:val="00480270"/>
    <w:rsid w:val="0048099E"/>
    <w:rsid w:val="0048235F"/>
    <w:rsid w:val="0048334B"/>
    <w:rsid w:val="004845DE"/>
    <w:rsid w:val="00485F20"/>
    <w:rsid w:val="0048619D"/>
    <w:rsid w:val="00487691"/>
    <w:rsid w:val="00490754"/>
    <w:rsid w:val="004914B1"/>
    <w:rsid w:val="00493FFC"/>
    <w:rsid w:val="00494439"/>
    <w:rsid w:val="004945CC"/>
    <w:rsid w:val="00495249"/>
    <w:rsid w:val="00495795"/>
    <w:rsid w:val="00497D13"/>
    <w:rsid w:val="004A061E"/>
    <w:rsid w:val="004A0814"/>
    <w:rsid w:val="004A27B1"/>
    <w:rsid w:val="004A3D89"/>
    <w:rsid w:val="004A6581"/>
    <w:rsid w:val="004A6AD5"/>
    <w:rsid w:val="004A72AA"/>
    <w:rsid w:val="004A7508"/>
    <w:rsid w:val="004A7A46"/>
    <w:rsid w:val="004B00D0"/>
    <w:rsid w:val="004B0A07"/>
    <w:rsid w:val="004B1587"/>
    <w:rsid w:val="004B15F9"/>
    <w:rsid w:val="004B2226"/>
    <w:rsid w:val="004B2395"/>
    <w:rsid w:val="004B295F"/>
    <w:rsid w:val="004B3928"/>
    <w:rsid w:val="004B4403"/>
    <w:rsid w:val="004B48CC"/>
    <w:rsid w:val="004B57E5"/>
    <w:rsid w:val="004B61AD"/>
    <w:rsid w:val="004B7610"/>
    <w:rsid w:val="004B775B"/>
    <w:rsid w:val="004C18D6"/>
    <w:rsid w:val="004C2A00"/>
    <w:rsid w:val="004C2F1A"/>
    <w:rsid w:val="004C3062"/>
    <w:rsid w:val="004C306E"/>
    <w:rsid w:val="004C3D08"/>
    <w:rsid w:val="004C3FA5"/>
    <w:rsid w:val="004C5A4A"/>
    <w:rsid w:val="004C5BB7"/>
    <w:rsid w:val="004C6D9A"/>
    <w:rsid w:val="004D00D6"/>
    <w:rsid w:val="004D1DDA"/>
    <w:rsid w:val="004D2E78"/>
    <w:rsid w:val="004D2FD1"/>
    <w:rsid w:val="004D3415"/>
    <w:rsid w:val="004D61D0"/>
    <w:rsid w:val="004D6418"/>
    <w:rsid w:val="004E04C0"/>
    <w:rsid w:val="004E16CF"/>
    <w:rsid w:val="004E2E6F"/>
    <w:rsid w:val="004E3519"/>
    <w:rsid w:val="004E3FD4"/>
    <w:rsid w:val="004E4C33"/>
    <w:rsid w:val="004E5197"/>
    <w:rsid w:val="004F2104"/>
    <w:rsid w:val="004F43CE"/>
    <w:rsid w:val="004F552D"/>
    <w:rsid w:val="00500343"/>
    <w:rsid w:val="00501554"/>
    <w:rsid w:val="005018FB"/>
    <w:rsid w:val="005023FE"/>
    <w:rsid w:val="0050299D"/>
    <w:rsid w:val="00503079"/>
    <w:rsid w:val="00503132"/>
    <w:rsid w:val="00503784"/>
    <w:rsid w:val="00503EAC"/>
    <w:rsid w:val="00507ABA"/>
    <w:rsid w:val="00511024"/>
    <w:rsid w:val="00513486"/>
    <w:rsid w:val="00513503"/>
    <w:rsid w:val="00514365"/>
    <w:rsid w:val="005150D4"/>
    <w:rsid w:val="0051570B"/>
    <w:rsid w:val="00515A46"/>
    <w:rsid w:val="00515EA2"/>
    <w:rsid w:val="0051640C"/>
    <w:rsid w:val="005208B6"/>
    <w:rsid w:val="00522297"/>
    <w:rsid w:val="00523F8F"/>
    <w:rsid w:val="005250E3"/>
    <w:rsid w:val="00526645"/>
    <w:rsid w:val="0053113D"/>
    <w:rsid w:val="00531A68"/>
    <w:rsid w:val="005323B2"/>
    <w:rsid w:val="005324FC"/>
    <w:rsid w:val="005345D8"/>
    <w:rsid w:val="00535D8C"/>
    <w:rsid w:val="00540445"/>
    <w:rsid w:val="00540B23"/>
    <w:rsid w:val="00540DF8"/>
    <w:rsid w:val="00541D5E"/>
    <w:rsid w:val="005435D4"/>
    <w:rsid w:val="005468BC"/>
    <w:rsid w:val="00546E9F"/>
    <w:rsid w:val="00546EF3"/>
    <w:rsid w:val="00547B4A"/>
    <w:rsid w:val="0055010B"/>
    <w:rsid w:val="0055032C"/>
    <w:rsid w:val="0055078F"/>
    <w:rsid w:val="00551931"/>
    <w:rsid w:val="00551F37"/>
    <w:rsid w:val="005525B2"/>
    <w:rsid w:val="005547B6"/>
    <w:rsid w:val="00554D34"/>
    <w:rsid w:val="00555BF4"/>
    <w:rsid w:val="00564A45"/>
    <w:rsid w:val="0056591F"/>
    <w:rsid w:val="00565EE1"/>
    <w:rsid w:val="00565F4F"/>
    <w:rsid w:val="00566458"/>
    <w:rsid w:val="00566A73"/>
    <w:rsid w:val="005674A6"/>
    <w:rsid w:val="00567CCE"/>
    <w:rsid w:val="00567E52"/>
    <w:rsid w:val="00571E23"/>
    <w:rsid w:val="0057346E"/>
    <w:rsid w:val="0057369C"/>
    <w:rsid w:val="005738C9"/>
    <w:rsid w:val="00573E9A"/>
    <w:rsid w:val="00573EFC"/>
    <w:rsid w:val="0057517D"/>
    <w:rsid w:val="00575960"/>
    <w:rsid w:val="00575A63"/>
    <w:rsid w:val="005761EB"/>
    <w:rsid w:val="00576FBB"/>
    <w:rsid w:val="00577B17"/>
    <w:rsid w:val="005805ED"/>
    <w:rsid w:val="00580733"/>
    <w:rsid w:val="005812CD"/>
    <w:rsid w:val="005812CF"/>
    <w:rsid w:val="00582B46"/>
    <w:rsid w:val="00582BE6"/>
    <w:rsid w:val="00583DFE"/>
    <w:rsid w:val="0058437D"/>
    <w:rsid w:val="005871F3"/>
    <w:rsid w:val="00587B4B"/>
    <w:rsid w:val="005928B4"/>
    <w:rsid w:val="005938D4"/>
    <w:rsid w:val="0059397D"/>
    <w:rsid w:val="00593B28"/>
    <w:rsid w:val="00594EE8"/>
    <w:rsid w:val="00595D6D"/>
    <w:rsid w:val="00596003"/>
    <w:rsid w:val="005A0BA1"/>
    <w:rsid w:val="005A288B"/>
    <w:rsid w:val="005A290A"/>
    <w:rsid w:val="005A3259"/>
    <w:rsid w:val="005A3447"/>
    <w:rsid w:val="005A3646"/>
    <w:rsid w:val="005A4A10"/>
    <w:rsid w:val="005A4EE2"/>
    <w:rsid w:val="005A6818"/>
    <w:rsid w:val="005A6CD7"/>
    <w:rsid w:val="005A796B"/>
    <w:rsid w:val="005A7E41"/>
    <w:rsid w:val="005B04EE"/>
    <w:rsid w:val="005B09A1"/>
    <w:rsid w:val="005B1038"/>
    <w:rsid w:val="005B32AF"/>
    <w:rsid w:val="005B3D23"/>
    <w:rsid w:val="005B618E"/>
    <w:rsid w:val="005B6CB7"/>
    <w:rsid w:val="005B7F35"/>
    <w:rsid w:val="005C03FF"/>
    <w:rsid w:val="005C1A52"/>
    <w:rsid w:val="005C1F25"/>
    <w:rsid w:val="005C3C6B"/>
    <w:rsid w:val="005C424B"/>
    <w:rsid w:val="005C46B6"/>
    <w:rsid w:val="005C5F95"/>
    <w:rsid w:val="005C7645"/>
    <w:rsid w:val="005D05E4"/>
    <w:rsid w:val="005D2716"/>
    <w:rsid w:val="005D2CE8"/>
    <w:rsid w:val="005D4237"/>
    <w:rsid w:val="005D5644"/>
    <w:rsid w:val="005D66E6"/>
    <w:rsid w:val="005D6B02"/>
    <w:rsid w:val="005D7EA2"/>
    <w:rsid w:val="005E2061"/>
    <w:rsid w:val="005E270A"/>
    <w:rsid w:val="005E279E"/>
    <w:rsid w:val="005E2B39"/>
    <w:rsid w:val="005E3B91"/>
    <w:rsid w:val="005E401C"/>
    <w:rsid w:val="005E4590"/>
    <w:rsid w:val="005E5B74"/>
    <w:rsid w:val="005E77B6"/>
    <w:rsid w:val="005F0A79"/>
    <w:rsid w:val="005F161C"/>
    <w:rsid w:val="005F23C9"/>
    <w:rsid w:val="005F28CB"/>
    <w:rsid w:val="005F2D8F"/>
    <w:rsid w:val="005F4386"/>
    <w:rsid w:val="005F49CC"/>
    <w:rsid w:val="005F4F18"/>
    <w:rsid w:val="005F5C5C"/>
    <w:rsid w:val="005F5EA1"/>
    <w:rsid w:val="005F67E1"/>
    <w:rsid w:val="005F69D0"/>
    <w:rsid w:val="0060062F"/>
    <w:rsid w:val="006017CD"/>
    <w:rsid w:val="00601BAB"/>
    <w:rsid w:val="00603142"/>
    <w:rsid w:val="0060316D"/>
    <w:rsid w:val="00603E34"/>
    <w:rsid w:val="00604D84"/>
    <w:rsid w:val="00605577"/>
    <w:rsid w:val="006056FE"/>
    <w:rsid w:val="006067B0"/>
    <w:rsid w:val="006074B8"/>
    <w:rsid w:val="006141F0"/>
    <w:rsid w:val="006147BB"/>
    <w:rsid w:val="00615281"/>
    <w:rsid w:val="00615EDB"/>
    <w:rsid w:val="00616327"/>
    <w:rsid w:val="00616F1E"/>
    <w:rsid w:val="00620364"/>
    <w:rsid w:val="00620FFD"/>
    <w:rsid w:val="00622EE4"/>
    <w:rsid w:val="00623E47"/>
    <w:rsid w:val="006241F4"/>
    <w:rsid w:val="00624789"/>
    <w:rsid w:val="006255E1"/>
    <w:rsid w:val="006268BA"/>
    <w:rsid w:val="00627690"/>
    <w:rsid w:val="00627855"/>
    <w:rsid w:val="00633FCB"/>
    <w:rsid w:val="0063704C"/>
    <w:rsid w:val="006378DE"/>
    <w:rsid w:val="006406D3"/>
    <w:rsid w:val="00640A32"/>
    <w:rsid w:val="0064356B"/>
    <w:rsid w:val="00643EE8"/>
    <w:rsid w:val="0064457A"/>
    <w:rsid w:val="00644A5B"/>
    <w:rsid w:val="006458D4"/>
    <w:rsid w:val="00645E5D"/>
    <w:rsid w:val="00646205"/>
    <w:rsid w:val="006502EF"/>
    <w:rsid w:val="00650F14"/>
    <w:rsid w:val="00652963"/>
    <w:rsid w:val="00653C47"/>
    <w:rsid w:val="00653E30"/>
    <w:rsid w:val="00654774"/>
    <w:rsid w:val="0065560B"/>
    <w:rsid w:val="00655D80"/>
    <w:rsid w:val="006572A7"/>
    <w:rsid w:val="006573CD"/>
    <w:rsid w:val="00657A45"/>
    <w:rsid w:val="00660170"/>
    <w:rsid w:val="00661272"/>
    <w:rsid w:val="006617CC"/>
    <w:rsid w:val="0066237A"/>
    <w:rsid w:val="00662A21"/>
    <w:rsid w:val="006639EA"/>
    <w:rsid w:val="006649E7"/>
    <w:rsid w:val="006657BF"/>
    <w:rsid w:val="00665901"/>
    <w:rsid w:val="006664DA"/>
    <w:rsid w:val="006667E8"/>
    <w:rsid w:val="006667F2"/>
    <w:rsid w:val="00667B99"/>
    <w:rsid w:val="006704E2"/>
    <w:rsid w:val="00671722"/>
    <w:rsid w:val="00671C0C"/>
    <w:rsid w:val="006730D1"/>
    <w:rsid w:val="00674FCC"/>
    <w:rsid w:val="00675A12"/>
    <w:rsid w:val="00675CFC"/>
    <w:rsid w:val="00675D47"/>
    <w:rsid w:val="006761BA"/>
    <w:rsid w:val="0067704C"/>
    <w:rsid w:val="0067776D"/>
    <w:rsid w:val="00677873"/>
    <w:rsid w:val="00677C8E"/>
    <w:rsid w:val="0068169C"/>
    <w:rsid w:val="00682C9B"/>
    <w:rsid w:val="00682F03"/>
    <w:rsid w:val="006863E0"/>
    <w:rsid w:val="00691FCE"/>
    <w:rsid w:val="0069247B"/>
    <w:rsid w:val="0069380F"/>
    <w:rsid w:val="00693F09"/>
    <w:rsid w:val="00694558"/>
    <w:rsid w:val="0069621A"/>
    <w:rsid w:val="00696A35"/>
    <w:rsid w:val="006972E3"/>
    <w:rsid w:val="00697525"/>
    <w:rsid w:val="00697834"/>
    <w:rsid w:val="006A2447"/>
    <w:rsid w:val="006A24BF"/>
    <w:rsid w:val="006A2715"/>
    <w:rsid w:val="006A2F14"/>
    <w:rsid w:val="006A3307"/>
    <w:rsid w:val="006A35FD"/>
    <w:rsid w:val="006A4C93"/>
    <w:rsid w:val="006A5E8B"/>
    <w:rsid w:val="006A70AA"/>
    <w:rsid w:val="006A7482"/>
    <w:rsid w:val="006B0FC2"/>
    <w:rsid w:val="006B104B"/>
    <w:rsid w:val="006B17B5"/>
    <w:rsid w:val="006B409F"/>
    <w:rsid w:val="006B472B"/>
    <w:rsid w:val="006B74E9"/>
    <w:rsid w:val="006B7A39"/>
    <w:rsid w:val="006C0195"/>
    <w:rsid w:val="006C078B"/>
    <w:rsid w:val="006C1F4C"/>
    <w:rsid w:val="006C51A9"/>
    <w:rsid w:val="006C51B6"/>
    <w:rsid w:val="006C5A94"/>
    <w:rsid w:val="006C5D6E"/>
    <w:rsid w:val="006D0C03"/>
    <w:rsid w:val="006D168E"/>
    <w:rsid w:val="006D1DD0"/>
    <w:rsid w:val="006D4874"/>
    <w:rsid w:val="006D5E15"/>
    <w:rsid w:val="006E0057"/>
    <w:rsid w:val="006E06E5"/>
    <w:rsid w:val="006E0CC9"/>
    <w:rsid w:val="006E0EED"/>
    <w:rsid w:val="006E13B9"/>
    <w:rsid w:val="006E2583"/>
    <w:rsid w:val="006E2E73"/>
    <w:rsid w:val="006E3590"/>
    <w:rsid w:val="006E4DCA"/>
    <w:rsid w:val="006E56F8"/>
    <w:rsid w:val="006F0367"/>
    <w:rsid w:val="006F0ECE"/>
    <w:rsid w:val="006F1022"/>
    <w:rsid w:val="006F6438"/>
    <w:rsid w:val="006F780D"/>
    <w:rsid w:val="006F7C07"/>
    <w:rsid w:val="007008EA"/>
    <w:rsid w:val="007039E5"/>
    <w:rsid w:val="00704CD0"/>
    <w:rsid w:val="007056B9"/>
    <w:rsid w:val="007067BD"/>
    <w:rsid w:val="00706EF6"/>
    <w:rsid w:val="0071101C"/>
    <w:rsid w:val="00711995"/>
    <w:rsid w:val="007119A7"/>
    <w:rsid w:val="00712679"/>
    <w:rsid w:val="00714FAE"/>
    <w:rsid w:val="00715891"/>
    <w:rsid w:val="00715A8D"/>
    <w:rsid w:val="007169F8"/>
    <w:rsid w:val="00717B67"/>
    <w:rsid w:val="00717BA6"/>
    <w:rsid w:val="00717DC7"/>
    <w:rsid w:val="007222BC"/>
    <w:rsid w:val="00722663"/>
    <w:rsid w:val="00722963"/>
    <w:rsid w:val="00725971"/>
    <w:rsid w:val="007267EF"/>
    <w:rsid w:val="00731718"/>
    <w:rsid w:val="00731A2E"/>
    <w:rsid w:val="00733733"/>
    <w:rsid w:val="007339EF"/>
    <w:rsid w:val="00733D0A"/>
    <w:rsid w:val="00733ED0"/>
    <w:rsid w:val="00734F2E"/>
    <w:rsid w:val="00736F7F"/>
    <w:rsid w:val="00741682"/>
    <w:rsid w:val="00743477"/>
    <w:rsid w:val="0074392F"/>
    <w:rsid w:val="007454EB"/>
    <w:rsid w:val="00745DE2"/>
    <w:rsid w:val="00746E92"/>
    <w:rsid w:val="00750805"/>
    <w:rsid w:val="00751778"/>
    <w:rsid w:val="00751A7E"/>
    <w:rsid w:val="0075755E"/>
    <w:rsid w:val="007603DA"/>
    <w:rsid w:val="007618CE"/>
    <w:rsid w:val="00765FC8"/>
    <w:rsid w:val="00770458"/>
    <w:rsid w:val="0077059C"/>
    <w:rsid w:val="00770BD7"/>
    <w:rsid w:val="00770C9A"/>
    <w:rsid w:val="0077129C"/>
    <w:rsid w:val="00771ADD"/>
    <w:rsid w:val="00774A7B"/>
    <w:rsid w:val="00774EE8"/>
    <w:rsid w:val="007778D7"/>
    <w:rsid w:val="00780F03"/>
    <w:rsid w:val="00781BC9"/>
    <w:rsid w:val="00781ECE"/>
    <w:rsid w:val="00781FA0"/>
    <w:rsid w:val="00783AA4"/>
    <w:rsid w:val="0078495D"/>
    <w:rsid w:val="00785508"/>
    <w:rsid w:val="00785FA7"/>
    <w:rsid w:val="007862E8"/>
    <w:rsid w:val="007866BB"/>
    <w:rsid w:val="00786799"/>
    <w:rsid w:val="00790EF0"/>
    <w:rsid w:val="00790F9B"/>
    <w:rsid w:val="007940E4"/>
    <w:rsid w:val="0079720E"/>
    <w:rsid w:val="0079783D"/>
    <w:rsid w:val="007A0177"/>
    <w:rsid w:val="007A0408"/>
    <w:rsid w:val="007A2D8A"/>
    <w:rsid w:val="007A3019"/>
    <w:rsid w:val="007A34C0"/>
    <w:rsid w:val="007A4992"/>
    <w:rsid w:val="007A4DC5"/>
    <w:rsid w:val="007A508D"/>
    <w:rsid w:val="007A6313"/>
    <w:rsid w:val="007A6867"/>
    <w:rsid w:val="007A6E60"/>
    <w:rsid w:val="007A746E"/>
    <w:rsid w:val="007B02B2"/>
    <w:rsid w:val="007B02F9"/>
    <w:rsid w:val="007B0CB0"/>
    <w:rsid w:val="007B0F71"/>
    <w:rsid w:val="007B1A75"/>
    <w:rsid w:val="007B1E07"/>
    <w:rsid w:val="007B1E18"/>
    <w:rsid w:val="007B27E9"/>
    <w:rsid w:val="007B281C"/>
    <w:rsid w:val="007B2BBD"/>
    <w:rsid w:val="007B2D38"/>
    <w:rsid w:val="007B2FBF"/>
    <w:rsid w:val="007B4F9B"/>
    <w:rsid w:val="007B7CD0"/>
    <w:rsid w:val="007C1BAC"/>
    <w:rsid w:val="007C1DFF"/>
    <w:rsid w:val="007C219F"/>
    <w:rsid w:val="007C4137"/>
    <w:rsid w:val="007C5179"/>
    <w:rsid w:val="007C6B88"/>
    <w:rsid w:val="007C75A1"/>
    <w:rsid w:val="007C7D69"/>
    <w:rsid w:val="007D28E9"/>
    <w:rsid w:val="007D2E5A"/>
    <w:rsid w:val="007D2F74"/>
    <w:rsid w:val="007D38EE"/>
    <w:rsid w:val="007D40A3"/>
    <w:rsid w:val="007D4373"/>
    <w:rsid w:val="007D599C"/>
    <w:rsid w:val="007D6662"/>
    <w:rsid w:val="007D7D1E"/>
    <w:rsid w:val="007E0386"/>
    <w:rsid w:val="007E100D"/>
    <w:rsid w:val="007E1815"/>
    <w:rsid w:val="007E23F8"/>
    <w:rsid w:val="007E2ADB"/>
    <w:rsid w:val="007E36EE"/>
    <w:rsid w:val="007E4689"/>
    <w:rsid w:val="007E6087"/>
    <w:rsid w:val="007E7169"/>
    <w:rsid w:val="007F01A1"/>
    <w:rsid w:val="007F06E4"/>
    <w:rsid w:val="007F077D"/>
    <w:rsid w:val="007F13C8"/>
    <w:rsid w:val="007F1776"/>
    <w:rsid w:val="007F2C85"/>
    <w:rsid w:val="007F3B0F"/>
    <w:rsid w:val="007F5BC3"/>
    <w:rsid w:val="007F6382"/>
    <w:rsid w:val="007F7FC5"/>
    <w:rsid w:val="008007E2"/>
    <w:rsid w:val="00802364"/>
    <w:rsid w:val="00802DEB"/>
    <w:rsid w:val="00802E6A"/>
    <w:rsid w:val="0080304F"/>
    <w:rsid w:val="00803576"/>
    <w:rsid w:val="00803B5D"/>
    <w:rsid w:val="00803E32"/>
    <w:rsid w:val="00806442"/>
    <w:rsid w:val="00806512"/>
    <w:rsid w:val="00806E39"/>
    <w:rsid w:val="0081019E"/>
    <w:rsid w:val="00810D92"/>
    <w:rsid w:val="0081119D"/>
    <w:rsid w:val="008134BA"/>
    <w:rsid w:val="0081358C"/>
    <w:rsid w:val="00814505"/>
    <w:rsid w:val="00814626"/>
    <w:rsid w:val="00815EDF"/>
    <w:rsid w:val="00816BDC"/>
    <w:rsid w:val="008223A4"/>
    <w:rsid w:val="008236B4"/>
    <w:rsid w:val="00823FD9"/>
    <w:rsid w:val="00824C98"/>
    <w:rsid w:val="00825232"/>
    <w:rsid w:val="00831129"/>
    <w:rsid w:val="0083235C"/>
    <w:rsid w:val="008337E0"/>
    <w:rsid w:val="008338B4"/>
    <w:rsid w:val="00834520"/>
    <w:rsid w:val="00835876"/>
    <w:rsid w:val="00837006"/>
    <w:rsid w:val="00840851"/>
    <w:rsid w:val="0084135C"/>
    <w:rsid w:val="00841BBB"/>
    <w:rsid w:val="008420E8"/>
    <w:rsid w:val="008424F2"/>
    <w:rsid w:val="0084253B"/>
    <w:rsid w:val="00843028"/>
    <w:rsid w:val="008441F3"/>
    <w:rsid w:val="00844279"/>
    <w:rsid w:val="00844C9E"/>
    <w:rsid w:val="00845CE2"/>
    <w:rsid w:val="0084669C"/>
    <w:rsid w:val="008471C2"/>
    <w:rsid w:val="00851429"/>
    <w:rsid w:val="00851636"/>
    <w:rsid w:val="00851C7A"/>
    <w:rsid w:val="0085203E"/>
    <w:rsid w:val="00852D3C"/>
    <w:rsid w:val="00853CE6"/>
    <w:rsid w:val="008546CA"/>
    <w:rsid w:val="00855B06"/>
    <w:rsid w:val="00856C53"/>
    <w:rsid w:val="00857EB9"/>
    <w:rsid w:val="00860E31"/>
    <w:rsid w:val="008631CC"/>
    <w:rsid w:val="00863464"/>
    <w:rsid w:val="0086459B"/>
    <w:rsid w:val="008655FA"/>
    <w:rsid w:val="00865997"/>
    <w:rsid w:val="008665E2"/>
    <w:rsid w:val="0087353E"/>
    <w:rsid w:val="00873C83"/>
    <w:rsid w:val="008740C7"/>
    <w:rsid w:val="008743DA"/>
    <w:rsid w:val="008752F4"/>
    <w:rsid w:val="00880C8A"/>
    <w:rsid w:val="00881FB6"/>
    <w:rsid w:val="0088329D"/>
    <w:rsid w:val="00883356"/>
    <w:rsid w:val="00883619"/>
    <w:rsid w:val="00883D0F"/>
    <w:rsid w:val="008849A7"/>
    <w:rsid w:val="008872BD"/>
    <w:rsid w:val="00887DDE"/>
    <w:rsid w:val="00887F19"/>
    <w:rsid w:val="008914D5"/>
    <w:rsid w:val="00892093"/>
    <w:rsid w:val="00892C91"/>
    <w:rsid w:val="00893A62"/>
    <w:rsid w:val="00893E88"/>
    <w:rsid w:val="00894EF7"/>
    <w:rsid w:val="00895001"/>
    <w:rsid w:val="00895589"/>
    <w:rsid w:val="008959D7"/>
    <w:rsid w:val="0089622B"/>
    <w:rsid w:val="00896492"/>
    <w:rsid w:val="0089781A"/>
    <w:rsid w:val="008A1F83"/>
    <w:rsid w:val="008A1FF1"/>
    <w:rsid w:val="008A2FAC"/>
    <w:rsid w:val="008A3277"/>
    <w:rsid w:val="008A4656"/>
    <w:rsid w:val="008A5758"/>
    <w:rsid w:val="008A6267"/>
    <w:rsid w:val="008A6D01"/>
    <w:rsid w:val="008B11AD"/>
    <w:rsid w:val="008B303D"/>
    <w:rsid w:val="008B3C1C"/>
    <w:rsid w:val="008B3C24"/>
    <w:rsid w:val="008B560E"/>
    <w:rsid w:val="008B61B7"/>
    <w:rsid w:val="008B6F10"/>
    <w:rsid w:val="008B7034"/>
    <w:rsid w:val="008B7104"/>
    <w:rsid w:val="008C090E"/>
    <w:rsid w:val="008C4B16"/>
    <w:rsid w:val="008C7E6C"/>
    <w:rsid w:val="008D0106"/>
    <w:rsid w:val="008D0CB8"/>
    <w:rsid w:val="008D13D3"/>
    <w:rsid w:val="008D1CCD"/>
    <w:rsid w:val="008D22E5"/>
    <w:rsid w:val="008D2426"/>
    <w:rsid w:val="008D3435"/>
    <w:rsid w:val="008D5134"/>
    <w:rsid w:val="008D57D5"/>
    <w:rsid w:val="008D62D0"/>
    <w:rsid w:val="008E0B39"/>
    <w:rsid w:val="008E1323"/>
    <w:rsid w:val="008E2381"/>
    <w:rsid w:val="008E489F"/>
    <w:rsid w:val="008E4F13"/>
    <w:rsid w:val="008E6C9F"/>
    <w:rsid w:val="008E6E8A"/>
    <w:rsid w:val="008E771E"/>
    <w:rsid w:val="008E7B68"/>
    <w:rsid w:val="008F08B6"/>
    <w:rsid w:val="008F1655"/>
    <w:rsid w:val="008F2280"/>
    <w:rsid w:val="008F2888"/>
    <w:rsid w:val="008F29D8"/>
    <w:rsid w:val="008F31E7"/>
    <w:rsid w:val="008F6B22"/>
    <w:rsid w:val="008F6CBB"/>
    <w:rsid w:val="008F7A27"/>
    <w:rsid w:val="008F7DD5"/>
    <w:rsid w:val="0090035A"/>
    <w:rsid w:val="0090039D"/>
    <w:rsid w:val="0090064F"/>
    <w:rsid w:val="00903190"/>
    <w:rsid w:val="009034C0"/>
    <w:rsid w:val="00903C2F"/>
    <w:rsid w:val="00904CE9"/>
    <w:rsid w:val="00904F54"/>
    <w:rsid w:val="00905E5F"/>
    <w:rsid w:val="0090694F"/>
    <w:rsid w:val="00907C24"/>
    <w:rsid w:val="00911E4F"/>
    <w:rsid w:val="00911E59"/>
    <w:rsid w:val="009125EB"/>
    <w:rsid w:val="00912C44"/>
    <w:rsid w:val="009132E5"/>
    <w:rsid w:val="009143BA"/>
    <w:rsid w:val="00915438"/>
    <w:rsid w:val="00915D8F"/>
    <w:rsid w:val="00916EC5"/>
    <w:rsid w:val="009214E1"/>
    <w:rsid w:val="009217D1"/>
    <w:rsid w:val="009228A0"/>
    <w:rsid w:val="009231F0"/>
    <w:rsid w:val="00924037"/>
    <w:rsid w:val="009243A3"/>
    <w:rsid w:val="00924E01"/>
    <w:rsid w:val="009250E6"/>
    <w:rsid w:val="00926531"/>
    <w:rsid w:val="00930417"/>
    <w:rsid w:val="00932320"/>
    <w:rsid w:val="00932CFC"/>
    <w:rsid w:val="00932F72"/>
    <w:rsid w:val="00934307"/>
    <w:rsid w:val="00934601"/>
    <w:rsid w:val="00934D72"/>
    <w:rsid w:val="009350E4"/>
    <w:rsid w:val="00935FC0"/>
    <w:rsid w:val="00936E79"/>
    <w:rsid w:val="00940ACB"/>
    <w:rsid w:val="0094195B"/>
    <w:rsid w:val="00942551"/>
    <w:rsid w:val="009434E0"/>
    <w:rsid w:val="009443F8"/>
    <w:rsid w:val="009444C9"/>
    <w:rsid w:val="009446AA"/>
    <w:rsid w:val="009456E1"/>
    <w:rsid w:val="00945BF2"/>
    <w:rsid w:val="0094731C"/>
    <w:rsid w:val="00947841"/>
    <w:rsid w:val="009509B3"/>
    <w:rsid w:val="0095156A"/>
    <w:rsid w:val="0095294A"/>
    <w:rsid w:val="00952E3D"/>
    <w:rsid w:val="00952F8C"/>
    <w:rsid w:val="009530DF"/>
    <w:rsid w:val="00953466"/>
    <w:rsid w:val="009536D7"/>
    <w:rsid w:val="009539DF"/>
    <w:rsid w:val="009548F4"/>
    <w:rsid w:val="00954A82"/>
    <w:rsid w:val="00954CCC"/>
    <w:rsid w:val="009552A9"/>
    <w:rsid w:val="009567BD"/>
    <w:rsid w:val="00960B25"/>
    <w:rsid w:val="00963001"/>
    <w:rsid w:val="00963C97"/>
    <w:rsid w:val="00964D85"/>
    <w:rsid w:val="00965414"/>
    <w:rsid w:val="0096760C"/>
    <w:rsid w:val="009710AA"/>
    <w:rsid w:val="009746D8"/>
    <w:rsid w:val="00975370"/>
    <w:rsid w:val="00976DFF"/>
    <w:rsid w:val="00977315"/>
    <w:rsid w:val="009800BE"/>
    <w:rsid w:val="009813E2"/>
    <w:rsid w:val="00983B54"/>
    <w:rsid w:val="00984C5C"/>
    <w:rsid w:val="00984FC6"/>
    <w:rsid w:val="009859CB"/>
    <w:rsid w:val="00985DCC"/>
    <w:rsid w:val="00991713"/>
    <w:rsid w:val="009918E8"/>
    <w:rsid w:val="0099227A"/>
    <w:rsid w:val="009925B8"/>
    <w:rsid w:val="00993C2B"/>
    <w:rsid w:val="0099491B"/>
    <w:rsid w:val="009952C4"/>
    <w:rsid w:val="00997942"/>
    <w:rsid w:val="009A10C4"/>
    <w:rsid w:val="009A28C9"/>
    <w:rsid w:val="009A2B7C"/>
    <w:rsid w:val="009A31DA"/>
    <w:rsid w:val="009A3A11"/>
    <w:rsid w:val="009A3DD0"/>
    <w:rsid w:val="009A51B3"/>
    <w:rsid w:val="009A53D5"/>
    <w:rsid w:val="009A5D37"/>
    <w:rsid w:val="009A7705"/>
    <w:rsid w:val="009A7B93"/>
    <w:rsid w:val="009B0395"/>
    <w:rsid w:val="009B1197"/>
    <w:rsid w:val="009B242F"/>
    <w:rsid w:val="009B2D53"/>
    <w:rsid w:val="009B4155"/>
    <w:rsid w:val="009B43A2"/>
    <w:rsid w:val="009B4635"/>
    <w:rsid w:val="009C11E6"/>
    <w:rsid w:val="009C1386"/>
    <w:rsid w:val="009C2332"/>
    <w:rsid w:val="009C2D12"/>
    <w:rsid w:val="009C31F9"/>
    <w:rsid w:val="009C5197"/>
    <w:rsid w:val="009C6F56"/>
    <w:rsid w:val="009D0A35"/>
    <w:rsid w:val="009D0BEE"/>
    <w:rsid w:val="009D2151"/>
    <w:rsid w:val="009D5D58"/>
    <w:rsid w:val="009D6702"/>
    <w:rsid w:val="009D7243"/>
    <w:rsid w:val="009D7621"/>
    <w:rsid w:val="009E2D91"/>
    <w:rsid w:val="009F0075"/>
    <w:rsid w:val="009F0364"/>
    <w:rsid w:val="009F11E8"/>
    <w:rsid w:val="009F1929"/>
    <w:rsid w:val="00A00953"/>
    <w:rsid w:val="00A0166C"/>
    <w:rsid w:val="00A027DF"/>
    <w:rsid w:val="00A03FEB"/>
    <w:rsid w:val="00A0479F"/>
    <w:rsid w:val="00A04962"/>
    <w:rsid w:val="00A04FA3"/>
    <w:rsid w:val="00A06CAE"/>
    <w:rsid w:val="00A07097"/>
    <w:rsid w:val="00A0709D"/>
    <w:rsid w:val="00A077FA"/>
    <w:rsid w:val="00A113B1"/>
    <w:rsid w:val="00A118C9"/>
    <w:rsid w:val="00A1199A"/>
    <w:rsid w:val="00A1354A"/>
    <w:rsid w:val="00A14238"/>
    <w:rsid w:val="00A16936"/>
    <w:rsid w:val="00A17723"/>
    <w:rsid w:val="00A228B5"/>
    <w:rsid w:val="00A22D10"/>
    <w:rsid w:val="00A22D74"/>
    <w:rsid w:val="00A22E6F"/>
    <w:rsid w:val="00A246C6"/>
    <w:rsid w:val="00A25325"/>
    <w:rsid w:val="00A2563F"/>
    <w:rsid w:val="00A25D45"/>
    <w:rsid w:val="00A260A7"/>
    <w:rsid w:val="00A2614D"/>
    <w:rsid w:val="00A26355"/>
    <w:rsid w:val="00A2777E"/>
    <w:rsid w:val="00A30229"/>
    <w:rsid w:val="00A31E0E"/>
    <w:rsid w:val="00A32174"/>
    <w:rsid w:val="00A32393"/>
    <w:rsid w:val="00A32AFE"/>
    <w:rsid w:val="00A3339B"/>
    <w:rsid w:val="00A3419C"/>
    <w:rsid w:val="00A34497"/>
    <w:rsid w:val="00A345AA"/>
    <w:rsid w:val="00A34E8B"/>
    <w:rsid w:val="00A35822"/>
    <w:rsid w:val="00A367AB"/>
    <w:rsid w:val="00A4035F"/>
    <w:rsid w:val="00A40585"/>
    <w:rsid w:val="00A40E6C"/>
    <w:rsid w:val="00A42472"/>
    <w:rsid w:val="00A42A67"/>
    <w:rsid w:val="00A43079"/>
    <w:rsid w:val="00A43415"/>
    <w:rsid w:val="00A434CB"/>
    <w:rsid w:val="00A43D7B"/>
    <w:rsid w:val="00A47342"/>
    <w:rsid w:val="00A47F52"/>
    <w:rsid w:val="00A50305"/>
    <w:rsid w:val="00A50A99"/>
    <w:rsid w:val="00A50EC7"/>
    <w:rsid w:val="00A5193B"/>
    <w:rsid w:val="00A52AF0"/>
    <w:rsid w:val="00A5353D"/>
    <w:rsid w:val="00A53EA0"/>
    <w:rsid w:val="00A54EB0"/>
    <w:rsid w:val="00A60A48"/>
    <w:rsid w:val="00A61271"/>
    <w:rsid w:val="00A613FA"/>
    <w:rsid w:val="00A62B80"/>
    <w:rsid w:val="00A62C07"/>
    <w:rsid w:val="00A65F95"/>
    <w:rsid w:val="00A674F7"/>
    <w:rsid w:val="00A70D61"/>
    <w:rsid w:val="00A7399A"/>
    <w:rsid w:val="00A74004"/>
    <w:rsid w:val="00A748BB"/>
    <w:rsid w:val="00A74938"/>
    <w:rsid w:val="00A75ED0"/>
    <w:rsid w:val="00A77328"/>
    <w:rsid w:val="00A77991"/>
    <w:rsid w:val="00A8092B"/>
    <w:rsid w:val="00A80DF5"/>
    <w:rsid w:val="00A81A0D"/>
    <w:rsid w:val="00A84647"/>
    <w:rsid w:val="00A850A1"/>
    <w:rsid w:val="00A85890"/>
    <w:rsid w:val="00A8599B"/>
    <w:rsid w:val="00A8702B"/>
    <w:rsid w:val="00A87AB5"/>
    <w:rsid w:val="00A93DFF"/>
    <w:rsid w:val="00A943A9"/>
    <w:rsid w:val="00A9484A"/>
    <w:rsid w:val="00A95E2F"/>
    <w:rsid w:val="00A9611D"/>
    <w:rsid w:val="00AA0254"/>
    <w:rsid w:val="00AA0334"/>
    <w:rsid w:val="00AA2DFA"/>
    <w:rsid w:val="00AA331B"/>
    <w:rsid w:val="00AA37F6"/>
    <w:rsid w:val="00AA3A1E"/>
    <w:rsid w:val="00AA3F6B"/>
    <w:rsid w:val="00AA4DA1"/>
    <w:rsid w:val="00AA4FF7"/>
    <w:rsid w:val="00AA5500"/>
    <w:rsid w:val="00AA6EE9"/>
    <w:rsid w:val="00AA7180"/>
    <w:rsid w:val="00AA7689"/>
    <w:rsid w:val="00AB11C7"/>
    <w:rsid w:val="00AB164C"/>
    <w:rsid w:val="00AB3A6E"/>
    <w:rsid w:val="00AB4301"/>
    <w:rsid w:val="00AB49A4"/>
    <w:rsid w:val="00AB4D86"/>
    <w:rsid w:val="00AB5E30"/>
    <w:rsid w:val="00AC028F"/>
    <w:rsid w:val="00AC07E8"/>
    <w:rsid w:val="00AC17FD"/>
    <w:rsid w:val="00AC181C"/>
    <w:rsid w:val="00AC43B5"/>
    <w:rsid w:val="00AC4BE5"/>
    <w:rsid w:val="00AC6D0D"/>
    <w:rsid w:val="00AD0090"/>
    <w:rsid w:val="00AD02DB"/>
    <w:rsid w:val="00AD348B"/>
    <w:rsid w:val="00AD3C69"/>
    <w:rsid w:val="00AD51E0"/>
    <w:rsid w:val="00AD6546"/>
    <w:rsid w:val="00AE06F8"/>
    <w:rsid w:val="00AE0730"/>
    <w:rsid w:val="00AE10E6"/>
    <w:rsid w:val="00AE13E3"/>
    <w:rsid w:val="00AE1826"/>
    <w:rsid w:val="00AE1B99"/>
    <w:rsid w:val="00AE2D44"/>
    <w:rsid w:val="00AE40E0"/>
    <w:rsid w:val="00AE46FD"/>
    <w:rsid w:val="00AE6887"/>
    <w:rsid w:val="00AE6EBD"/>
    <w:rsid w:val="00AE707E"/>
    <w:rsid w:val="00AF0606"/>
    <w:rsid w:val="00AF2D5B"/>
    <w:rsid w:val="00AF2E8D"/>
    <w:rsid w:val="00AF7031"/>
    <w:rsid w:val="00AF7162"/>
    <w:rsid w:val="00B00321"/>
    <w:rsid w:val="00B01BDB"/>
    <w:rsid w:val="00B033A3"/>
    <w:rsid w:val="00B040DE"/>
    <w:rsid w:val="00B04325"/>
    <w:rsid w:val="00B045A5"/>
    <w:rsid w:val="00B05B8B"/>
    <w:rsid w:val="00B060C6"/>
    <w:rsid w:val="00B07891"/>
    <w:rsid w:val="00B120EC"/>
    <w:rsid w:val="00B1231D"/>
    <w:rsid w:val="00B13B68"/>
    <w:rsid w:val="00B14959"/>
    <w:rsid w:val="00B14994"/>
    <w:rsid w:val="00B16E92"/>
    <w:rsid w:val="00B266F0"/>
    <w:rsid w:val="00B3069F"/>
    <w:rsid w:val="00B30A2F"/>
    <w:rsid w:val="00B31ACB"/>
    <w:rsid w:val="00B327BD"/>
    <w:rsid w:val="00B33F03"/>
    <w:rsid w:val="00B36B95"/>
    <w:rsid w:val="00B3766F"/>
    <w:rsid w:val="00B40D6F"/>
    <w:rsid w:val="00B40ECF"/>
    <w:rsid w:val="00B41073"/>
    <w:rsid w:val="00B415F4"/>
    <w:rsid w:val="00B41AF3"/>
    <w:rsid w:val="00B42827"/>
    <w:rsid w:val="00B43ED6"/>
    <w:rsid w:val="00B44024"/>
    <w:rsid w:val="00B44092"/>
    <w:rsid w:val="00B44520"/>
    <w:rsid w:val="00B45828"/>
    <w:rsid w:val="00B50285"/>
    <w:rsid w:val="00B50D01"/>
    <w:rsid w:val="00B511B6"/>
    <w:rsid w:val="00B51661"/>
    <w:rsid w:val="00B527BA"/>
    <w:rsid w:val="00B52C74"/>
    <w:rsid w:val="00B53FCB"/>
    <w:rsid w:val="00B54B31"/>
    <w:rsid w:val="00B553EF"/>
    <w:rsid w:val="00B55ABD"/>
    <w:rsid w:val="00B562E8"/>
    <w:rsid w:val="00B56DD9"/>
    <w:rsid w:val="00B56FE3"/>
    <w:rsid w:val="00B57588"/>
    <w:rsid w:val="00B600DA"/>
    <w:rsid w:val="00B605DC"/>
    <w:rsid w:val="00B60FFB"/>
    <w:rsid w:val="00B62DFC"/>
    <w:rsid w:val="00B63A9B"/>
    <w:rsid w:val="00B63CE6"/>
    <w:rsid w:val="00B63D31"/>
    <w:rsid w:val="00B654AA"/>
    <w:rsid w:val="00B65FAA"/>
    <w:rsid w:val="00B665B0"/>
    <w:rsid w:val="00B6695F"/>
    <w:rsid w:val="00B7075D"/>
    <w:rsid w:val="00B7149E"/>
    <w:rsid w:val="00B727CE"/>
    <w:rsid w:val="00B72DCD"/>
    <w:rsid w:val="00B72FF2"/>
    <w:rsid w:val="00B758E9"/>
    <w:rsid w:val="00B76738"/>
    <w:rsid w:val="00B806FA"/>
    <w:rsid w:val="00B8162A"/>
    <w:rsid w:val="00B81956"/>
    <w:rsid w:val="00B81E94"/>
    <w:rsid w:val="00B821E3"/>
    <w:rsid w:val="00B83987"/>
    <w:rsid w:val="00B849F8"/>
    <w:rsid w:val="00B84AFD"/>
    <w:rsid w:val="00B84FC0"/>
    <w:rsid w:val="00B85AA2"/>
    <w:rsid w:val="00B91B6C"/>
    <w:rsid w:val="00B92283"/>
    <w:rsid w:val="00B93444"/>
    <w:rsid w:val="00B934DC"/>
    <w:rsid w:val="00B94055"/>
    <w:rsid w:val="00B94CDB"/>
    <w:rsid w:val="00B97669"/>
    <w:rsid w:val="00B97C71"/>
    <w:rsid w:val="00BA0627"/>
    <w:rsid w:val="00BA081B"/>
    <w:rsid w:val="00BA1C3F"/>
    <w:rsid w:val="00BA1C96"/>
    <w:rsid w:val="00BA3B68"/>
    <w:rsid w:val="00BA428A"/>
    <w:rsid w:val="00BA57C9"/>
    <w:rsid w:val="00BA6593"/>
    <w:rsid w:val="00BA6949"/>
    <w:rsid w:val="00BA7AA6"/>
    <w:rsid w:val="00BA7D9E"/>
    <w:rsid w:val="00BA7E4A"/>
    <w:rsid w:val="00BA7E77"/>
    <w:rsid w:val="00BB0655"/>
    <w:rsid w:val="00BB0C47"/>
    <w:rsid w:val="00BB107D"/>
    <w:rsid w:val="00BB16A0"/>
    <w:rsid w:val="00BB2DAE"/>
    <w:rsid w:val="00BB35C8"/>
    <w:rsid w:val="00BB54EE"/>
    <w:rsid w:val="00BB7651"/>
    <w:rsid w:val="00BC026D"/>
    <w:rsid w:val="00BC0613"/>
    <w:rsid w:val="00BC1E68"/>
    <w:rsid w:val="00BC2FFC"/>
    <w:rsid w:val="00BC3C45"/>
    <w:rsid w:val="00BC5CFA"/>
    <w:rsid w:val="00BC5F91"/>
    <w:rsid w:val="00BC633F"/>
    <w:rsid w:val="00BC6BF3"/>
    <w:rsid w:val="00BC7291"/>
    <w:rsid w:val="00BD0E57"/>
    <w:rsid w:val="00BD1153"/>
    <w:rsid w:val="00BD1CFB"/>
    <w:rsid w:val="00BD244C"/>
    <w:rsid w:val="00BD24ED"/>
    <w:rsid w:val="00BD326A"/>
    <w:rsid w:val="00BD3355"/>
    <w:rsid w:val="00BD3C12"/>
    <w:rsid w:val="00BD3F70"/>
    <w:rsid w:val="00BD50C1"/>
    <w:rsid w:val="00BD5DB2"/>
    <w:rsid w:val="00BD6BBD"/>
    <w:rsid w:val="00BD6E73"/>
    <w:rsid w:val="00BD7337"/>
    <w:rsid w:val="00BD7442"/>
    <w:rsid w:val="00BD7803"/>
    <w:rsid w:val="00BD7F73"/>
    <w:rsid w:val="00BE07C9"/>
    <w:rsid w:val="00BE14E0"/>
    <w:rsid w:val="00BE1606"/>
    <w:rsid w:val="00BE1CA8"/>
    <w:rsid w:val="00BE36DE"/>
    <w:rsid w:val="00BE3C46"/>
    <w:rsid w:val="00BE6293"/>
    <w:rsid w:val="00BE65D2"/>
    <w:rsid w:val="00BE778D"/>
    <w:rsid w:val="00BE79A7"/>
    <w:rsid w:val="00BE7AB2"/>
    <w:rsid w:val="00BF07F9"/>
    <w:rsid w:val="00BF0A82"/>
    <w:rsid w:val="00BF211A"/>
    <w:rsid w:val="00BF2355"/>
    <w:rsid w:val="00BF242D"/>
    <w:rsid w:val="00BF28B7"/>
    <w:rsid w:val="00BF2F30"/>
    <w:rsid w:val="00BF2F9A"/>
    <w:rsid w:val="00BF3D99"/>
    <w:rsid w:val="00BF48D6"/>
    <w:rsid w:val="00BF5B67"/>
    <w:rsid w:val="00BF6780"/>
    <w:rsid w:val="00BF7706"/>
    <w:rsid w:val="00C00604"/>
    <w:rsid w:val="00C03BBC"/>
    <w:rsid w:val="00C047A7"/>
    <w:rsid w:val="00C05D1A"/>
    <w:rsid w:val="00C11BBA"/>
    <w:rsid w:val="00C11CF0"/>
    <w:rsid w:val="00C11EE0"/>
    <w:rsid w:val="00C14A5D"/>
    <w:rsid w:val="00C15523"/>
    <w:rsid w:val="00C1614D"/>
    <w:rsid w:val="00C16BD4"/>
    <w:rsid w:val="00C17171"/>
    <w:rsid w:val="00C20E86"/>
    <w:rsid w:val="00C2166C"/>
    <w:rsid w:val="00C21D19"/>
    <w:rsid w:val="00C23747"/>
    <w:rsid w:val="00C23E91"/>
    <w:rsid w:val="00C264FC"/>
    <w:rsid w:val="00C26FEA"/>
    <w:rsid w:val="00C30D1A"/>
    <w:rsid w:val="00C35B86"/>
    <w:rsid w:val="00C361A0"/>
    <w:rsid w:val="00C3693F"/>
    <w:rsid w:val="00C40FA6"/>
    <w:rsid w:val="00C41AE7"/>
    <w:rsid w:val="00C448DE"/>
    <w:rsid w:val="00C45AEA"/>
    <w:rsid w:val="00C4617B"/>
    <w:rsid w:val="00C467B1"/>
    <w:rsid w:val="00C47437"/>
    <w:rsid w:val="00C5014A"/>
    <w:rsid w:val="00C52F6C"/>
    <w:rsid w:val="00C53603"/>
    <w:rsid w:val="00C540E0"/>
    <w:rsid w:val="00C57D4D"/>
    <w:rsid w:val="00C60EEC"/>
    <w:rsid w:val="00C615D6"/>
    <w:rsid w:val="00C62B14"/>
    <w:rsid w:val="00C64BFE"/>
    <w:rsid w:val="00C667A1"/>
    <w:rsid w:val="00C675F3"/>
    <w:rsid w:val="00C705FC"/>
    <w:rsid w:val="00C70642"/>
    <w:rsid w:val="00C70E8B"/>
    <w:rsid w:val="00C71625"/>
    <w:rsid w:val="00C7307B"/>
    <w:rsid w:val="00C73F4E"/>
    <w:rsid w:val="00C759EB"/>
    <w:rsid w:val="00C76750"/>
    <w:rsid w:val="00C76BF5"/>
    <w:rsid w:val="00C7746F"/>
    <w:rsid w:val="00C77823"/>
    <w:rsid w:val="00C77F73"/>
    <w:rsid w:val="00C82AAB"/>
    <w:rsid w:val="00C83AA3"/>
    <w:rsid w:val="00C8472F"/>
    <w:rsid w:val="00C9106E"/>
    <w:rsid w:val="00C91BC6"/>
    <w:rsid w:val="00C91C45"/>
    <w:rsid w:val="00C91C63"/>
    <w:rsid w:val="00C930C7"/>
    <w:rsid w:val="00C94C8E"/>
    <w:rsid w:val="00C968A6"/>
    <w:rsid w:val="00C96A09"/>
    <w:rsid w:val="00C96B62"/>
    <w:rsid w:val="00CA1C12"/>
    <w:rsid w:val="00CA2403"/>
    <w:rsid w:val="00CA328C"/>
    <w:rsid w:val="00CA480E"/>
    <w:rsid w:val="00CA4AE5"/>
    <w:rsid w:val="00CA5330"/>
    <w:rsid w:val="00CA593D"/>
    <w:rsid w:val="00CA5BE4"/>
    <w:rsid w:val="00CA661C"/>
    <w:rsid w:val="00CA7D26"/>
    <w:rsid w:val="00CB0D09"/>
    <w:rsid w:val="00CB1041"/>
    <w:rsid w:val="00CB1485"/>
    <w:rsid w:val="00CB2A79"/>
    <w:rsid w:val="00CB3437"/>
    <w:rsid w:val="00CB3B1B"/>
    <w:rsid w:val="00CB3D57"/>
    <w:rsid w:val="00CB41BF"/>
    <w:rsid w:val="00CB4877"/>
    <w:rsid w:val="00CB4ACC"/>
    <w:rsid w:val="00CB6210"/>
    <w:rsid w:val="00CC00BA"/>
    <w:rsid w:val="00CC1029"/>
    <w:rsid w:val="00CC1D2F"/>
    <w:rsid w:val="00CC1E44"/>
    <w:rsid w:val="00CC2638"/>
    <w:rsid w:val="00CC3202"/>
    <w:rsid w:val="00CC360D"/>
    <w:rsid w:val="00CC3CC0"/>
    <w:rsid w:val="00CC5D0F"/>
    <w:rsid w:val="00CC79B0"/>
    <w:rsid w:val="00CC7B37"/>
    <w:rsid w:val="00CD08A0"/>
    <w:rsid w:val="00CD0E32"/>
    <w:rsid w:val="00CD235E"/>
    <w:rsid w:val="00CD286E"/>
    <w:rsid w:val="00CD65C1"/>
    <w:rsid w:val="00CD725D"/>
    <w:rsid w:val="00CD7B7F"/>
    <w:rsid w:val="00CD7CBE"/>
    <w:rsid w:val="00CE1C49"/>
    <w:rsid w:val="00CE3369"/>
    <w:rsid w:val="00CE480A"/>
    <w:rsid w:val="00CE4C8F"/>
    <w:rsid w:val="00CE5750"/>
    <w:rsid w:val="00CE625A"/>
    <w:rsid w:val="00CF0349"/>
    <w:rsid w:val="00CF120F"/>
    <w:rsid w:val="00CF125C"/>
    <w:rsid w:val="00CF183B"/>
    <w:rsid w:val="00CF1BA2"/>
    <w:rsid w:val="00CF245A"/>
    <w:rsid w:val="00CF29D9"/>
    <w:rsid w:val="00CF2C80"/>
    <w:rsid w:val="00CF2C8B"/>
    <w:rsid w:val="00CF3862"/>
    <w:rsid w:val="00CF3FEB"/>
    <w:rsid w:val="00CF4DAA"/>
    <w:rsid w:val="00CF4FAA"/>
    <w:rsid w:val="00CF79EC"/>
    <w:rsid w:val="00CF7C03"/>
    <w:rsid w:val="00CF7CED"/>
    <w:rsid w:val="00D012CB"/>
    <w:rsid w:val="00D030A1"/>
    <w:rsid w:val="00D0576E"/>
    <w:rsid w:val="00D05EBB"/>
    <w:rsid w:val="00D067B5"/>
    <w:rsid w:val="00D11027"/>
    <w:rsid w:val="00D140A8"/>
    <w:rsid w:val="00D20429"/>
    <w:rsid w:val="00D2052E"/>
    <w:rsid w:val="00D20AB6"/>
    <w:rsid w:val="00D21380"/>
    <w:rsid w:val="00D217A8"/>
    <w:rsid w:val="00D21864"/>
    <w:rsid w:val="00D22AC8"/>
    <w:rsid w:val="00D2479C"/>
    <w:rsid w:val="00D26A41"/>
    <w:rsid w:val="00D271A4"/>
    <w:rsid w:val="00D27519"/>
    <w:rsid w:val="00D3077C"/>
    <w:rsid w:val="00D307A6"/>
    <w:rsid w:val="00D319C0"/>
    <w:rsid w:val="00D325BD"/>
    <w:rsid w:val="00D334DA"/>
    <w:rsid w:val="00D3441E"/>
    <w:rsid w:val="00D37B39"/>
    <w:rsid w:val="00D40723"/>
    <w:rsid w:val="00D40D28"/>
    <w:rsid w:val="00D41B63"/>
    <w:rsid w:val="00D43E3C"/>
    <w:rsid w:val="00D43EB6"/>
    <w:rsid w:val="00D44129"/>
    <w:rsid w:val="00D44DC1"/>
    <w:rsid w:val="00D44E74"/>
    <w:rsid w:val="00D44F18"/>
    <w:rsid w:val="00D463A1"/>
    <w:rsid w:val="00D47629"/>
    <w:rsid w:val="00D5007D"/>
    <w:rsid w:val="00D5130F"/>
    <w:rsid w:val="00D526AF"/>
    <w:rsid w:val="00D5276F"/>
    <w:rsid w:val="00D52D82"/>
    <w:rsid w:val="00D52EA7"/>
    <w:rsid w:val="00D54DAF"/>
    <w:rsid w:val="00D54F90"/>
    <w:rsid w:val="00D63C1E"/>
    <w:rsid w:val="00D64B6B"/>
    <w:rsid w:val="00D65183"/>
    <w:rsid w:val="00D651C7"/>
    <w:rsid w:val="00D67182"/>
    <w:rsid w:val="00D67D9F"/>
    <w:rsid w:val="00D717AC"/>
    <w:rsid w:val="00D72BD6"/>
    <w:rsid w:val="00D736C1"/>
    <w:rsid w:val="00D746C3"/>
    <w:rsid w:val="00D80200"/>
    <w:rsid w:val="00D83DDA"/>
    <w:rsid w:val="00D841FA"/>
    <w:rsid w:val="00D8574C"/>
    <w:rsid w:val="00D86060"/>
    <w:rsid w:val="00D86DA6"/>
    <w:rsid w:val="00D96F8F"/>
    <w:rsid w:val="00D97183"/>
    <w:rsid w:val="00D97491"/>
    <w:rsid w:val="00DA4CE6"/>
    <w:rsid w:val="00DA6F28"/>
    <w:rsid w:val="00DB0136"/>
    <w:rsid w:val="00DB0216"/>
    <w:rsid w:val="00DB0E97"/>
    <w:rsid w:val="00DB297E"/>
    <w:rsid w:val="00DB33AE"/>
    <w:rsid w:val="00DB3D82"/>
    <w:rsid w:val="00DB4FDC"/>
    <w:rsid w:val="00DB5595"/>
    <w:rsid w:val="00DB618B"/>
    <w:rsid w:val="00DB634A"/>
    <w:rsid w:val="00DB6F3C"/>
    <w:rsid w:val="00DB70ED"/>
    <w:rsid w:val="00DC1627"/>
    <w:rsid w:val="00DC1D41"/>
    <w:rsid w:val="00DC2D82"/>
    <w:rsid w:val="00DC3196"/>
    <w:rsid w:val="00DC3BD6"/>
    <w:rsid w:val="00DC438E"/>
    <w:rsid w:val="00DC4443"/>
    <w:rsid w:val="00DC4AC5"/>
    <w:rsid w:val="00DC581B"/>
    <w:rsid w:val="00DC5B3F"/>
    <w:rsid w:val="00DC690D"/>
    <w:rsid w:val="00DC69F7"/>
    <w:rsid w:val="00DC6B44"/>
    <w:rsid w:val="00DC7796"/>
    <w:rsid w:val="00DD0178"/>
    <w:rsid w:val="00DD10D0"/>
    <w:rsid w:val="00DD1DEE"/>
    <w:rsid w:val="00DD350D"/>
    <w:rsid w:val="00DD3A45"/>
    <w:rsid w:val="00DD3ADE"/>
    <w:rsid w:val="00DD4F86"/>
    <w:rsid w:val="00DD555D"/>
    <w:rsid w:val="00DD57E3"/>
    <w:rsid w:val="00DD692C"/>
    <w:rsid w:val="00DE05BE"/>
    <w:rsid w:val="00DE09BD"/>
    <w:rsid w:val="00DE1189"/>
    <w:rsid w:val="00DE2F95"/>
    <w:rsid w:val="00DE40CB"/>
    <w:rsid w:val="00DE4EF2"/>
    <w:rsid w:val="00DE7ADB"/>
    <w:rsid w:val="00DE7D49"/>
    <w:rsid w:val="00DF15F4"/>
    <w:rsid w:val="00DF18E6"/>
    <w:rsid w:val="00DF2693"/>
    <w:rsid w:val="00DF2A69"/>
    <w:rsid w:val="00DF2F2A"/>
    <w:rsid w:val="00DF46F2"/>
    <w:rsid w:val="00DF540F"/>
    <w:rsid w:val="00DF64CD"/>
    <w:rsid w:val="00DF6980"/>
    <w:rsid w:val="00DF725E"/>
    <w:rsid w:val="00DF7FC9"/>
    <w:rsid w:val="00E0105E"/>
    <w:rsid w:val="00E01565"/>
    <w:rsid w:val="00E06F71"/>
    <w:rsid w:val="00E1019E"/>
    <w:rsid w:val="00E104C0"/>
    <w:rsid w:val="00E10F85"/>
    <w:rsid w:val="00E11312"/>
    <w:rsid w:val="00E11BE5"/>
    <w:rsid w:val="00E12F05"/>
    <w:rsid w:val="00E13895"/>
    <w:rsid w:val="00E13D70"/>
    <w:rsid w:val="00E14AA8"/>
    <w:rsid w:val="00E14DC1"/>
    <w:rsid w:val="00E169F1"/>
    <w:rsid w:val="00E2081E"/>
    <w:rsid w:val="00E21823"/>
    <w:rsid w:val="00E22464"/>
    <w:rsid w:val="00E227A6"/>
    <w:rsid w:val="00E227F2"/>
    <w:rsid w:val="00E237BE"/>
    <w:rsid w:val="00E238C2"/>
    <w:rsid w:val="00E240EF"/>
    <w:rsid w:val="00E255F0"/>
    <w:rsid w:val="00E26979"/>
    <w:rsid w:val="00E2753C"/>
    <w:rsid w:val="00E30DA3"/>
    <w:rsid w:val="00E31B15"/>
    <w:rsid w:val="00E320C9"/>
    <w:rsid w:val="00E3221E"/>
    <w:rsid w:val="00E322D2"/>
    <w:rsid w:val="00E3289C"/>
    <w:rsid w:val="00E33D24"/>
    <w:rsid w:val="00E34297"/>
    <w:rsid w:val="00E35324"/>
    <w:rsid w:val="00E354CA"/>
    <w:rsid w:val="00E35AE6"/>
    <w:rsid w:val="00E3602A"/>
    <w:rsid w:val="00E3689C"/>
    <w:rsid w:val="00E37976"/>
    <w:rsid w:val="00E37FD3"/>
    <w:rsid w:val="00E40421"/>
    <w:rsid w:val="00E40CCE"/>
    <w:rsid w:val="00E420BD"/>
    <w:rsid w:val="00E42430"/>
    <w:rsid w:val="00E4358F"/>
    <w:rsid w:val="00E43E0B"/>
    <w:rsid w:val="00E44893"/>
    <w:rsid w:val="00E452C9"/>
    <w:rsid w:val="00E454CB"/>
    <w:rsid w:val="00E45931"/>
    <w:rsid w:val="00E46286"/>
    <w:rsid w:val="00E46A0B"/>
    <w:rsid w:val="00E47B6F"/>
    <w:rsid w:val="00E51398"/>
    <w:rsid w:val="00E526CA"/>
    <w:rsid w:val="00E52A30"/>
    <w:rsid w:val="00E53C77"/>
    <w:rsid w:val="00E553CB"/>
    <w:rsid w:val="00E55A87"/>
    <w:rsid w:val="00E55F21"/>
    <w:rsid w:val="00E5609A"/>
    <w:rsid w:val="00E56308"/>
    <w:rsid w:val="00E56AFB"/>
    <w:rsid w:val="00E56BC4"/>
    <w:rsid w:val="00E57B9C"/>
    <w:rsid w:val="00E613A8"/>
    <w:rsid w:val="00E63B0F"/>
    <w:rsid w:val="00E642C7"/>
    <w:rsid w:val="00E66028"/>
    <w:rsid w:val="00E66BDA"/>
    <w:rsid w:val="00E67232"/>
    <w:rsid w:val="00E716DD"/>
    <w:rsid w:val="00E720BC"/>
    <w:rsid w:val="00E73165"/>
    <w:rsid w:val="00E74DB9"/>
    <w:rsid w:val="00E75741"/>
    <w:rsid w:val="00E76318"/>
    <w:rsid w:val="00E820D8"/>
    <w:rsid w:val="00E821D4"/>
    <w:rsid w:val="00E846DF"/>
    <w:rsid w:val="00E84A4B"/>
    <w:rsid w:val="00E90346"/>
    <w:rsid w:val="00E90C14"/>
    <w:rsid w:val="00E90FC2"/>
    <w:rsid w:val="00E91C98"/>
    <w:rsid w:val="00E92578"/>
    <w:rsid w:val="00E92E0F"/>
    <w:rsid w:val="00E941BB"/>
    <w:rsid w:val="00E95227"/>
    <w:rsid w:val="00E95F2D"/>
    <w:rsid w:val="00E9705C"/>
    <w:rsid w:val="00EA0666"/>
    <w:rsid w:val="00EA200D"/>
    <w:rsid w:val="00EA241D"/>
    <w:rsid w:val="00EA2E74"/>
    <w:rsid w:val="00EA373A"/>
    <w:rsid w:val="00EA4444"/>
    <w:rsid w:val="00EA4461"/>
    <w:rsid w:val="00EA4D48"/>
    <w:rsid w:val="00EA5CDE"/>
    <w:rsid w:val="00EA7EE7"/>
    <w:rsid w:val="00EB07D8"/>
    <w:rsid w:val="00EB40DA"/>
    <w:rsid w:val="00EB4D34"/>
    <w:rsid w:val="00EB5A19"/>
    <w:rsid w:val="00EB5D9C"/>
    <w:rsid w:val="00EB6020"/>
    <w:rsid w:val="00EB68EB"/>
    <w:rsid w:val="00EC0217"/>
    <w:rsid w:val="00EC0251"/>
    <w:rsid w:val="00EC15AD"/>
    <w:rsid w:val="00EC1853"/>
    <w:rsid w:val="00EC1B7E"/>
    <w:rsid w:val="00EC1D23"/>
    <w:rsid w:val="00EC3D35"/>
    <w:rsid w:val="00EC49FA"/>
    <w:rsid w:val="00EC6231"/>
    <w:rsid w:val="00EC6C96"/>
    <w:rsid w:val="00ED0DB7"/>
    <w:rsid w:val="00ED1D62"/>
    <w:rsid w:val="00ED3E86"/>
    <w:rsid w:val="00ED5046"/>
    <w:rsid w:val="00ED63E2"/>
    <w:rsid w:val="00ED70D2"/>
    <w:rsid w:val="00EE05A8"/>
    <w:rsid w:val="00EE0E4C"/>
    <w:rsid w:val="00EE1590"/>
    <w:rsid w:val="00EE1EF3"/>
    <w:rsid w:val="00EE2D95"/>
    <w:rsid w:val="00EE4AB4"/>
    <w:rsid w:val="00EE4DF4"/>
    <w:rsid w:val="00EE5267"/>
    <w:rsid w:val="00EE5D89"/>
    <w:rsid w:val="00EE68DA"/>
    <w:rsid w:val="00EE6A12"/>
    <w:rsid w:val="00EE7899"/>
    <w:rsid w:val="00EF03D9"/>
    <w:rsid w:val="00EF0FD1"/>
    <w:rsid w:val="00EF106E"/>
    <w:rsid w:val="00EF1A7B"/>
    <w:rsid w:val="00EF23CF"/>
    <w:rsid w:val="00EF3112"/>
    <w:rsid w:val="00EF311F"/>
    <w:rsid w:val="00EF3E01"/>
    <w:rsid w:val="00EF4058"/>
    <w:rsid w:val="00EF534C"/>
    <w:rsid w:val="00EF54C3"/>
    <w:rsid w:val="00EF6EDE"/>
    <w:rsid w:val="00EF760C"/>
    <w:rsid w:val="00F0008A"/>
    <w:rsid w:val="00F00A46"/>
    <w:rsid w:val="00F00D4B"/>
    <w:rsid w:val="00F013F5"/>
    <w:rsid w:val="00F01785"/>
    <w:rsid w:val="00F01E0F"/>
    <w:rsid w:val="00F021E7"/>
    <w:rsid w:val="00F0243D"/>
    <w:rsid w:val="00F02A39"/>
    <w:rsid w:val="00F030BF"/>
    <w:rsid w:val="00F0434D"/>
    <w:rsid w:val="00F047F9"/>
    <w:rsid w:val="00F0578E"/>
    <w:rsid w:val="00F05A97"/>
    <w:rsid w:val="00F05FCE"/>
    <w:rsid w:val="00F0644A"/>
    <w:rsid w:val="00F10D15"/>
    <w:rsid w:val="00F1181E"/>
    <w:rsid w:val="00F11E6B"/>
    <w:rsid w:val="00F12CE4"/>
    <w:rsid w:val="00F1390E"/>
    <w:rsid w:val="00F13A13"/>
    <w:rsid w:val="00F15243"/>
    <w:rsid w:val="00F163E5"/>
    <w:rsid w:val="00F16622"/>
    <w:rsid w:val="00F1722D"/>
    <w:rsid w:val="00F230BF"/>
    <w:rsid w:val="00F24953"/>
    <w:rsid w:val="00F24A1B"/>
    <w:rsid w:val="00F26F42"/>
    <w:rsid w:val="00F27193"/>
    <w:rsid w:val="00F27F10"/>
    <w:rsid w:val="00F3191D"/>
    <w:rsid w:val="00F36F00"/>
    <w:rsid w:val="00F434A8"/>
    <w:rsid w:val="00F43867"/>
    <w:rsid w:val="00F44310"/>
    <w:rsid w:val="00F44C96"/>
    <w:rsid w:val="00F44E84"/>
    <w:rsid w:val="00F45650"/>
    <w:rsid w:val="00F45A06"/>
    <w:rsid w:val="00F45C24"/>
    <w:rsid w:val="00F46022"/>
    <w:rsid w:val="00F47F6E"/>
    <w:rsid w:val="00F51ACF"/>
    <w:rsid w:val="00F52F62"/>
    <w:rsid w:val="00F53841"/>
    <w:rsid w:val="00F5496F"/>
    <w:rsid w:val="00F57465"/>
    <w:rsid w:val="00F57672"/>
    <w:rsid w:val="00F57D8B"/>
    <w:rsid w:val="00F600DA"/>
    <w:rsid w:val="00F60BC3"/>
    <w:rsid w:val="00F618D1"/>
    <w:rsid w:val="00F63A6C"/>
    <w:rsid w:val="00F6445E"/>
    <w:rsid w:val="00F647C4"/>
    <w:rsid w:val="00F650D6"/>
    <w:rsid w:val="00F65B4B"/>
    <w:rsid w:val="00F65FC8"/>
    <w:rsid w:val="00F701DF"/>
    <w:rsid w:val="00F70685"/>
    <w:rsid w:val="00F70A47"/>
    <w:rsid w:val="00F71F9B"/>
    <w:rsid w:val="00F730EA"/>
    <w:rsid w:val="00F73508"/>
    <w:rsid w:val="00F74E43"/>
    <w:rsid w:val="00F7704F"/>
    <w:rsid w:val="00F77BDA"/>
    <w:rsid w:val="00F77C84"/>
    <w:rsid w:val="00F812F7"/>
    <w:rsid w:val="00F81E92"/>
    <w:rsid w:val="00F82257"/>
    <w:rsid w:val="00F8366C"/>
    <w:rsid w:val="00F85274"/>
    <w:rsid w:val="00F9210B"/>
    <w:rsid w:val="00F935D5"/>
    <w:rsid w:val="00F93AA3"/>
    <w:rsid w:val="00F93ED6"/>
    <w:rsid w:val="00F94FF6"/>
    <w:rsid w:val="00F9543E"/>
    <w:rsid w:val="00F95487"/>
    <w:rsid w:val="00F95921"/>
    <w:rsid w:val="00F965F5"/>
    <w:rsid w:val="00F97DDF"/>
    <w:rsid w:val="00FA08DB"/>
    <w:rsid w:val="00FA18E3"/>
    <w:rsid w:val="00FA21D1"/>
    <w:rsid w:val="00FA29C3"/>
    <w:rsid w:val="00FA2C73"/>
    <w:rsid w:val="00FA2E0C"/>
    <w:rsid w:val="00FA40AA"/>
    <w:rsid w:val="00FA52C5"/>
    <w:rsid w:val="00FA58FD"/>
    <w:rsid w:val="00FA70AC"/>
    <w:rsid w:val="00FA74EA"/>
    <w:rsid w:val="00FB086D"/>
    <w:rsid w:val="00FB1ABA"/>
    <w:rsid w:val="00FB57AC"/>
    <w:rsid w:val="00FB5AA1"/>
    <w:rsid w:val="00FB6989"/>
    <w:rsid w:val="00FC0A47"/>
    <w:rsid w:val="00FC16A9"/>
    <w:rsid w:val="00FC232D"/>
    <w:rsid w:val="00FC4422"/>
    <w:rsid w:val="00FC529F"/>
    <w:rsid w:val="00FC5DAF"/>
    <w:rsid w:val="00FC64F9"/>
    <w:rsid w:val="00FC7B9C"/>
    <w:rsid w:val="00FD0603"/>
    <w:rsid w:val="00FD1DBD"/>
    <w:rsid w:val="00FD4CD7"/>
    <w:rsid w:val="00FD5218"/>
    <w:rsid w:val="00FD5F43"/>
    <w:rsid w:val="00FD6B9C"/>
    <w:rsid w:val="00FD7B81"/>
    <w:rsid w:val="00FE0123"/>
    <w:rsid w:val="00FE066F"/>
    <w:rsid w:val="00FE1273"/>
    <w:rsid w:val="00FE145E"/>
    <w:rsid w:val="00FE2BB7"/>
    <w:rsid w:val="00FE3EDE"/>
    <w:rsid w:val="00FE4835"/>
    <w:rsid w:val="00FE4940"/>
    <w:rsid w:val="00FE5D90"/>
    <w:rsid w:val="00FE676B"/>
    <w:rsid w:val="00FE6A76"/>
    <w:rsid w:val="00FE6ADC"/>
    <w:rsid w:val="00FE7149"/>
    <w:rsid w:val="00FF0292"/>
    <w:rsid w:val="00FF08D9"/>
    <w:rsid w:val="00FF0E5B"/>
    <w:rsid w:val="00FF1E8E"/>
    <w:rsid w:val="00FF226E"/>
    <w:rsid w:val="00FF24BB"/>
    <w:rsid w:val="00FF2EFF"/>
    <w:rsid w:val="00FF42F0"/>
    <w:rsid w:val="00FF49D2"/>
    <w:rsid w:val="00FF5E0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64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IE-Normal"/>
    <w:qFormat/>
    <w:rsid w:val="00F01E0F"/>
    <w:pPr>
      <w:spacing w:before="160" w:after="200" w:line="360" w:lineRule="auto"/>
      <w:ind w:left="284" w:right="284"/>
      <w:jc w:val="both"/>
    </w:pPr>
    <w:rPr>
      <w:rFonts w:ascii="Tahoma" w:eastAsia="Arial" w:hAnsi="Tahoma" w:cs="Times New Roman"/>
      <w:noProof/>
      <w:color w:val="000000" w:themeColor="text1"/>
      <w:sz w:val="18"/>
      <w:szCs w:val="20"/>
      <w:lang w:val="en-GB" w:eastAsia="en-US"/>
    </w:rPr>
  </w:style>
  <w:style w:type="paragraph" w:styleId="Heading1">
    <w:name w:val="heading 1"/>
    <w:basedOn w:val="Normal"/>
    <w:next w:val="Normal"/>
    <w:link w:val="Heading1Char"/>
    <w:autoRedefine/>
    <w:uiPriority w:val="9"/>
    <w:qFormat/>
    <w:rsid w:val="009F1929"/>
    <w:pPr>
      <w:keepNext/>
      <w:keepLines/>
      <w:spacing w:before="600" w:after="0" w:line="288" w:lineRule="auto"/>
      <w:ind w:left="0" w:right="397"/>
      <w:jc w:val="left"/>
      <w:outlineLvl w:val="0"/>
    </w:pPr>
    <w:rPr>
      <w:rFonts w:eastAsiaTheme="majorEastAsia" w:cstheme="majorBidi"/>
      <w:b/>
      <w:bCs/>
      <w:color w:val="FFD579"/>
      <w:sz w:val="32"/>
      <w:szCs w:val="24"/>
      <w:lang w:eastAsia="ja-JP"/>
    </w:rPr>
  </w:style>
  <w:style w:type="paragraph" w:styleId="Heading2">
    <w:name w:val="heading 2"/>
    <w:basedOn w:val="Normal"/>
    <w:next w:val="Normal"/>
    <w:link w:val="Heading2Char"/>
    <w:autoRedefine/>
    <w:uiPriority w:val="9"/>
    <w:qFormat/>
    <w:rsid w:val="00837006"/>
    <w:pPr>
      <w:keepNext/>
      <w:keepLines/>
      <w:shd w:val="clear" w:color="auto" w:fill="FFFFFF" w:themeFill="background1"/>
      <w:spacing w:before="480" w:after="240" w:line="240" w:lineRule="auto"/>
      <w:ind w:left="0" w:right="567"/>
      <w:jc w:val="left"/>
      <w:outlineLvl w:val="1"/>
    </w:pPr>
    <w:rPr>
      <w:rFonts w:eastAsia="Times New Roman" w:cstheme="minorBidi"/>
      <w:b/>
      <w:sz w:val="28"/>
      <w:szCs w:val="22"/>
      <w:lang w:eastAsia="ja-JP"/>
    </w:rPr>
  </w:style>
  <w:style w:type="paragraph" w:styleId="Heading3">
    <w:name w:val="heading 3"/>
    <w:basedOn w:val="Normal"/>
    <w:next w:val="Normal"/>
    <w:link w:val="Heading3Char"/>
    <w:autoRedefine/>
    <w:uiPriority w:val="9"/>
    <w:qFormat/>
    <w:rsid w:val="00837006"/>
    <w:pPr>
      <w:keepNext/>
      <w:tabs>
        <w:tab w:val="left" w:pos="1418"/>
      </w:tabs>
      <w:spacing w:before="120" w:after="120" w:line="288" w:lineRule="auto"/>
      <w:ind w:left="0" w:right="340"/>
      <w:outlineLvl w:val="2"/>
    </w:pPr>
    <w:rPr>
      <w:rFonts w:eastAsia="HGPMinchoE" w:cs="Tahoma"/>
      <w:b/>
      <w:sz w:val="24"/>
      <w:szCs w:val="24"/>
      <w:lang w:val="en-US" w:eastAsia="en-GB"/>
    </w:rPr>
  </w:style>
  <w:style w:type="paragraph" w:styleId="Heading4">
    <w:name w:val="heading 4"/>
    <w:basedOn w:val="Body3"/>
    <w:next w:val="Body3"/>
    <w:link w:val="Heading4Char"/>
    <w:autoRedefine/>
    <w:uiPriority w:val="9"/>
    <w:qFormat/>
    <w:rsid w:val="008752F4"/>
    <w:pPr>
      <w:keepNext/>
      <w:spacing w:before="360" w:after="120"/>
      <w:ind w:left="0" w:right="306"/>
      <w:outlineLvl w:val="3"/>
    </w:pPr>
    <w:rPr>
      <w:rFonts w:eastAsia="Times New Roman" w:cstheme="minorBidi"/>
      <w:b/>
      <w:color w:val="F5C040" w:themeColor="accent5"/>
      <w:sz w:val="20"/>
      <w:szCs w:val="36"/>
      <w:lang w:eastAsia="en-GB"/>
    </w:rPr>
  </w:style>
  <w:style w:type="paragraph" w:styleId="Heading5">
    <w:name w:val="heading 5"/>
    <w:basedOn w:val="Normal"/>
    <w:next w:val="Normal"/>
    <w:link w:val="Heading5Char"/>
    <w:autoRedefine/>
    <w:uiPriority w:val="9"/>
    <w:unhideWhenUsed/>
    <w:qFormat/>
    <w:rsid w:val="00883D0F"/>
    <w:pPr>
      <w:keepLines/>
      <w:tabs>
        <w:tab w:val="left" w:pos="1418"/>
        <w:tab w:val="left" w:pos="2552"/>
      </w:tabs>
      <w:spacing w:before="200" w:line="288" w:lineRule="auto"/>
      <w:ind w:left="340" w:right="340"/>
      <w:jc w:val="left"/>
      <w:outlineLvl w:val="4"/>
    </w:pPr>
    <w:rPr>
      <w:rFonts w:eastAsiaTheme="minorEastAsia" w:cstheme="majorBidi"/>
      <w:szCs w:val="18"/>
      <w:lang w:val="en-US" w:eastAsia="fi-FI"/>
    </w:rPr>
  </w:style>
  <w:style w:type="paragraph" w:styleId="Heading6">
    <w:name w:val="heading 6"/>
    <w:basedOn w:val="Normal"/>
    <w:next w:val="Normal"/>
    <w:link w:val="Heading6Char"/>
    <w:autoRedefine/>
    <w:qFormat/>
    <w:rsid w:val="00143CE7"/>
    <w:pPr>
      <w:keepNext/>
      <w:numPr>
        <w:numId w:val="5"/>
      </w:numPr>
      <w:spacing w:before="120" w:after="120" w:line="264" w:lineRule="auto"/>
      <w:ind w:right="0"/>
      <w:outlineLvl w:val="5"/>
    </w:pPr>
    <w:rPr>
      <w:rFonts w:cs="Arial"/>
      <w:bCs/>
      <w:color w:val="1B4171" w:themeColor="accent2" w:themeShade="80"/>
      <w:szCs w:val="28"/>
      <w:lang w:val="en-US" w:eastAsia="de-DE"/>
    </w:rPr>
  </w:style>
  <w:style w:type="paragraph" w:styleId="Heading7">
    <w:name w:val="heading 7"/>
    <w:basedOn w:val="Normal"/>
    <w:next w:val="Normal"/>
    <w:link w:val="Heading7Char"/>
    <w:autoRedefine/>
    <w:uiPriority w:val="9"/>
    <w:qFormat/>
    <w:rsid w:val="001A796B"/>
    <w:pPr>
      <w:tabs>
        <w:tab w:val="left" w:pos="1877"/>
      </w:tabs>
      <w:spacing w:before="0" w:after="120" w:line="276" w:lineRule="auto"/>
      <w:ind w:left="0" w:right="33"/>
      <w:contextualSpacing/>
      <w:jc w:val="left"/>
      <w:outlineLvl w:val="6"/>
    </w:pPr>
    <w:rPr>
      <w:rFonts w:eastAsia="HGPMinchoE"/>
      <w:b/>
      <w:bCs/>
      <w:szCs w:val="16"/>
      <w:lang w:val="en-US" w:eastAsia="fi-FI"/>
    </w:rPr>
  </w:style>
  <w:style w:type="paragraph" w:styleId="Heading8">
    <w:name w:val="heading 8"/>
    <w:basedOn w:val="Normal"/>
    <w:next w:val="Normal"/>
    <w:link w:val="Heading8Char"/>
    <w:autoRedefine/>
    <w:uiPriority w:val="9"/>
    <w:qFormat/>
    <w:rsid w:val="00BB107D"/>
    <w:pPr>
      <w:tabs>
        <w:tab w:val="left" w:pos="1418"/>
      </w:tabs>
      <w:spacing w:before="360" w:after="60"/>
      <w:ind w:left="0" w:right="340"/>
      <w:outlineLvl w:val="7"/>
    </w:pPr>
    <w:rPr>
      <w:rFonts w:eastAsia="Times New Roman" w:cstheme="minorBidi"/>
      <w:b/>
      <w:szCs w:val="22"/>
      <w:lang w:eastAsia="en-GB"/>
    </w:rPr>
  </w:style>
  <w:style w:type="paragraph" w:styleId="Heading9">
    <w:name w:val="heading 9"/>
    <w:basedOn w:val="Normal"/>
    <w:next w:val="Normal"/>
    <w:link w:val="Heading9Char"/>
    <w:autoRedefine/>
    <w:qFormat/>
    <w:rsid w:val="00AC17FD"/>
    <w:pPr>
      <w:keepNext/>
      <w:spacing w:before="240" w:after="60" w:line="240" w:lineRule="auto"/>
      <w:ind w:left="567"/>
      <w:jc w:val="left"/>
      <w:outlineLvl w:val="8"/>
    </w:pPr>
    <w:rPr>
      <w:rFonts w:cs="Arial"/>
      <w:b/>
      <w:bCs/>
      <w:color w:val="FF3300"/>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7006"/>
    <w:rPr>
      <w:rFonts w:ascii="Tahoma" w:eastAsia="HGPMinchoE" w:hAnsi="Tahoma" w:cs="Tahoma"/>
      <w:b/>
      <w:noProof/>
      <w:color w:val="000A11"/>
      <w:lang w:eastAsia="en-GB"/>
    </w:rPr>
  </w:style>
  <w:style w:type="paragraph" w:customStyle="1" w:styleId="Footnote">
    <w:name w:val="Footnote"/>
    <w:autoRedefine/>
    <w:qFormat/>
    <w:rsid w:val="005F23C9"/>
    <w:pPr>
      <w:spacing w:line="264" w:lineRule="auto"/>
      <w:ind w:right="357"/>
      <w:jc w:val="both"/>
    </w:pPr>
    <w:rPr>
      <w:rFonts w:ascii="Tahoma" w:eastAsia="Tamil MN" w:hAnsi="Tahoma" w:cs="Tamil MN"/>
      <w:bCs/>
      <w:color w:val="42C5AE"/>
      <w:sz w:val="16"/>
      <w:szCs w:val="66"/>
      <w:bdr w:val="nil"/>
      <w:lang w:eastAsia="en-US"/>
    </w:rPr>
  </w:style>
  <w:style w:type="character" w:styleId="Emphasis">
    <w:name w:val="Emphasis"/>
    <w:basedOn w:val="DefaultParagraphFont"/>
    <w:uiPriority w:val="20"/>
    <w:qFormat/>
    <w:rsid w:val="004A7A46"/>
    <w:rPr>
      <w:rFonts w:ascii="Tamil MN" w:hAnsi="Tamil MN"/>
      <w:b w:val="0"/>
      <w:i w:val="0"/>
      <w:iCs/>
      <w:color w:val="214780"/>
      <w:sz w:val="16"/>
    </w:rPr>
  </w:style>
  <w:style w:type="paragraph" w:customStyle="1" w:styleId="Body3">
    <w:name w:val="Body 3"/>
    <w:autoRedefine/>
    <w:qFormat/>
    <w:rsid w:val="00643EE8"/>
    <w:pPr>
      <w:tabs>
        <w:tab w:val="left" w:pos="580"/>
      </w:tabs>
      <w:spacing w:line="269" w:lineRule="auto"/>
      <w:ind w:left="34"/>
    </w:pPr>
    <w:rPr>
      <w:rFonts w:ascii="Tahoma" w:eastAsia="HGPMinchoE" w:hAnsi="Tahoma" w:cs="Times New Roman"/>
      <w:bCs/>
      <w:noProof/>
      <w:color w:val="000A11"/>
      <w:sz w:val="18"/>
      <w:szCs w:val="16"/>
      <w:lang w:eastAsia="fi-FI"/>
    </w:rPr>
  </w:style>
  <w:style w:type="paragraph" w:styleId="Caption">
    <w:name w:val="caption"/>
    <w:next w:val="Body3"/>
    <w:autoRedefine/>
    <w:qFormat/>
    <w:rsid w:val="00C675F3"/>
    <w:pPr>
      <w:keepNext/>
      <w:numPr>
        <w:numId w:val="14"/>
      </w:numPr>
      <w:tabs>
        <w:tab w:val="left" w:pos="1150"/>
        <w:tab w:val="center" w:pos="5033"/>
      </w:tabs>
      <w:spacing w:after="120" w:line="276" w:lineRule="auto"/>
      <w:jc w:val="both"/>
    </w:pPr>
    <w:rPr>
      <w:rFonts w:ascii="Tahoma" w:hAnsi="Tahoma" w:cs="Arial Unicode MS"/>
      <w:b/>
      <w:bCs/>
      <w:color w:val="021B2B" w:themeColor="background2" w:themeShade="1A"/>
      <w:sz w:val="18"/>
      <w:szCs w:val="18"/>
      <w:lang w:eastAsia="en-US"/>
    </w:rPr>
  </w:style>
  <w:style w:type="paragraph" w:styleId="List2">
    <w:name w:val="List 2"/>
    <w:basedOn w:val="Body3"/>
    <w:autoRedefine/>
    <w:uiPriority w:val="99"/>
    <w:unhideWhenUsed/>
    <w:qFormat/>
    <w:rsid w:val="00D20AB6"/>
    <w:pPr>
      <w:numPr>
        <w:numId w:val="6"/>
      </w:numPr>
      <w:spacing w:after="120"/>
      <w:ind w:right="567"/>
    </w:pPr>
    <w:rPr>
      <w:rFonts w:eastAsia="Calibri"/>
      <w:color w:val="021B2B" w:themeColor="background2" w:themeShade="1A"/>
      <w:sz w:val="20"/>
      <w:szCs w:val="20"/>
    </w:rPr>
  </w:style>
  <w:style w:type="paragraph" w:styleId="TOC1">
    <w:name w:val="toc 1"/>
    <w:basedOn w:val="Body3"/>
    <w:autoRedefine/>
    <w:uiPriority w:val="39"/>
    <w:unhideWhenUsed/>
    <w:qFormat/>
    <w:rsid w:val="00D8574C"/>
    <w:pPr>
      <w:tabs>
        <w:tab w:val="clear" w:pos="580"/>
        <w:tab w:val="right" w:leader="dot" w:pos="9225"/>
      </w:tabs>
      <w:spacing w:before="120" w:line="360" w:lineRule="auto"/>
      <w:ind w:left="0" w:right="284"/>
    </w:pPr>
    <w:rPr>
      <w:rFonts w:eastAsia="Arial" w:cs="Tahoma"/>
      <w:bCs w:val="0"/>
      <w:color w:val="021B2B" w:themeColor="background2" w:themeShade="1A"/>
      <w:sz w:val="22"/>
      <w:szCs w:val="22"/>
      <w:lang w:val="en-GB" w:eastAsia="en-US"/>
    </w:rPr>
  </w:style>
  <w:style w:type="character" w:customStyle="1" w:styleId="Heading6Char">
    <w:name w:val="Heading 6 Char"/>
    <w:link w:val="Heading6"/>
    <w:rsid w:val="00143CE7"/>
    <w:rPr>
      <w:rFonts w:ascii="Tahoma" w:eastAsia="Arial" w:hAnsi="Tahoma" w:cs="Arial"/>
      <w:bCs/>
      <w:noProof/>
      <w:color w:val="1B4171" w:themeColor="accent2" w:themeShade="80"/>
      <w:sz w:val="18"/>
      <w:szCs w:val="28"/>
      <w:lang w:eastAsia="de-DE"/>
    </w:rPr>
  </w:style>
  <w:style w:type="paragraph" w:styleId="Title">
    <w:name w:val="Title"/>
    <w:basedOn w:val="Normal"/>
    <w:next w:val="Normal"/>
    <w:link w:val="TitleChar"/>
    <w:autoRedefine/>
    <w:uiPriority w:val="10"/>
    <w:qFormat/>
    <w:rsid w:val="00EB4D34"/>
    <w:pPr>
      <w:spacing w:after="0" w:line="240" w:lineRule="auto"/>
      <w:jc w:val="center"/>
    </w:pPr>
    <w:rPr>
      <w:rFonts w:eastAsiaTheme="majorEastAsia" w:cstheme="majorBidi"/>
      <w:b/>
      <w:snapToGrid w:val="0"/>
      <w:color w:val="FFCC66"/>
      <w:spacing w:val="5"/>
      <w:kern w:val="28"/>
      <w:sz w:val="36"/>
      <w:szCs w:val="32"/>
      <w:lang w:eastAsia="fi-FI"/>
    </w:rPr>
  </w:style>
  <w:style w:type="character" w:customStyle="1" w:styleId="TitleChar">
    <w:name w:val="Title Char"/>
    <w:basedOn w:val="DefaultParagraphFont"/>
    <w:link w:val="Title"/>
    <w:uiPriority w:val="10"/>
    <w:rsid w:val="00EB4D34"/>
    <w:rPr>
      <w:rFonts w:ascii="Tahoma" w:eastAsiaTheme="majorEastAsia" w:hAnsi="Tahoma" w:cstheme="majorBidi"/>
      <w:b/>
      <w:snapToGrid w:val="0"/>
      <w:color w:val="FFCC66"/>
      <w:spacing w:val="5"/>
      <w:kern w:val="28"/>
      <w:sz w:val="36"/>
      <w:szCs w:val="32"/>
      <w:lang w:val="en-GB" w:eastAsia="fi-FI"/>
    </w:rPr>
  </w:style>
  <w:style w:type="character" w:customStyle="1" w:styleId="Heading4Char">
    <w:name w:val="Heading 4 Char"/>
    <w:link w:val="Heading4"/>
    <w:uiPriority w:val="9"/>
    <w:rsid w:val="008752F4"/>
    <w:rPr>
      <w:rFonts w:ascii="Tahoma" w:eastAsia="Times New Roman" w:hAnsi="Tahoma"/>
      <w:b/>
      <w:bCs/>
      <w:noProof/>
      <w:color w:val="F5C040" w:themeColor="accent5"/>
      <w:sz w:val="20"/>
      <w:szCs w:val="36"/>
      <w:lang w:eastAsia="en-GB"/>
    </w:rPr>
  </w:style>
  <w:style w:type="paragraph" w:styleId="BalloonText">
    <w:name w:val="Balloon Text"/>
    <w:basedOn w:val="Body3"/>
    <w:link w:val="BalloonTextChar"/>
    <w:autoRedefine/>
    <w:uiPriority w:val="99"/>
    <w:semiHidden/>
    <w:unhideWhenUsed/>
    <w:qFormat/>
    <w:rsid w:val="00C448DE"/>
    <w:rPr>
      <w:rFonts w:cs="Lucida Grande"/>
      <w:szCs w:val="18"/>
    </w:rPr>
  </w:style>
  <w:style w:type="character" w:customStyle="1" w:styleId="BalloonTextChar">
    <w:name w:val="Balloon Text Char"/>
    <w:basedOn w:val="DefaultParagraphFont"/>
    <w:link w:val="BalloonText"/>
    <w:uiPriority w:val="99"/>
    <w:semiHidden/>
    <w:rsid w:val="00C448DE"/>
    <w:rPr>
      <w:rFonts w:ascii="Tahoma" w:eastAsia="HGPMinchoE" w:hAnsi="Tahoma" w:cs="Lucida Grande"/>
      <w:noProof/>
      <w:color w:val="064676"/>
      <w:sz w:val="18"/>
      <w:szCs w:val="18"/>
      <w:lang w:val="fr-BE" w:eastAsia="fi-FI"/>
    </w:rPr>
  </w:style>
  <w:style w:type="character" w:customStyle="1" w:styleId="Heading1Char">
    <w:name w:val="Heading 1 Char"/>
    <w:basedOn w:val="DefaultParagraphFont"/>
    <w:link w:val="Heading1"/>
    <w:uiPriority w:val="9"/>
    <w:rsid w:val="009F1929"/>
    <w:rPr>
      <w:rFonts w:ascii="Tahoma" w:eastAsiaTheme="majorEastAsia" w:hAnsi="Tahoma" w:cstheme="majorBidi"/>
      <w:b/>
      <w:bCs/>
      <w:noProof/>
      <w:color w:val="FFD579"/>
      <w:sz w:val="32"/>
      <w:lang w:val="en-GB"/>
    </w:rPr>
  </w:style>
  <w:style w:type="character" w:customStyle="1" w:styleId="Heading2Char">
    <w:name w:val="Heading 2 Char"/>
    <w:link w:val="Heading2"/>
    <w:uiPriority w:val="9"/>
    <w:rsid w:val="00837006"/>
    <w:rPr>
      <w:rFonts w:ascii="Tahoma" w:eastAsia="Times New Roman" w:hAnsi="Tahoma"/>
      <w:b/>
      <w:noProof/>
      <w:color w:val="000A11"/>
      <w:sz w:val="28"/>
      <w:szCs w:val="22"/>
      <w:shd w:val="clear" w:color="auto" w:fill="FFFFFF" w:themeFill="background1"/>
      <w:lang w:val="en-GB"/>
    </w:rPr>
  </w:style>
  <w:style w:type="character" w:customStyle="1" w:styleId="Heading5Char">
    <w:name w:val="Heading 5 Char"/>
    <w:basedOn w:val="DefaultParagraphFont"/>
    <w:link w:val="Heading5"/>
    <w:uiPriority w:val="9"/>
    <w:rsid w:val="00883D0F"/>
    <w:rPr>
      <w:rFonts w:ascii="Tahoma" w:hAnsi="Tahoma" w:cstheme="majorBidi"/>
      <w:noProof/>
      <w:color w:val="021B2B" w:themeColor="background2" w:themeShade="1A"/>
      <w:sz w:val="20"/>
      <w:szCs w:val="18"/>
      <w:lang w:eastAsia="fi-FI"/>
    </w:rPr>
  </w:style>
  <w:style w:type="paragraph" w:customStyle="1" w:styleId="SubTitle1">
    <w:name w:val="SubTitle 1"/>
    <w:basedOn w:val="Normal"/>
    <w:next w:val="Normal"/>
    <w:autoRedefine/>
    <w:qFormat/>
    <w:rsid w:val="00355103"/>
    <w:pPr>
      <w:widowControl w:val="0"/>
      <w:spacing w:after="240" w:line="240" w:lineRule="auto"/>
      <w:ind w:left="0"/>
      <w:jc w:val="left"/>
    </w:pPr>
    <w:rPr>
      <w:rFonts w:eastAsia="Times New Roman"/>
      <w:b/>
      <w:color w:val="389572"/>
      <w:lang w:eastAsia="en-GB"/>
    </w:rPr>
  </w:style>
  <w:style w:type="character" w:customStyle="1" w:styleId="Heading9Char">
    <w:name w:val="Heading 9 Char"/>
    <w:link w:val="Heading9"/>
    <w:rsid w:val="00AC17FD"/>
    <w:rPr>
      <w:rFonts w:ascii="Tahoma" w:eastAsia="Arial" w:hAnsi="Tahoma" w:cs="Arial"/>
      <w:b/>
      <w:bCs/>
      <w:noProof/>
      <w:color w:val="FF3300"/>
      <w:sz w:val="20"/>
      <w:szCs w:val="22"/>
      <w:lang w:eastAsia="en-US"/>
    </w:rPr>
  </w:style>
  <w:style w:type="character" w:styleId="FootnoteReference">
    <w:name w:val="footnote reference"/>
    <w:aliases w:val="Footnote symbol,Times 10 Point,Exposant 3 Point,BVI fnr,Footnote Reference Number,Footnote reference number,EN Footnote Reference,note TESI,Odwołanie przypisu,Fussnota,ftref,Footnote anchor,Voetnootverwijzing,Footnote number"/>
    <w:uiPriority w:val="99"/>
    <w:qFormat/>
    <w:rsid w:val="005E3B91"/>
    <w:rPr>
      <w:rFonts w:ascii="Tahoma" w:hAnsi="Tahoma"/>
      <w:b/>
      <w:color w:val="FF0000"/>
      <w:sz w:val="18"/>
      <w:vertAlign w:val="superscript"/>
      <w:lang w:val="en-GB"/>
    </w:rPr>
  </w:style>
  <w:style w:type="paragraph" w:styleId="List5">
    <w:name w:val="List 5"/>
    <w:basedOn w:val="Normal"/>
    <w:autoRedefine/>
    <w:uiPriority w:val="99"/>
    <w:unhideWhenUsed/>
    <w:qFormat/>
    <w:rsid w:val="00B00321"/>
    <w:pPr>
      <w:spacing w:before="120" w:after="120"/>
      <w:ind w:left="397" w:right="0"/>
    </w:pPr>
    <w:rPr>
      <w:rFonts w:eastAsia="Candara"/>
      <w:b/>
      <w:color w:val="17365D"/>
    </w:rPr>
  </w:style>
  <w:style w:type="character" w:customStyle="1" w:styleId="Heading8Char">
    <w:name w:val="Heading 8 Char"/>
    <w:link w:val="Heading8"/>
    <w:uiPriority w:val="9"/>
    <w:rsid w:val="00BB107D"/>
    <w:rPr>
      <w:rFonts w:ascii="Tahoma" w:eastAsia="Times New Roman" w:hAnsi="Tahoma"/>
      <w:b/>
      <w:noProof/>
      <w:color w:val="05436B" w:themeColor="background2" w:themeShade="40"/>
      <w:sz w:val="20"/>
      <w:szCs w:val="22"/>
      <w:lang w:val="en-GB" w:eastAsia="en-GB"/>
    </w:rPr>
  </w:style>
  <w:style w:type="character" w:customStyle="1" w:styleId="Heading7Char">
    <w:name w:val="Heading 7 Char"/>
    <w:link w:val="Heading7"/>
    <w:uiPriority w:val="9"/>
    <w:rsid w:val="001A796B"/>
    <w:rPr>
      <w:rFonts w:ascii="Tahoma" w:eastAsia="HGPMinchoE" w:hAnsi="Tahoma" w:cs="Times New Roman"/>
      <w:b/>
      <w:bCs/>
      <w:noProof/>
      <w:color w:val="05436B" w:themeColor="background2" w:themeShade="40"/>
      <w:sz w:val="18"/>
      <w:szCs w:val="16"/>
      <w:lang w:eastAsia="fi-FI"/>
    </w:rPr>
  </w:style>
  <w:style w:type="paragraph" w:styleId="List4">
    <w:name w:val="List 4"/>
    <w:basedOn w:val="Normal"/>
    <w:autoRedefine/>
    <w:uiPriority w:val="99"/>
    <w:semiHidden/>
    <w:unhideWhenUsed/>
    <w:qFormat/>
    <w:rsid w:val="00E66028"/>
    <w:pPr>
      <w:numPr>
        <w:numId w:val="1"/>
      </w:numPr>
    </w:pPr>
    <w:rPr>
      <w:rFonts w:eastAsia="Calibri"/>
      <w:color w:val="1F497D"/>
      <w:szCs w:val="22"/>
    </w:rPr>
  </w:style>
  <w:style w:type="paragraph" w:customStyle="1" w:styleId="Default">
    <w:name w:val="Default"/>
    <w:link w:val="DefaultMerkki"/>
    <w:autoRedefine/>
    <w:qFormat/>
    <w:rsid w:val="006C1F4C"/>
    <w:pPr>
      <w:widowControl w:val="0"/>
      <w:autoSpaceDE w:val="0"/>
      <w:autoSpaceDN w:val="0"/>
      <w:adjustRightInd w:val="0"/>
    </w:pPr>
    <w:rPr>
      <w:rFonts w:ascii="Tahoma" w:eastAsia="Times New Roman" w:hAnsi="Tahoma" w:cs="Arial"/>
      <w:color w:val="021B2B" w:themeColor="background2" w:themeShade="1A"/>
      <w:sz w:val="18"/>
      <w:szCs w:val="16"/>
      <w:lang w:val="el-GR" w:eastAsia="en-GB"/>
    </w:rPr>
  </w:style>
  <w:style w:type="paragraph" w:styleId="ListBullet2">
    <w:name w:val="List Bullet 2"/>
    <w:aliases w:val="Font 9 list"/>
    <w:basedOn w:val="Normal"/>
    <w:autoRedefine/>
    <w:uiPriority w:val="99"/>
    <w:unhideWhenUsed/>
    <w:qFormat/>
    <w:rsid w:val="0027228E"/>
    <w:pPr>
      <w:numPr>
        <w:numId w:val="11"/>
      </w:numPr>
      <w:spacing w:before="60" w:after="140" w:line="240" w:lineRule="auto"/>
      <w:ind w:right="340"/>
    </w:pPr>
    <w:rPr>
      <w:rFonts w:eastAsia="Calibri"/>
      <w:szCs w:val="22"/>
    </w:rPr>
  </w:style>
  <w:style w:type="paragraph" w:styleId="FootnoteText">
    <w:name w:val="footnote text"/>
    <w:aliases w:val="Schriftart: 9 pt,Schriftart: 10 pt,Schriftart: 8 pt,WB-Fußnotentext,fn,footnote text,Footnotes,Footnote ak,FoodNote,ft,Footnote text,Footnote Text Char1,Footnote Text Char Char,Footnote Text Char1 Char Char,Char1,Podrozdział,o"/>
    <w:basedOn w:val="Normal"/>
    <w:link w:val="FootnoteTextChar"/>
    <w:autoRedefine/>
    <w:qFormat/>
    <w:rsid w:val="005E3B91"/>
    <w:pPr>
      <w:spacing w:before="120" w:after="120" w:line="264" w:lineRule="auto"/>
    </w:pPr>
    <w:rPr>
      <w:rFonts w:eastAsiaTheme="minorEastAsia" w:cstheme="minorBidi"/>
      <w:noProof w:val="0"/>
      <w:color w:val="7F7F7F" w:themeColor="text1" w:themeTint="80"/>
      <w:sz w:val="16"/>
      <w:lang w:val="en-US"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Text Char1 Char,Char1 Char,o Char"/>
    <w:link w:val="FootnoteText"/>
    <w:rsid w:val="005E3B91"/>
    <w:rPr>
      <w:rFonts w:ascii="Tahoma" w:hAnsi="Tahoma"/>
      <w:color w:val="7F7F7F" w:themeColor="text1" w:themeTint="80"/>
      <w:sz w:val="16"/>
      <w:szCs w:val="20"/>
      <w:lang w:eastAsia="en-GB"/>
    </w:rPr>
  </w:style>
  <w:style w:type="paragraph" w:styleId="TOC2">
    <w:name w:val="toc 2"/>
    <w:basedOn w:val="Normal"/>
    <w:next w:val="Normal"/>
    <w:autoRedefine/>
    <w:uiPriority w:val="39"/>
    <w:qFormat/>
    <w:rsid w:val="00835876"/>
    <w:pPr>
      <w:tabs>
        <w:tab w:val="right" w:leader="dot" w:pos="9225"/>
      </w:tabs>
      <w:spacing w:before="0" w:after="0"/>
      <w:ind w:left="0"/>
      <w:jc w:val="left"/>
    </w:pPr>
    <w:rPr>
      <w:rFonts w:cs="Tahoma"/>
      <w:sz w:val="20"/>
      <w:szCs w:val="22"/>
    </w:rPr>
  </w:style>
  <w:style w:type="paragraph" w:customStyle="1" w:styleId="font5">
    <w:name w:val="font5"/>
    <w:basedOn w:val="Normal"/>
    <w:qFormat/>
    <w:rsid w:val="003C2EE3"/>
    <w:pPr>
      <w:spacing w:after="120"/>
      <w:ind w:left="0" w:right="0"/>
    </w:pPr>
    <w:rPr>
      <w:rFonts w:eastAsia="HGPMinchoE"/>
      <w:color w:val="052E65" w:themeColor="text2" w:themeShade="BF"/>
      <w:lang w:eastAsia="fi-FI"/>
    </w:rPr>
  </w:style>
  <w:style w:type="character" w:styleId="BookTitle">
    <w:name w:val="Book Title"/>
    <w:basedOn w:val="DefaultParagraphFont"/>
    <w:uiPriority w:val="33"/>
    <w:qFormat/>
    <w:rsid w:val="006863E0"/>
    <w:rPr>
      <w:rFonts w:ascii="Tahoma" w:hAnsi="Tahoma"/>
      <w:b w:val="0"/>
      <w:bCs w:val="0"/>
      <w:i w:val="0"/>
      <w:iCs w:val="0"/>
      <w:caps w:val="0"/>
      <w:smallCaps w:val="0"/>
      <w:strike w:val="0"/>
      <w:dstrike w:val="0"/>
      <w:color w:val="936A07" w:themeColor="accent5" w:themeShade="80"/>
      <w:spacing w:val="5"/>
      <w:sz w:val="20"/>
      <w:szCs w:val="20"/>
      <w:bdr w:val="none" w:sz="0" w:space="0" w:color="auto"/>
      <w:shd w:val="clear" w:color="auto" w:fill="auto"/>
      <w:vertAlign w:val="baseline"/>
    </w:rPr>
  </w:style>
  <w:style w:type="paragraph" w:styleId="ListBullet5">
    <w:name w:val="List Bullet 5"/>
    <w:basedOn w:val="Normal"/>
    <w:autoRedefine/>
    <w:uiPriority w:val="99"/>
    <w:unhideWhenUsed/>
    <w:qFormat/>
    <w:rsid w:val="009F1929"/>
    <w:pPr>
      <w:numPr>
        <w:numId w:val="2"/>
      </w:numPr>
      <w:spacing w:after="120"/>
      <w:ind w:right="340"/>
      <w:jc w:val="left"/>
    </w:pPr>
    <w:rPr>
      <w:rFonts w:eastAsia="Times New Roman" w:cs="Arial"/>
      <w:color w:val="000D12"/>
    </w:rPr>
  </w:style>
  <w:style w:type="paragraph" w:styleId="ListParagraph">
    <w:name w:val="List Paragraph"/>
    <w:basedOn w:val="Normal"/>
    <w:link w:val="ListParagraphChar"/>
    <w:autoRedefine/>
    <w:uiPriority w:val="34"/>
    <w:qFormat/>
    <w:rsid w:val="00837006"/>
    <w:pPr>
      <w:widowControl w:val="0"/>
      <w:numPr>
        <w:numId w:val="8"/>
      </w:numPr>
      <w:autoSpaceDE w:val="0"/>
      <w:autoSpaceDN w:val="0"/>
      <w:adjustRightInd w:val="0"/>
      <w:spacing w:after="240" w:line="288" w:lineRule="auto"/>
    </w:pPr>
    <w:rPr>
      <w:lang w:eastAsia="ja-JP"/>
    </w:rPr>
  </w:style>
  <w:style w:type="character" w:customStyle="1" w:styleId="ListParagraphChar">
    <w:name w:val="List Paragraph Char"/>
    <w:basedOn w:val="DefaultParagraphFont"/>
    <w:link w:val="ListParagraph"/>
    <w:uiPriority w:val="34"/>
    <w:rsid w:val="00837006"/>
    <w:rPr>
      <w:rFonts w:ascii="Tahoma" w:eastAsia="Arial" w:hAnsi="Tahoma" w:cs="Times New Roman"/>
      <w:noProof/>
      <w:color w:val="000A11"/>
      <w:sz w:val="20"/>
      <w:szCs w:val="20"/>
      <w:lang w:val="en-GB"/>
    </w:rPr>
  </w:style>
  <w:style w:type="paragraph" w:styleId="Header">
    <w:name w:val="header"/>
    <w:basedOn w:val="Normal"/>
    <w:link w:val="HeaderChar"/>
    <w:uiPriority w:val="99"/>
    <w:unhideWhenUsed/>
    <w:rsid w:val="000B7386"/>
    <w:pPr>
      <w:tabs>
        <w:tab w:val="center" w:pos="4986"/>
        <w:tab w:val="right" w:pos="9972"/>
      </w:tabs>
      <w:spacing w:after="0" w:line="240" w:lineRule="auto"/>
    </w:pPr>
  </w:style>
  <w:style w:type="character" w:customStyle="1" w:styleId="HeaderChar">
    <w:name w:val="Header Char"/>
    <w:basedOn w:val="DefaultParagraphFont"/>
    <w:link w:val="Header"/>
    <w:uiPriority w:val="99"/>
    <w:rsid w:val="000B7386"/>
    <w:rPr>
      <w:rFonts w:ascii="Tahoma" w:eastAsia="Arial" w:hAnsi="Tahoma" w:cs="Times New Roman"/>
      <w:color w:val="031E43" w:themeColor="text2" w:themeShade="80"/>
      <w:sz w:val="20"/>
      <w:szCs w:val="20"/>
      <w:lang w:val="en-GB" w:eastAsia="en-US"/>
    </w:rPr>
  </w:style>
  <w:style w:type="paragraph" w:styleId="Footer">
    <w:name w:val="footer"/>
    <w:basedOn w:val="Normal"/>
    <w:link w:val="FooterChar"/>
    <w:uiPriority w:val="99"/>
    <w:unhideWhenUsed/>
    <w:rsid w:val="000B7386"/>
    <w:pPr>
      <w:tabs>
        <w:tab w:val="center" w:pos="4986"/>
        <w:tab w:val="right" w:pos="9972"/>
      </w:tabs>
      <w:spacing w:after="0" w:line="240" w:lineRule="auto"/>
    </w:pPr>
  </w:style>
  <w:style w:type="character" w:customStyle="1" w:styleId="FooterChar">
    <w:name w:val="Footer Char"/>
    <w:basedOn w:val="DefaultParagraphFont"/>
    <w:link w:val="Footer"/>
    <w:uiPriority w:val="99"/>
    <w:rsid w:val="000B7386"/>
    <w:rPr>
      <w:rFonts w:ascii="Tahoma" w:eastAsia="Arial" w:hAnsi="Tahoma" w:cs="Times New Roman"/>
      <w:color w:val="031E43" w:themeColor="text2" w:themeShade="80"/>
      <w:sz w:val="20"/>
      <w:szCs w:val="20"/>
      <w:lang w:val="en-GB" w:eastAsia="en-US"/>
    </w:rPr>
  </w:style>
  <w:style w:type="character" w:styleId="PageNumber">
    <w:name w:val="page number"/>
    <w:basedOn w:val="DefaultParagraphFont"/>
    <w:uiPriority w:val="99"/>
    <w:semiHidden/>
    <w:unhideWhenUsed/>
    <w:rsid w:val="000B7386"/>
  </w:style>
  <w:style w:type="character" w:styleId="Hyperlink">
    <w:name w:val="Hyperlink"/>
    <w:basedOn w:val="DefaultParagraphFont"/>
    <w:uiPriority w:val="99"/>
    <w:unhideWhenUsed/>
    <w:qFormat/>
    <w:rsid w:val="00E67232"/>
    <w:rPr>
      <w:rFonts w:ascii="Apple Symbols" w:hAnsi="Apple Symbols"/>
      <w:color w:val="BFBFBF" w:themeColor="background1" w:themeShade="BF"/>
      <w:sz w:val="18"/>
      <w:u w:val="single"/>
    </w:rPr>
  </w:style>
  <w:style w:type="character" w:styleId="FollowedHyperlink">
    <w:name w:val="FollowedHyperlink"/>
    <w:basedOn w:val="DefaultParagraphFont"/>
    <w:uiPriority w:val="99"/>
    <w:semiHidden/>
    <w:unhideWhenUsed/>
    <w:rsid w:val="008B6F10"/>
    <w:rPr>
      <w:color w:val="5EAEFF" w:themeColor="followedHyperlink"/>
      <w:u w:val="single"/>
    </w:rPr>
  </w:style>
  <w:style w:type="table" w:styleId="TableGrid">
    <w:name w:val="Table Grid"/>
    <w:basedOn w:val="TableNormal"/>
    <w:uiPriority w:val="59"/>
    <w:rsid w:val="00F9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eNormal"/>
    <w:uiPriority w:val="62"/>
    <w:rsid w:val="00D746C3"/>
    <w:rPr>
      <w:rFonts w:eastAsiaTheme="minorHAnsi"/>
      <w:sz w:val="22"/>
      <w:szCs w:val="22"/>
      <w:lang w:val="es-ES" w:eastAsia="en-US"/>
    </w:r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table" w:styleId="TableGrid1">
    <w:name w:val="Table Grid 1"/>
    <w:basedOn w:val="TableNormal"/>
    <w:uiPriority w:val="99"/>
    <w:unhideWhenUsed/>
    <w:rsid w:val="00020928"/>
    <w:pPr>
      <w:spacing w:after="200" w:line="360" w:lineRule="auto"/>
      <w:jc w:val="both"/>
    </w:pPr>
    <w:rPr>
      <w:rFonts w:ascii="Tahoma" w:hAnsi="Tahoma"/>
      <w:b/>
      <w:color w:val="05436B" w:themeColor="background2" w:themeShade="40"/>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TOC3">
    <w:name w:val="toc 3"/>
    <w:basedOn w:val="Normal"/>
    <w:next w:val="Normal"/>
    <w:autoRedefine/>
    <w:uiPriority w:val="39"/>
    <w:unhideWhenUsed/>
    <w:qFormat/>
    <w:rsid w:val="005812CD"/>
    <w:pPr>
      <w:tabs>
        <w:tab w:val="right" w:leader="dot" w:pos="9225"/>
      </w:tabs>
      <w:spacing w:before="0" w:after="0"/>
      <w:ind w:left="0"/>
      <w:jc w:val="left"/>
    </w:pPr>
    <w:rPr>
      <w:rFonts w:cs="Tahoma"/>
      <w:sz w:val="22"/>
      <w:szCs w:val="22"/>
    </w:rPr>
  </w:style>
  <w:style w:type="paragraph" w:styleId="TOC4">
    <w:name w:val="toc 4"/>
    <w:basedOn w:val="Normal"/>
    <w:next w:val="Normal"/>
    <w:autoRedefine/>
    <w:uiPriority w:val="39"/>
    <w:unhideWhenUsed/>
    <w:qFormat/>
    <w:rsid w:val="00B821E3"/>
    <w:pPr>
      <w:tabs>
        <w:tab w:val="right" w:leader="dot" w:pos="9225"/>
      </w:tabs>
      <w:spacing w:before="120" w:after="0"/>
      <w:ind w:left="0"/>
      <w:jc w:val="left"/>
    </w:pPr>
    <w:rPr>
      <w:sz w:val="22"/>
    </w:rPr>
  </w:style>
  <w:style w:type="paragraph" w:styleId="TOC5">
    <w:name w:val="toc 5"/>
    <w:basedOn w:val="Normal"/>
    <w:next w:val="Normal"/>
    <w:autoRedefine/>
    <w:uiPriority w:val="39"/>
    <w:unhideWhenUsed/>
    <w:qFormat/>
    <w:rsid w:val="00C62B14"/>
    <w:pPr>
      <w:pBdr>
        <w:between w:val="double" w:sz="6" w:space="0" w:color="auto"/>
      </w:pBdr>
      <w:spacing w:before="0" w:after="0"/>
      <w:ind w:left="600"/>
      <w:jc w:val="left"/>
    </w:pPr>
    <w:rPr>
      <w:rFonts w:asciiTheme="minorHAnsi" w:hAnsiTheme="minorHAnsi"/>
    </w:rPr>
  </w:style>
  <w:style w:type="paragraph" w:styleId="TOC6">
    <w:name w:val="toc 6"/>
    <w:basedOn w:val="Normal"/>
    <w:next w:val="Normal"/>
    <w:autoRedefine/>
    <w:uiPriority w:val="39"/>
    <w:unhideWhenUsed/>
    <w:qFormat/>
    <w:rsid w:val="005812CD"/>
    <w:pPr>
      <w:tabs>
        <w:tab w:val="left" w:pos="2023"/>
        <w:tab w:val="right" w:leader="dot" w:pos="9225"/>
      </w:tabs>
      <w:spacing w:before="0" w:after="0"/>
      <w:ind w:left="800"/>
      <w:jc w:val="left"/>
    </w:pPr>
  </w:style>
  <w:style w:type="paragraph" w:styleId="TOC7">
    <w:name w:val="toc 7"/>
    <w:basedOn w:val="Normal"/>
    <w:next w:val="Normal"/>
    <w:autoRedefine/>
    <w:uiPriority w:val="39"/>
    <w:unhideWhenUsed/>
    <w:rsid w:val="00494439"/>
    <w:pPr>
      <w:pBdr>
        <w:between w:val="double" w:sz="6" w:space="0" w:color="auto"/>
      </w:pBdr>
      <w:spacing w:before="0" w:after="0"/>
      <w:ind w:left="1000"/>
      <w:jc w:val="left"/>
    </w:pPr>
    <w:rPr>
      <w:rFonts w:asciiTheme="minorHAnsi" w:hAnsiTheme="minorHAnsi"/>
    </w:rPr>
  </w:style>
  <w:style w:type="paragraph" w:styleId="TOC8">
    <w:name w:val="toc 8"/>
    <w:basedOn w:val="Normal"/>
    <w:next w:val="Normal"/>
    <w:autoRedefine/>
    <w:uiPriority w:val="39"/>
    <w:unhideWhenUsed/>
    <w:rsid w:val="00494439"/>
    <w:pPr>
      <w:pBdr>
        <w:between w:val="double" w:sz="6" w:space="0" w:color="auto"/>
      </w:pBdr>
      <w:spacing w:before="0" w:after="0"/>
      <w:ind w:left="1200"/>
      <w:jc w:val="left"/>
    </w:pPr>
    <w:rPr>
      <w:rFonts w:asciiTheme="minorHAnsi" w:hAnsiTheme="minorHAnsi"/>
    </w:rPr>
  </w:style>
  <w:style w:type="paragraph" w:styleId="TOC9">
    <w:name w:val="toc 9"/>
    <w:basedOn w:val="Normal"/>
    <w:next w:val="Normal"/>
    <w:autoRedefine/>
    <w:uiPriority w:val="39"/>
    <w:unhideWhenUsed/>
    <w:rsid w:val="00494439"/>
    <w:pPr>
      <w:pBdr>
        <w:between w:val="double" w:sz="6" w:space="0" w:color="auto"/>
      </w:pBdr>
      <w:spacing w:before="0" w:after="0"/>
      <w:ind w:left="1400"/>
      <w:jc w:val="left"/>
    </w:pPr>
    <w:rPr>
      <w:rFonts w:asciiTheme="minorHAnsi" w:hAnsiTheme="minorHAnsi"/>
    </w:rPr>
  </w:style>
  <w:style w:type="paragraph" w:styleId="List">
    <w:name w:val="List"/>
    <w:basedOn w:val="Normal"/>
    <w:autoRedefine/>
    <w:uiPriority w:val="99"/>
    <w:unhideWhenUsed/>
    <w:qFormat/>
    <w:rsid w:val="00F0644A"/>
    <w:pPr>
      <w:widowControl w:val="0"/>
      <w:spacing w:before="60" w:after="120" w:line="288" w:lineRule="auto"/>
    </w:pPr>
    <w:rPr>
      <w:szCs w:val="21"/>
      <w:lang w:val="en-US" w:eastAsia="ja-JP"/>
    </w:rPr>
  </w:style>
  <w:style w:type="table" w:styleId="ColorfulShading-Accent6">
    <w:name w:val="Colorful Shading Accent 6"/>
    <w:basedOn w:val="TableNormal"/>
    <w:uiPriority w:val="71"/>
    <w:rsid w:val="00C448DE"/>
    <w:rPr>
      <w:rFonts w:ascii="Tahoma" w:hAnsi="Tahoma"/>
      <w:color w:val="000000" w:themeColor="text1"/>
      <w:sz w:val="18"/>
    </w:rPr>
    <w:tblPr>
      <w:tblStyleRowBandSize w:val="1"/>
      <w:tblStyleColBandSize w:val="1"/>
      <w:tblBorders>
        <w:top w:val="single" w:sz="24" w:space="0" w:color="F5C040" w:themeColor="accent5"/>
        <w:left w:val="single" w:sz="4" w:space="0" w:color="05E0DB" w:themeColor="accent6"/>
        <w:bottom w:val="single" w:sz="4" w:space="0" w:color="05E0DB" w:themeColor="accent6"/>
        <w:right w:val="single" w:sz="4" w:space="0" w:color="05E0DB" w:themeColor="accent6"/>
        <w:insideH w:val="single" w:sz="4" w:space="0" w:color="FFFFFF" w:themeColor="background1"/>
        <w:insideV w:val="single" w:sz="4" w:space="0" w:color="FFFFFF" w:themeColor="background1"/>
      </w:tblBorders>
    </w:tblPr>
    <w:tcPr>
      <w:shd w:val="clear" w:color="auto" w:fill="E3FEFD" w:themeFill="accent6" w:themeFillTint="19"/>
    </w:tcPr>
    <w:tblStylePr w:type="firstRow">
      <w:rPr>
        <w:b/>
        <w:bCs/>
      </w:rPr>
      <w:tblPr/>
      <w:tcPr>
        <w:tcBorders>
          <w:top w:val="nil"/>
          <w:left w:val="nil"/>
          <w:bottom w:val="single" w:sz="24" w:space="0" w:color="F5C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683" w:themeFill="accent6" w:themeFillShade="99"/>
      </w:tcPr>
    </w:tblStylePr>
    <w:tblStylePr w:type="firstCol">
      <w:rPr>
        <w:color w:val="FFFFFF" w:themeColor="background1"/>
      </w:rPr>
      <w:tblPr/>
      <w:tcPr>
        <w:tcBorders>
          <w:top w:val="nil"/>
          <w:left w:val="nil"/>
          <w:bottom w:val="nil"/>
          <w:right w:val="nil"/>
          <w:insideH w:val="single" w:sz="4" w:space="0" w:color="038683" w:themeColor="accent6" w:themeShade="99"/>
          <w:insideV w:val="nil"/>
        </w:tcBorders>
        <w:shd w:val="clear" w:color="auto" w:fill="0386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8683" w:themeFill="accent6" w:themeFillShade="99"/>
      </w:tcPr>
    </w:tblStylePr>
    <w:tblStylePr w:type="band1Vert">
      <w:tblPr/>
      <w:tcPr>
        <w:shd w:val="clear" w:color="auto" w:fill="90FCFA" w:themeFill="accent6" w:themeFillTint="66"/>
      </w:tcPr>
    </w:tblStylePr>
    <w:tblStylePr w:type="band1Horz">
      <w:tblPr/>
      <w:tcPr>
        <w:shd w:val="clear" w:color="auto" w:fill="76FCF8"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C448DE"/>
    <w:rPr>
      <w:rFonts w:ascii="Tahoma" w:hAnsi="Tahoma"/>
      <w:color w:val="000000" w:themeColor="text1"/>
      <w:sz w:val="18"/>
    </w:rPr>
    <w:tblPr>
      <w:tblStyleRowBandSize w:val="1"/>
      <w:tblStyleColBandSize w:val="1"/>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paragraph" w:styleId="MessageHeader">
    <w:name w:val="Message Header"/>
    <w:basedOn w:val="Body3"/>
    <w:link w:val="MessageHeaderChar"/>
    <w:autoRedefine/>
    <w:uiPriority w:val="99"/>
    <w:unhideWhenUsed/>
    <w:qFormat/>
    <w:rsid w:val="00C448DE"/>
    <w:pPr>
      <w:pBdr>
        <w:top w:val="single" w:sz="6" w:space="1" w:color="auto"/>
        <w:left w:val="single" w:sz="6" w:space="1" w:color="auto"/>
        <w:bottom w:val="single" w:sz="6" w:space="1" w:color="auto"/>
        <w:right w:val="single" w:sz="6" w:space="1" w:color="auto"/>
      </w:pBdr>
      <w:shd w:val="pct20" w:color="FFFFFF" w:themeColor="background1" w:fill="F3F3F3"/>
      <w:ind w:left="1134" w:hanging="1134"/>
    </w:pPr>
    <w:rPr>
      <w:rFonts w:eastAsiaTheme="majorEastAsia" w:cstheme="majorBidi"/>
      <w:color w:val="5BD078" w:themeColor="accent3"/>
      <w:szCs w:val="24"/>
      <w14:textFill>
        <w14:gradFill>
          <w14:gsLst>
            <w14:gs w14:pos="0">
              <w14:schemeClr w14:val="bg1">
                <w14:lumMod w14:val="95000"/>
              </w14:schemeClr>
            </w14:gs>
            <w14:gs w14:pos="100000">
              <w14:srgbClr w14:val="FFFFFF"/>
            </w14:gs>
          </w14:gsLst>
          <w14:path w14:path="rect">
            <w14:fillToRect w14:l="100000" w14:t="100000" w14:r="0" w14:b="0"/>
          </w14:path>
        </w14:gradFill>
      </w14:textFill>
    </w:rPr>
  </w:style>
  <w:style w:type="character" w:customStyle="1" w:styleId="MessageHeaderChar">
    <w:name w:val="Message Header Char"/>
    <w:basedOn w:val="DefaultParagraphFont"/>
    <w:link w:val="MessageHeader"/>
    <w:uiPriority w:val="99"/>
    <w:rsid w:val="00C448DE"/>
    <w:rPr>
      <w:rFonts w:ascii="Tahoma" w:eastAsiaTheme="majorEastAsia" w:hAnsi="Tahoma" w:cstheme="majorBidi"/>
      <w:noProof/>
      <w:color w:val="5BD078" w:themeColor="accent3"/>
      <w:sz w:val="18"/>
      <w:shd w:val="pct20" w:color="FFFFFF" w:themeColor="background1" w:fill="F3F3F3"/>
      <w:lang w:val="fr-BE" w:eastAsia="fi-FI"/>
      <w14:textFill>
        <w14:gradFill>
          <w14:gsLst>
            <w14:gs w14:pos="0">
              <w14:schemeClr w14:val="bg1">
                <w14:lumMod w14:val="95000"/>
              </w14:schemeClr>
            </w14:gs>
            <w14:gs w14:pos="100000">
              <w14:srgbClr w14:val="FFFFFF"/>
            </w14:gs>
          </w14:gsLst>
          <w14:path w14:path="rect">
            <w14:fillToRect w14:l="100000" w14:t="100000" w14:r="0" w14:b="0"/>
          </w14:path>
        </w14:gradFill>
      </w14:textFill>
    </w:rPr>
  </w:style>
  <w:style w:type="paragraph" w:styleId="ListBullet">
    <w:name w:val="List Bullet"/>
    <w:basedOn w:val="Normal"/>
    <w:autoRedefine/>
    <w:uiPriority w:val="99"/>
    <w:unhideWhenUsed/>
    <w:qFormat/>
    <w:rsid w:val="00E66028"/>
    <w:pPr>
      <w:numPr>
        <w:ilvl w:val="1"/>
        <w:numId w:val="3"/>
      </w:numPr>
      <w:spacing w:before="120" w:after="120" w:line="276" w:lineRule="auto"/>
    </w:pPr>
  </w:style>
  <w:style w:type="paragraph" w:styleId="HTMLPreformatted">
    <w:name w:val="HTML Preformatted"/>
    <w:basedOn w:val="Normal"/>
    <w:link w:val="HTMLPreformattedChar"/>
    <w:uiPriority w:val="99"/>
    <w:unhideWhenUsed/>
    <w:rsid w:val="006F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lang w:val="it-IT" w:eastAsia="it-IT"/>
    </w:rPr>
  </w:style>
  <w:style w:type="character" w:customStyle="1" w:styleId="HTMLPreformattedChar">
    <w:name w:val="HTML Preformatted Char"/>
    <w:basedOn w:val="DefaultParagraphFont"/>
    <w:link w:val="HTMLPreformatted"/>
    <w:uiPriority w:val="99"/>
    <w:rsid w:val="006F0ECE"/>
    <w:rPr>
      <w:rFonts w:ascii="Courier New" w:eastAsia="Times New Roman" w:hAnsi="Courier New" w:cs="Courier New"/>
      <w:sz w:val="20"/>
      <w:szCs w:val="20"/>
      <w:lang w:val="it-IT" w:eastAsia="it-IT"/>
    </w:rPr>
  </w:style>
  <w:style w:type="paragraph" w:styleId="NormalWeb">
    <w:name w:val="Normal (Web)"/>
    <w:basedOn w:val="Normal"/>
    <w:uiPriority w:val="99"/>
    <w:unhideWhenUsed/>
    <w:rsid w:val="00B57588"/>
    <w:pPr>
      <w:spacing w:before="100" w:beforeAutospacing="1" w:after="100" w:afterAutospacing="1" w:line="240" w:lineRule="auto"/>
      <w:jc w:val="left"/>
    </w:pPr>
    <w:rPr>
      <w:rFonts w:ascii="Times New Roman" w:eastAsia="Times New Roman" w:hAnsi="Times New Roman"/>
      <w:color w:val="auto"/>
      <w:sz w:val="24"/>
      <w:szCs w:val="24"/>
      <w:lang w:val="it-IT" w:eastAsia="it-IT"/>
    </w:rPr>
  </w:style>
  <w:style w:type="character" w:customStyle="1" w:styleId="apple-converted-space">
    <w:name w:val="apple-converted-space"/>
    <w:basedOn w:val="DefaultParagraphFont"/>
    <w:rsid w:val="00B57588"/>
  </w:style>
  <w:style w:type="character" w:styleId="Strong">
    <w:name w:val="Strong"/>
    <w:basedOn w:val="DefaultParagraphFont"/>
    <w:uiPriority w:val="22"/>
    <w:qFormat/>
    <w:rsid w:val="00B57588"/>
    <w:rPr>
      <w:b/>
      <w:bCs/>
    </w:rPr>
  </w:style>
  <w:style w:type="paragraph" w:styleId="Revision">
    <w:name w:val="Revision"/>
    <w:hidden/>
    <w:uiPriority w:val="99"/>
    <w:semiHidden/>
    <w:rsid w:val="004630FF"/>
    <w:rPr>
      <w:rFonts w:ascii="Tahoma" w:eastAsia="Arial" w:hAnsi="Tahoma" w:cs="Times New Roman"/>
      <w:color w:val="001429"/>
      <w:sz w:val="18"/>
      <w:szCs w:val="20"/>
      <w:lang w:val="en-GB" w:eastAsia="en-US"/>
    </w:rPr>
  </w:style>
  <w:style w:type="paragraph" w:styleId="TOAHeading">
    <w:name w:val="toa heading"/>
    <w:basedOn w:val="Normal"/>
    <w:next w:val="Normal"/>
    <w:uiPriority w:val="99"/>
    <w:semiHidden/>
    <w:unhideWhenUsed/>
    <w:rsid w:val="00F26F42"/>
    <w:pPr>
      <w:spacing w:before="120"/>
    </w:pPr>
    <w:rPr>
      <w:rFonts w:asciiTheme="majorHAnsi" w:eastAsiaTheme="majorEastAsia" w:hAnsiTheme="majorHAnsi" w:cstheme="majorBidi"/>
      <w:b/>
      <w:bCs/>
      <w:sz w:val="24"/>
      <w:szCs w:val="24"/>
    </w:rPr>
  </w:style>
  <w:style w:type="paragraph" w:styleId="Index8">
    <w:name w:val="index 8"/>
    <w:basedOn w:val="Normal"/>
    <w:next w:val="Normal"/>
    <w:autoRedefine/>
    <w:uiPriority w:val="99"/>
    <w:semiHidden/>
    <w:unhideWhenUsed/>
    <w:rsid w:val="009A3DD0"/>
    <w:pPr>
      <w:spacing w:after="0" w:line="240" w:lineRule="auto"/>
      <w:ind w:left="1440" w:hanging="180"/>
    </w:pPr>
  </w:style>
  <w:style w:type="paragraph" w:styleId="DocumentMap">
    <w:name w:val="Document Map"/>
    <w:basedOn w:val="Normal"/>
    <w:link w:val="DocumentMapChar"/>
    <w:uiPriority w:val="99"/>
    <w:unhideWhenUsed/>
    <w:rsid w:val="002339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2339A3"/>
    <w:rPr>
      <w:rFonts w:ascii="Lucida Grande" w:eastAsia="Arial" w:hAnsi="Lucida Grande" w:cs="Lucida Grande"/>
      <w:color w:val="001429"/>
      <w:lang w:val="en-GB" w:eastAsia="en-US"/>
    </w:rPr>
  </w:style>
  <w:style w:type="paragraph" w:customStyle="1" w:styleId="Listwithsmallreddot">
    <w:name w:val="List with small red dot"/>
    <w:basedOn w:val="Body3"/>
    <w:qFormat/>
    <w:rsid w:val="00E95F2D"/>
    <w:pPr>
      <w:numPr>
        <w:numId w:val="10"/>
      </w:numPr>
      <w:spacing w:after="120" w:line="276" w:lineRule="auto"/>
      <w:jc w:val="both"/>
    </w:pPr>
    <w:rPr>
      <w:szCs w:val="22"/>
    </w:rPr>
  </w:style>
  <w:style w:type="paragraph" w:styleId="NoSpacing">
    <w:name w:val="No Spacing"/>
    <w:link w:val="NoSpacingChar"/>
    <w:uiPriority w:val="1"/>
    <w:qFormat/>
    <w:rsid w:val="007940E4"/>
    <w:rPr>
      <w:sz w:val="22"/>
      <w:szCs w:val="22"/>
      <w:lang w:val="es-ES" w:eastAsia="en-US"/>
    </w:rPr>
  </w:style>
  <w:style w:type="character" w:customStyle="1" w:styleId="NoSpacingChar">
    <w:name w:val="No Spacing Char"/>
    <w:basedOn w:val="DefaultParagraphFont"/>
    <w:link w:val="NoSpacing"/>
    <w:uiPriority w:val="99"/>
    <w:rsid w:val="007940E4"/>
    <w:rPr>
      <w:sz w:val="22"/>
      <w:szCs w:val="22"/>
      <w:lang w:val="es-ES" w:eastAsia="en-US"/>
    </w:rPr>
  </w:style>
  <w:style w:type="paragraph" w:customStyle="1" w:styleId="Otsikko10">
    <w:name w:val="Otsikko 10"/>
    <w:basedOn w:val="Body3"/>
    <w:autoRedefine/>
    <w:qFormat/>
    <w:rsid w:val="001F4922"/>
    <w:pPr>
      <w:spacing w:before="120"/>
    </w:pPr>
    <w:rPr>
      <w:b/>
      <w:i/>
      <w:iCs/>
      <w:color w:val="F5C040" w:themeColor="accent5"/>
      <w:sz w:val="20"/>
      <w:szCs w:val="20"/>
    </w:rPr>
  </w:style>
  <w:style w:type="paragraph" w:customStyle="1" w:styleId="Body4">
    <w:name w:val="Body 4"/>
    <w:basedOn w:val="Body3"/>
    <w:autoRedefine/>
    <w:qFormat/>
    <w:rsid w:val="00677873"/>
    <w:pPr>
      <w:adjustRightInd w:val="0"/>
      <w:spacing w:before="120" w:after="240" w:line="288" w:lineRule="auto"/>
      <w:ind w:left="567" w:right="567"/>
      <w:jc w:val="both"/>
    </w:pPr>
    <w:rPr>
      <w:snapToGrid w:val="0"/>
      <w:sz w:val="21"/>
      <w:lang w:val="en-GB"/>
    </w:rPr>
  </w:style>
  <w:style w:type="paragraph" w:customStyle="1" w:styleId="BodyText21">
    <w:name w:val="Body Text 21"/>
    <w:basedOn w:val="Normal"/>
    <w:rsid w:val="004D2FD1"/>
    <w:pPr>
      <w:spacing w:after="0" w:line="240" w:lineRule="auto"/>
    </w:pPr>
    <w:rPr>
      <w:rFonts w:ascii="Times New Roman" w:eastAsia="Times New Roman" w:hAnsi="Times New Roman"/>
      <w:color w:val="auto"/>
      <w:sz w:val="24"/>
      <w:lang w:val="fr-FR" w:eastAsia="fr-FR"/>
    </w:rPr>
  </w:style>
  <w:style w:type="paragraph" w:styleId="BodyText">
    <w:name w:val="Body Text"/>
    <w:basedOn w:val="Normal"/>
    <w:link w:val="BodyTextChar"/>
    <w:rsid w:val="004D2FD1"/>
    <w:pPr>
      <w:spacing w:after="0" w:line="260" w:lineRule="exact"/>
      <w:ind w:right="-16"/>
    </w:pPr>
    <w:rPr>
      <w:rFonts w:ascii="Times" w:eastAsia="Times" w:hAnsi="Times"/>
      <w:color w:val="auto"/>
      <w:sz w:val="24"/>
      <w:lang w:val="fr-FR" w:eastAsia="fr-FR"/>
    </w:rPr>
  </w:style>
  <w:style w:type="character" w:customStyle="1" w:styleId="BodyTextChar">
    <w:name w:val="Body Text Char"/>
    <w:basedOn w:val="DefaultParagraphFont"/>
    <w:link w:val="BodyText"/>
    <w:rsid w:val="004D2FD1"/>
    <w:rPr>
      <w:rFonts w:ascii="Times" w:eastAsia="Times" w:hAnsi="Times" w:cs="Times New Roman"/>
      <w:szCs w:val="20"/>
      <w:lang w:val="fr-FR" w:eastAsia="fr-FR"/>
    </w:rPr>
  </w:style>
  <w:style w:type="paragraph" w:styleId="EndnoteText">
    <w:name w:val="endnote text"/>
    <w:basedOn w:val="Normal"/>
    <w:link w:val="EndnoteTextChar"/>
    <w:semiHidden/>
    <w:rsid w:val="004D2FD1"/>
    <w:pPr>
      <w:spacing w:after="0" w:line="240" w:lineRule="auto"/>
      <w:jc w:val="left"/>
    </w:pPr>
    <w:rPr>
      <w:rFonts w:ascii="Times" w:eastAsia="Times" w:hAnsi="Times"/>
      <w:color w:val="auto"/>
      <w:sz w:val="24"/>
      <w:szCs w:val="24"/>
      <w:lang w:val="fr-FR" w:eastAsia="fr-FR"/>
    </w:rPr>
  </w:style>
  <w:style w:type="character" w:customStyle="1" w:styleId="EndnoteTextChar">
    <w:name w:val="Endnote Text Char"/>
    <w:basedOn w:val="DefaultParagraphFont"/>
    <w:link w:val="EndnoteText"/>
    <w:semiHidden/>
    <w:rsid w:val="004D2FD1"/>
    <w:rPr>
      <w:rFonts w:ascii="Times" w:eastAsia="Times" w:hAnsi="Times" w:cs="Times New Roman"/>
      <w:lang w:val="fr-FR" w:eastAsia="fr-FR"/>
    </w:rPr>
  </w:style>
  <w:style w:type="character" w:styleId="EndnoteReference">
    <w:name w:val="endnote reference"/>
    <w:semiHidden/>
    <w:rsid w:val="004D2FD1"/>
    <w:rPr>
      <w:vertAlign w:val="superscript"/>
    </w:rPr>
  </w:style>
  <w:style w:type="table" w:customStyle="1" w:styleId="PlainTable11">
    <w:name w:val="Plain Table 11"/>
    <w:basedOn w:val="TableNormal"/>
    <w:uiPriority w:val="41"/>
    <w:rsid w:val="00220B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
    <w:name w:val="List Number"/>
    <w:basedOn w:val="Normal"/>
    <w:uiPriority w:val="99"/>
    <w:unhideWhenUsed/>
    <w:qFormat/>
    <w:rsid w:val="008F08B6"/>
    <w:pPr>
      <w:adjustRightInd w:val="0"/>
      <w:spacing w:before="0" w:after="0" w:line="276" w:lineRule="auto"/>
      <w:ind w:left="1134" w:right="0"/>
    </w:pPr>
  </w:style>
  <w:style w:type="paragraph" w:customStyle="1" w:styleId="Otsikko11">
    <w:name w:val="Otsikko 11"/>
    <w:basedOn w:val="Heading8"/>
    <w:link w:val="Otsikko11Merkki"/>
    <w:autoRedefine/>
    <w:qFormat/>
    <w:rsid w:val="00620FFD"/>
    <w:pPr>
      <w:spacing w:before="100" w:beforeAutospacing="1"/>
    </w:pPr>
    <w:rPr>
      <w:color w:val="F5C040" w:themeColor="accent5"/>
      <w:sz w:val="24"/>
      <w:szCs w:val="24"/>
    </w:rPr>
  </w:style>
  <w:style w:type="character" w:customStyle="1" w:styleId="Otsikko11Merkki">
    <w:name w:val="Otsikko 11 Merkki"/>
    <w:basedOn w:val="Heading8Char"/>
    <w:link w:val="Otsikko11"/>
    <w:rsid w:val="00620FFD"/>
    <w:rPr>
      <w:rFonts w:ascii="Tahoma" w:eastAsia="Times New Roman" w:hAnsi="Tahoma"/>
      <w:b/>
      <w:noProof/>
      <w:color w:val="F5C040" w:themeColor="accent5"/>
      <w:sz w:val="22"/>
      <w:szCs w:val="22"/>
      <w:lang w:val="en-GB" w:eastAsia="en-GB"/>
    </w:rPr>
  </w:style>
  <w:style w:type="paragraph" w:customStyle="1" w:styleId="Otsikko12">
    <w:name w:val="Otsikko 12"/>
    <w:basedOn w:val="Body4"/>
    <w:autoRedefine/>
    <w:qFormat/>
    <w:rsid w:val="00D20AB6"/>
    <w:pPr>
      <w:numPr>
        <w:numId w:val="7"/>
      </w:numPr>
    </w:pPr>
    <w:rPr>
      <w:sz w:val="20"/>
    </w:rPr>
  </w:style>
  <w:style w:type="paragraph" w:customStyle="1" w:styleId="Otsikko13">
    <w:name w:val="Otsikko 13"/>
    <w:basedOn w:val="Otsikko12"/>
    <w:autoRedefine/>
    <w:qFormat/>
    <w:rsid w:val="009F1929"/>
    <w:pPr>
      <w:numPr>
        <w:numId w:val="0"/>
      </w:numPr>
      <w:shd w:val="clear" w:color="auto" w:fill="FFFFFF" w:themeFill="background1"/>
      <w:spacing w:before="0" w:after="0"/>
      <w:ind w:right="0"/>
    </w:pPr>
    <w:rPr>
      <w:b/>
      <w:color w:val="081E0E"/>
      <w:sz w:val="18"/>
      <w:szCs w:val="18"/>
      <w:shd w:val="clear" w:color="auto" w:fill="FDF2D8" w:themeFill="accent5" w:themeFillTint="33"/>
    </w:rPr>
  </w:style>
  <w:style w:type="character" w:styleId="CommentReference">
    <w:name w:val="annotation reference"/>
    <w:basedOn w:val="DefaultParagraphFont"/>
    <w:uiPriority w:val="99"/>
    <w:semiHidden/>
    <w:unhideWhenUsed/>
    <w:rsid w:val="00893E88"/>
    <w:rPr>
      <w:sz w:val="16"/>
      <w:szCs w:val="16"/>
    </w:rPr>
  </w:style>
  <w:style w:type="paragraph" w:styleId="CommentText">
    <w:name w:val="annotation text"/>
    <w:basedOn w:val="Normal"/>
    <w:link w:val="CommentTextChar"/>
    <w:uiPriority w:val="99"/>
    <w:unhideWhenUsed/>
    <w:rsid w:val="00893E88"/>
    <w:pPr>
      <w:spacing w:line="240" w:lineRule="auto"/>
      <w:jc w:val="left"/>
    </w:pPr>
    <w:rPr>
      <w:rFonts w:ascii="Verdana" w:eastAsiaTheme="minorHAnsi" w:hAnsi="Verdana" w:cstheme="minorBidi"/>
      <w:color w:val="auto"/>
    </w:rPr>
  </w:style>
  <w:style w:type="character" w:customStyle="1" w:styleId="CommentTextChar">
    <w:name w:val="Comment Text Char"/>
    <w:basedOn w:val="DefaultParagraphFont"/>
    <w:link w:val="CommentText"/>
    <w:uiPriority w:val="99"/>
    <w:rsid w:val="00893E88"/>
    <w:rPr>
      <w:rFonts w:ascii="Verdana" w:eastAsiaTheme="minorHAnsi" w:hAnsi="Verdana"/>
      <w:sz w:val="20"/>
      <w:szCs w:val="20"/>
      <w:lang w:val="en-GB" w:eastAsia="en-US"/>
    </w:rPr>
  </w:style>
  <w:style w:type="paragraph" w:customStyle="1" w:styleId="Heading12">
    <w:name w:val="Heading 12"/>
    <w:basedOn w:val="Heading7"/>
    <w:autoRedefine/>
    <w:qFormat/>
    <w:rsid w:val="00A65F95"/>
    <w:pPr>
      <w:adjustRightInd w:val="0"/>
      <w:spacing w:beforeLines="50" w:before="120" w:afterLines="50" w:line="264" w:lineRule="auto"/>
      <w:ind w:firstLine="580"/>
    </w:pPr>
    <w:rPr>
      <w:rFonts w:eastAsiaTheme="minorEastAsia"/>
      <w:color w:val="2861A9" w:themeColor="accent2" w:themeShade="BF"/>
    </w:rPr>
  </w:style>
  <w:style w:type="paragraph" w:styleId="TOCHeading">
    <w:name w:val="TOC Heading"/>
    <w:basedOn w:val="Heading1"/>
    <w:next w:val="Normal"/>
    <w:uiPriority w:val="39"/>
    <w:unhideWhenUsed/>
    <w:qFormat/>
    <w:rsid w:val="007E7169"/>
    <w:pPr>
      <w:spacing w:before="480" w:line="360" w:lineRule="auto"/>
      <w:jc w:val="both"/>
      <w:outlineLvl w:val="9"/>
    </w:pPr>
    <w:rPr>
      <w:rFonts w:asciiTheme="majorHAnsi" w:hAnsiTheme="majorHAnsi"/>
      <w:color w:val="028AD4" w:themeColor="accent1" w:themeShade="B5"/>
      <w:szCs w:val="32"/>
      <w:lang w:eastAsia="en-US"/>
    </w:rPr>
  </w:style>
  <w:style w:type="character" w:customStyle="1" w:styleId="apple-style-span">
    <w:name w:val="apple-style-span"/>
    <w:basedOn w:val="DefaultParagraphFont"/>
    <w:rsid w:val="007E7169"/>
  </w:style>
  <w:style w:type="character" w:customStyle="1" w:styleId="DefaultMerkki">
    <w:name w:val="Default Merkki"/>
    <w:basedOn w:val="DefaultParagraphFont"/>
    <w:link w:val="Default"/>
    <w:rsid w:val="007E7169"/>
    <w:rPr>
      <w:rFonts w:ascii="Tahoma" w:eastAsia="Times New Roman" w:hAnsi="Tahoma" w:cs="Arial"/>
      <w:color w:val="021B2B" w:themeColor="background2" w:themeShade="1A"/>
      <w:sz w:val="18"/>
      <w:szCs w:val="16"/>
      <w:lang w:val="el-GR" w:eastAsia="en-GB"/>
    </w:rPr>
  </w:style>
  <w:style w:type="character" w:customStyle="1" w:styleId="st">
    <w:name w:val="st"/>
    <w:basedOn w:val="DefaultParagraphFont"/>
    <w:rsid w:val="007E7169"/>
  </w:style>
  <w:style w:type="paragraph" w:styleId="ListNumber2">
    <w:name w:val="List Number 2"/>
    <w:basedOn w:val="Normal"/>
    <w:autoRedefine/>
    <w:uiPriority w:val="99"/>
    <w:unhideWhenUsed/>
    <w:qFormat/>
    <w:rsid w:val="00F01E0F"/>
    <w:pPr>
      <w:numPr>
        <w:numId w:val="4"/>
      </w:numPr>
      <w:spacing w:before="0"/>
    </w:pPr>
  </w:style>
  <w:style w:type="paragraph" w:styleId="TableofFigures">
    <w:name w:val="table of figures"/>
    <w:basedOn w:val="Normal"/>
    <w:next w:val="Normal"/>
    <w:autoRedefine/>
    <w:uiPriority w:val="99"/>
    <w:unhideWhenUsed/>
    <w:qFormat/>
    <w:rsid w:val="00AF2D5B"/>
    <w:pPr>
      <w:spacing w:before="0" w:after="0"/>
      <w:ind w:left="360" w:hanging="360"/>
      <w:jc w:val="left"/>
    </w:pPr>
    <w:rPr>
      <w:rFonts w:asciiTheme="minorHAnsi" w:hAnsiTheme="minorHAnsi"/>
      <w:smallCaps/>
      <w:sz w:val="20"/>
    </w:rPr>
  </w:style>
  <w:style w:type="paragraph" w:styleId="CommentSubject">
    <w:name w:val="annotation subject"/>
    <w:basedOn w:val="CommentText"/>
    <w:next w:val="CommentText"/>
    <w:link w:val="CommentSubjectChar"/>
    <w:uiPriority w:val="99"/>
    <w:semiHidden/>
    <w:unhideWhenUsed/>
    <w:rsid w:val="00D717AC"/>
    <w:pPr>
      <w:jc w:val="both"/>
    </w:pPr>
    <w:rPr>
      <w:rFonts w:ascii="Tahoma" w:eastAsia="Arial" w:hAnsi="Tahoma" w:cs="Times New Roman"/>
      <w:b/>
      <w:bCs/>
      <w:color w:val="05436B" w:themeColor="background2" w:themeShade="40"/>
    </w:rPr>
  </w:style>
  <w:style w:type="character" w:customStyle="1" w:styleId="CommentSubjectChar">
    <w:name w:val="Comment Subject Char"/>
    <w:basedOn w:val="CommentTextChar"/>
    <w:link w:val="CommentSubject"/>
    <w:uiPriority w:val="99"/>
    <w:semiHidden/>
    <w:rsid w:val="00D717AC"/>
    <w:rPr>
      <w:rFonts w:ascii="Tahoma" w:eastAsia="Arial" w:hAnsi="Tahoma" w:cs="Times New Roman"/>
      <w:b/>
      <w:bCs/>
      <w:noProof/>
      <w:color w:val="05436B" w:themeColor="background2" w:themeShade="40"/>
      <w:sz w:val="20"/>
      <w:szCs w:val="20"/>
      <w:lang w:val="en-GB" w:eastAsia="en-US"/>
    </w:rPr>
  </w:style>
  <w:style w:type="paragraph" w:customStyle="1" w:styleId="a-I-EUBodytextsingle">
    <w:name w:val="a-I-EU Body text single"/>
    <w:basedOn w:val="Body4"/>
    <w:qFormat/>
    <w:rsid w:val="00C675F3"/>
    <w:pPr>
      <w:widowControl w:val="0"/>
      <w:overflowPunct w:val="0"/>
      <w:autoSpaceDE w:val="0"/>
      <w:autoSpaceDN w:val="0"/>
      <w:spacing w:before="0" w:after="0" w:line="276" w:lineRule="auto"/>
      <w:ind w:left="6" w:right="6"/>
      <w:textAlignment w:val="baseline"/>
    </w:pPr>
    <w:rPr>
      <w:rFonts w:eastAsia="Times New Roman"/>
      <w:noProof w:val="0"/>
      <w:color w:val="021B2B" w:themeColor="background2" w:themeShade="1A"/>
      <w:sz w:val="18"/>
    </w:rPr>
  </w:style>
  <w:style w:type="character" w:customStyle="1" w:styleId="nlmarticle-title">
    <w:name w:val="nlm_article-title"/>
    <w:basedOn w:val="DefaultParagraphFont"/>
    <w:rsid w:val="0001608D"/>
  </w:style>
  <w:style w:type="character" w:customStyle="1" w:styleId="specialtitle">
    <w:name w:val="specialtitle"/>
    <w:basedOn w:val="DefaultParagraphFont"/>
    <w:rsid w:val="0001608D"/>
  </w:style>
  <w:style w:type="character" w:styleId="PlaceholderText">
    <w:name w:val="Placeholder Text"/>
    <w:basedOn w:val="DefaultParagraphFont"/>
    <w:uiPriority w:val="99"/>
    <w:semiHidden/>
    <w:rsid w:val="00143CE7"/>
    <w:rPr>
      <w:color w:val="808080"/>
    </w:rPr>
  </w:style>
  <w:style w:type="table" w:styleId="TableElegant">
    <w:name w:val="Table Elegant"/>
    <w:basedOn w:val="TableNormal"/>
    <w:uiPriority w:val="99"/>
    <w:semiHidden/>
    <w:unhideWhenUsed/>
    <w:rsid w:val="00BE778D"/>
    <w:pPr>
      <w:spacing w:before="160" w:after="200" w:line="360" w:lineRule="auto"/>
      <w:ind w:left="284" w:right="284"/>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body30">
    <w:name w:val="body3"/>
    <w:basedOn w:val="Normal"/>
    <w:rsid w:val="008914D5"/>
    <w:pPr>
      <w:spacing w:before="100" w:beforeAutospacing="1" w:after="100" w:afterAutospacing="1" w:line="240" w:lineRule="auto"/>
      <w:ind w:left="0" w:right="0"/>
      <w:jc w:val="left"/>
    </w:pPr>
    <w:rPr>
      <w:rFonts w:ascii="Times" w:eastAsiaTheme="minorEastAsia" w:hAnsi="Times" w:cstheme="minorBidi"/>
      <w:noProof w:val="0"/>
      <w:color w:val="auto"/>
      <w:lang w:val="en-US" w:eastAsia="fi-FI"/>
    </w:rPr>
  </w:style>
  <w:style w:type="table" w:styleId="LightShading-Accent5">
    <w:name w:val="Light Shading Accent 5"/>
    <w:basedOn w:val="TableNormal"/>
    <w:uiPriority w:val="60"/>
    <w:rsid w:val="00C76750"/>
    <w:rPr>
      <w:rFonts w:eastAsiaTheme="minorHAnsi"/>
      <w:color w:val="DB9E0B" w:themeColor="accent5" w:themeShade="BF"/>
      <w:sz w:val="22"/>
      <w:szCs w:val="22"/>
      <w:lang w:val="es-ES" w:eastAsia="en-US"/>
    </w:rPr>
    <w:tblPr>
      <w:tblStyleRowBandSize w:val="1"/>
      <w:tblStyleColBandSize w:val="1"/>
      <w:tblBorders>
        <w:top w:val="single" w:sz="8" w:space="0" w:color="F5C040" w:themeColor="accent5"/>
        <w:bottom w:val="single" w:sz="8" w:space="0" w:color="F5C040" w:themeColor="accent5"/>
      </w:tblBorders>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053">
      <w:bodyDiv w:val="1"/>
      <w:marLeft w:val="0"/>
      <w:marRight w:val="0"/>
      <w:marTop w:val="0"/>
      <w:marBottom w:val="0"/>
      <w:divBdr>
        <w:top w:val="none" w:sz="0" w:space="0" w:color="auto"/>
        <w:left w:val="none" w:sz="0" w:space="0" w:color="auto"/>
        <w:bottom w:val="none" w:sz="0" w:space="0" w:color="auto"/>
        <w:right w:val="none" w:sz="0" w:space="0" w:color="auto"/>
      </w:divBdr>
    </w:div>
    <w:div w:id="115755034">
      <w:bodyDiv w:val="1"/>
      <w:marLeft w:val="0"/>
      <w:marRight w:val="0"/>
      <w:marTop w:val="0"/>
      <w:marBottom w:val="0"/>
      <w:divBdr>
        <w:top w:val="none" w:sz="0" w:space="0" w:color="auto"/>
        <w:left w:val="none" w:sz="0" w:space="0" w:color="auto"/>
        <w:bottom w:val="none" w:sz="0" w:space="0" w:color="auto"/>
        <w:right w:val="none" w:sz="0" w:space="0" w:color="auto"/>
      </w:divBdr>
      <w:divsChild>
        <w:div w:id="1061291028">
          <w:marLeft w:val="0"/>
          <w:marRight w:val="0"/>
          <w:marTop w:val="0"/>
          <w:marBottom w:val="0"/>
          <w:divBdr>
            <w:top w:val="none" w:sz="0" w:space="0" w:color="auto"/>
            <w:left w:val="none" w:sz="0" w:space="0" w:color="auto"/>
            <w:bottom w:val="none" w:sz="0" w:space="0" w:color="auto"/>
            <w:right w:val="none" w:sz="0" w:space="0" w:color="auto"/>
          </w:divBdr>
          <w:divsChild>
            <w:div w:id="828794188">
              <w:marLeft w:val="0"/>
              <w:marRight w:val="0"/>
              <w:marTop w:val="0"/>
              <w:marBottom w:val="0"/>
              <w:divBdr>
                <w:top w:val="none" w:sz="0" w:space="0" w:color="auto"/>
                <w:left w:val="none" w:sz="0" w:space="0" w:color="auto"/>
                <w:bottom w:val="none" w:sz="0" w:space="0" w:color="auto"/>
                <w:right w:val="none" w:sz="0" w:space="0" w:color="auto"/>
              </w:divBdr>
              <w:divsChild>
                <w:div w:id="14386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665">
      <w:bodyDiv w:val="1"/>
      <w:marLeft w:val="0"/>
      <w:marRight w:val="0"/>
      <w:marTop w:val="0"/>
      <w:marBottom w:val="0"/>
      <w:divBdr>
        <w:top w:val="none" w:sz="0" w:space="0" w:color="auto"/>
        <w:left w:val="none" w:sz="0" w:space="0" w:color="auto"/>
        <w:bottom w:val="none" w:sz="0" w:space="0" w:color="auto"/>
        <w:right w:val="none" w:sz="0" w:space="0" w:color="auto"/>
      </w:divBdr>
      <w:divsChild>
        <w:div w:id="865337381">
          <w:marLeft w:val="0"/>
          <w:marRight w:val="0"/>
          <w:marTop w:val="0"/>
          <w:marBottom w:val="0"/>
          <w:divBdr>
            <w:top w:val="none" w:sz="0" w:space="0" w:color="auto"/>
            <w:left w:val="none" w:sz="0" w:space="0" w:color="auto"/>
            <w:bottom w:val="none" w:sz="0" w:space="0" w:color="auto"/>
            <w:right w:val="none" w:sz="0" w:space="0" w:color="auto"/>
          </w:divBdr>
          <w:divsChild>
            <w:div w:id="1393774669">
              <w:marLeft w:val="0"/>
              <w:marRight w:val="0"/>
              <w:marTop w:val="0"/>
              <w:marBottom w:val="0"/>
              <w:divBdr>
                <w:top w:val="none" w:sz="0" w:space="0" w:color="auto"/>
                <w:left w:val="none" w:sz="0" w:space="0" w:color="auto"/>
                <w:bottom w:val="none" w:sz="0" w:space="0" w:color="auto"/>
                <w:right w:val="none" w:sz="0" w:space="0" w:color="auto"/>
              </w:divBdr>
              <w:divsChild>
                <w:div w:id="1886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926">
      <w:bodyDiv w:val="1"/>
      <w:marLeft w:val="0"/>
      <w:marRight w:val="0"/>
      <w:marTop w:val="0"/>
      <w:marBottom w:val="0"/>
      <w:divBdr>
        <w:top w:val="none" w:sz="0" w:space="0" w:color="auto"/>
        <w:left w:val="none" w:sz="0" w:space="0" w:color="auto"/>
        <w:bottom w:val="none" w:sz="0" w:space="0" w:color="auto"/>
        <w:right w:val="none" w:sz="0" w:space="0" w:color="auto"/>
      </w:divBdr>
    </w:div>
    <w:div w:id="275019588">
      <w:bodyDiv w:val="1"/>
      <w:marLeft w:val="0"/>
      <w:marRight w:val="0"/>
      <w:marTop w:val="0"/>
      <w:marBottom w:val="0"/>
      <w:divBdr>
        <w:top w:val="none" w:sz="0" w:space="0" w:color="auto"/>
        <w:left w:val="none" w:sz="0" w:space="0" w:color="auto"/>
        <w:bottom w:val="none" w:sz="0" w:space="0" w:color="auto"/>
        <w:right w:val="none" w:sz="0" w:space="0" w:color="auto"/>
      </w:divBdr>
    </w:div>
    <w:div w:id="285089392">
      <w:bodyDiv w:val="1"/>
      <w:marLeft w:val="0"/>
      <w:marRight w:val="0"/>
      <w:marTop w:val="0"/>
      <w:marBottom w:val="0"/>
      <w:divBdr>
        <w:top w:val="none" w:sz="0" w:space="0" w:color="auto"/>
        <w:left w:val="none" w:sz="0" w:space="0" w:color="auto"/>
        <w:bottom w:val="none" w:sz="0" w:space="0" w:color="auto"/>
        <w:right w:val="none" w:sz="0" w:space="0" w:color="auto"/>
      </w:divBdr>
    </w:div>
    <w:div w:id="291205873">
      <w:bodyDiv w:val="1"/>
      <w:marLeft w:val="0"/>
      <w:marRight w:val="0"/>
      <w:marTop w:val="0"/>
      <w:marBottom w:val="0"/>
      <w:divBdr>
        <w:top w:val="none" w:sz="0" w:space="0" w:color="auto"/>
        <w:left w:val="none" w:sz="0" w:space="0" w:color="auto"/>
        <w:bottom w:val="none" w:sz="0" w:space="0" w:color="auto"/>
        <w:right w:val="none" w:sz="0" w:space="0" w:color="auto"/>
      </w:divBdr>
      <w:divsChild>
        <w:div w:id="520626639">
          <w:marLeft w:val="0"/>
          <w:marRight w:val="0"/>
          <w:marTop w:val="0"/>
          <w:marBottom w:val="0"/>
          <w:divBdr>
            <w:top w:val="none" w:sz="0" w:space="0" w:color="auto"/>
            <w:left w:val="none" w:sz="0" w:space="0" w:color="auto"/>
            <w:bottom w:val="none" w:sz="0" w:space="0" w:color="auto"/>
            <w:right w:val="none" w:sz="0" w:space="0" w:color="auto"/>
          </w:divBdr>
          <w:divsChild>
            <w:div w:id="1755543267">
              <w:marLeft w:val="0"/>
              <w:marRight w:val="0"/>
              <w:marTop w:val="0"/>
              <w:marBottom w:val="0"/>
              <w:divBdr>
                <w:top w:val="none" w:sz="0" w:space="0" w:color="auto"/>
                <w:left w:val="none" w:sz="0" w:space="0" w:color="auto"/>
                <w:bottom w:val="none" w:sz="0" w:space="0" w:color="auto"/>
                <w:right w:val="none" w:sz="0" w:space="0" w:color="auto"/>
              </w:divBdr>
              <w:divsChild>
                <w:div w:id="5488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8025">
      <w:bodyDiv w:val="1"/>
      <w:marLeft w:val="0"/>
      <w:marRight w:val="0"/>
      <w:marTop w:val="0"/>
      <w:marBottom w:val="0"/>
      <w:divBdr>
        <w:top w:val="none" w:sz="0" w:space="0" w:color="auto"/>
        <w:left w:val="none" w:sz="0" w:space="0" w:color="auto"/>
        <w:bottom w:val="none" w:sz="0" w:space="0" w:color="auto"/>
        <w:right w:val="none" w:sz="0" w:space="0" w:color="auto"/>
      </w:divBdr>
      <w:divsChild>
        <w:div w:id="1415515554">
          <w:marLeft w:val="0"/>
          <w:marRight w:val="0"/>
          <w:marTop w:val="0"/>
          <w:marBottom w:val="0"/>
          <w:divBdr>
            <w:top w:val="none" w:sz="0" w:space="0" w:color="auto"/>
            <w:left w:val="none" w:sz="0" w:space="0" w:color="auto"/>
            <w:bottom w:val="none" w:sz="0" w:space="0" w:color="auto"/>
            <w:right w:val="none" w:sz="0" w:space="0" w:color="auto"/>
          </w:divBdr>
          <w:divsChild>
            <w:div w:id="1924606591">
              <w:marLeft w:val="0"/>
              <w:marRight w:val="0"/>
              <w:marTop w:val="0"/>
              <w:marBottom w:val="0"/>
              <w:divBdr>
                <w:top w:val="none" w:sz="0" w:space="0" w:color="auto"/>
                <w:left w:val="none" w:sz="0" w:space="0" w:color="auto"/>
                <w:bottom w:val="none" w:sz="0" w:space="0" w:color="auto"/>
                <w:right w:val="none" w:sz="0" w:space="0" w:color="auto"/>
              </w:divBdr>
              <w:divsChild>
                <w:div w:id="1383410640">
                  <w:marLeft w:val="0"/>
                  <w:marRight w:val="0"/>
                  <w:marTop w:val="0"/>
                  <w:marBottom w:val="0"/>
                  <w:divBdr>
                    <w:top w:val="none" w:sz="0" w:space="0" w:color="auto"/>
                    <w:left w:val="none" w:sz="0" w:space="0" w:color="auto"/>
                    <w:bottom w:val="none" w:sz="0" w:space="0" w:color="auto"/>
                    <w:right w:val="none" w:sz="0" w:space="0" w:color="auto"/>
                  </w:divBdr>
                  <w:divsChild>
                    <w:div w:id="1392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0578">
      <w:bodyDiv w:val="1"/>
      <w:marLeft w:val="0"/>
      <w:marRight w:val="0"/>
      <w:marTop w:val="0"/>
      <w:marBottom w:val="0"/>
      <w:divBdr>
        <w:top w:val="none" w:sz="0" w:space="0" w:color="auto"/>
        <w:left w:val="none" w:sz="0" w:space="0" w:color="auto"/>
        <w:bottom w:val="none" w:sz="0" w:space="0" w:color="auto"/>
        <w:right w:val="none" w:sz="0" w:space="0" w:color="auto"/>
      </w:divBdr>
    </w:div>
    <w:div w:id="481196581">
      <w:bodyDiv w:val="1"/>
      <w:marLeft w:val="0"/>
      <w:marRight w:val="0"/>
      <w:marTop w:val="0"/>
      <w:marBottom w:val="0"/>
      <w:divBdr>
        <w:top w:val="none" w:sz="0" w:space="0" w:color="auto"/>
        <w:left w:val="none" w:sz="0" w:space="0" w:color="auto"/>
        <w:bottom w:val="none" w:sz="0" w:space="0" w:color="auto"/>
        <w:right w:val="none" w:sz="0" w:space="0" w:color="auto"/>
      </w:divBdr>
      <w:divsChild>
        <w:div w:id="1677228451">
          <w:marLeft w:val="0"/>
          <w:marRight w:val="0"/>
          <w:marTop w:val="0"/>
          <w:marBottom w:val="0"/>
          <w:divBdr>
            <w:top w:val="none" w:sz="0" w:space="0" w:color="auto"/>
            <w:left w:val="none" w:sz="0" w:space="0" w:color="auto"/>
            <w:bottom w:val="none" w:sz="0" w:space="0" w:color="auto"/>
            <w:right w:val="none" w:sz="0" w:space="0" w:color="auto"/>
          </w:divBdr>
          <w:divsChild>
            <w:div w:id="675229588">
              <w:marLeft w:val="0"/>
              <w:marRight w:val="0"/>
              <w:marTop w:val="0"/>
              <w:marBottom w:val="0"/>
              <w:divBdr>
                <w:top w:val="none" w:sz="0" w:space="0" w:color="auto"/>
                <w:left w:val="none" w:sz="0" w:space="0" w:color="auto"/>
                <w:bottom w:val="none" w:sz="0" w:space="0" w:color="auto"/>
                <w:right w:val="none" w:sz="0" w:space="0" w:color="auto"/>
              </w:divBdr>
              <w:divsChild>
                <w:div w:id="1359233810">
                  <w:marLeft w:val="0"/>
                  <w:marRight w:val="0"/>
                  <w:marTop w:val="0"/>
                  <w:marBottom w:val="0"/>
                  <w:divBdr>
                    <w:top w:val="none" w:sz="0" w:space="0" w:color="auto"/>
                    <w:left w:val="none" w:sz="0" w:space="0" w:color="auto"/>
                    <w:bottom w:val="none" w:sz="0" w:space="0" w:color="auto"/>
                    <w:right w:val="none" w:sz="0" w:space="0" w:color="auto"/>
                  </w:divBdr>
                  <w:divsChild>
                    <w:div w:id="15863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85865">
      <w:bodyDiv w:val="1"/>
      <w:marLeft w:val="0"/>
      <w:marRight w:val="0"/>
      <w:marTop w:val="0"/>
      <w:marBottom w:val="0"/>
      <w:divBdr>
        <w:top w:val="none" w:sz="0" w:space="0" w:color="auto"/>
        <w:left w:val="none" w:sz="0" w:space="0" w:color="auto"/>
        <w:bottom w:val="none" w:sz="0" w:space="0" w:color="auto"/>
        <w:right w:val="none" w:sz="0" w:space="0" w:color="auto"/>
      </w:divBdr>
    </w:div>
    <w:div w:id="570114800">
      <w:bodyDiv w:val="1"/>
      <w:marLeft w:val="0"/>
      <w:marRight w:val="0"/>
      <w:marTop w:val="0"/>
      <w:marBottom w:val="0"/>
      <w:divBdr>
        <w:top w:val="none" w:sz="0" w:space="0" w:color="auto"/>
        <w:left w:val="none" w:sz="0" w:space="0" w:color="auto"/>
        <w:bottom w:val="none" w:sz="0" w:space="0" w:color="auto"/>
        <w:right w:val="none" w:sz="0" w:space="0" w:color="auto"/>
      </w:divBdr>
      <w:divsChild>
        <w:div w:id="1470585960">
          <w:marLeft w:val="0"/>
          <w:marRight w:val="0"/>
          <w:marTop w:val="0"/>
          <w:marBottom w:val="0"/>
          <w:divBdr>
            <w:top w:val="none" w:sz="0" w:space="0" w:color="auto"/>
            <w:left w:val="none" w:sz="0" w:space="0" w:color="auto"/>
            <w:bottom w:val="none" w:sz="0" w:space="0" w:color="auto"/>
            <w:right w:val="none" w:sz="0" w:space="0" w:color="auto"/>
          </w:divBdr>
          <w:divsChild>
            <w:div w:id="909656384">
              <w:marLeft w:val="0"/>
              <w:marRight w:val="0"/>
              <w:marTop w:val="0"/>
              <w:marBottom w:val="0"/>
              <w:divBdr>
                <w:top w:val="none" w:sz="0" w:space="0" w:color="auto"/>
                <w:left w:val="none" w:sz="0" w:space="0" w:color="auto"/>
                <w:bottom w:val="none" w:sz="0" w:space="0" w:color="auto"/>
                <w:right w:val="none" w:sz="0" w:space="0" w:color="auto"/>
              </w:divBdr>
              <w:divsChild>
                <w:div w:id="12883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57">
      <w:bodyDiv w:val="1"/>
      <w:marLeft w:val="0"/>
      <w:marRight w:val="0"/>
      <w:marTop w:val="0"/>
      <w:marBottom w:val="0"/>
      <w:divBdr>
        <w:top w:val="none" w:sz="0" w:space="0" w:color="auto"/>
        <w:left w:val="none" w:sz="0" w:space="0" w:color="auto"/>
        <w:bottom w:val="none" w:sz="0" w:space="0" w:color="auto"/>
        <w:right w:val="none" w:sz="0" w:space="0" w:color="auto"/>
      </w:divBdr>
      <w:divsChild>
        <w:div w:id="982737184">
          <w:marLeft w:val="0"/>
          <w:marRight w:val="0"/>
          <w:marTop w:val="0"/>
          <w:marBottom w:val="0"/>
          <w:divBdr>
            <w:top w:val="none" w:sz="0" w:space="0" w:color="auto"/>
            <w:left w:val="none" w:sz="0" w:space="0" w:color="auto"/>
            <w:bottom w:val="none" w:sz="0" w:space="0" w:color="auto"/>
            <w:right w:val="none" w:sz="0" w:space="0" w:color="auto"/>
          </w:divBdr>
          <w:divsChild>
            <w:div w:id="1179196780">
              <w:marLeft w:val="0"/>
              <w:marRight w:val="0"/>
              <w:marTop w:val="0"/>
              <w:marBottom w:val="0"/>
              <w:divBdr>
                <w:top w:val="none" w:sz="0" w:space="0" w:color="auto"/>
                <w:left w:val="none" w:sz="0" w:space="0" w:color="auto"/>
                <w:bottom w:val="none" w:sz="0" w:space="0" w:color="auto"/>
                <w:right w:val="none" w:sz="0" w:space="0" w:color="auto"/>
              </w:divBdr>
              <w:divsChild>
                <w:div w:id="2546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7767">
      <w:bodyDiv w:val="1"/>
      <w:marLeft w:val="0"/>
      <w:marRight w:val="0"/>
      <w:marTop w:val="0"/>
      <w:marBottom w:val="0"/>
      <w:divBdr>
        <w:top w:val="none" w:sz="0" w:space="0" w:color="auto"/>
        <w:left w:val="none" w:sz="0" w:space="0" w:color="auto"/>
        <w:bottom w:val="none" w:sz="0" w:space="0" w:color="auto"/>
        <w:right w:val="none" w:sz="0" w:space="0" w:color="auto"/>
      </w:divBdr>
    </w:div>
    <w:div w:id="654646793">
      <w:bodyDiv w:val="1"/>
      <w:marLeft w:val="0"/>
      <w:marRight w:val="0"/>
      <w:marTop w:val="0"/>
      <w:marBottom w:val="0"/>
      <w:divBdr>
        <w:top w:val="none" w:sz="0" w:space="0" w:color="auto"/>
        <w:left w:val="none" w:sz="0" w:space="0" w:color="auto"/>
        <w:bottom w:val="none" w:sz="0" w:space="0" w:color="auto"/>
        <w:right w:val="none" w:sz="0" w:space="0" w:color="auto"/>
      </w:divBdr>
    </w:div>
    <w:div w:id="683630127">
      <w:bodyDiv w:val="1"/>
      <w:marLeft w:val="0"/>
      <w:marRight w:val="0"/>
      <w:marTop w:val="0"/>
      <w:marBottom w:val="0"/>
      <w:divBdr>
        <w:top w:val="none" w:sz="0" w:space="0" w:color="auto"/>
        <w:left w:val="none" w:sz="0" w:space="0" w:color="auto"/>
        <w:bottom w:val="none" w:sz="0" w:space="0" w:color="auto"/>
        <w:right w:val="none" w:sz="0" w:space="0" w:color="auto"/>
      </w:divBdr>
    </w:div>
    <w:div w:id="738750532">
      <w:bodyDiv w:val="1"/>
      <w:marLeft w:val="0"/>
      <w:marRight w:val="0"/>
      <w:marTop w:val="0"/>
      <w:marBottom w:val="0"/>
      <w:divBdr>
        <w:top w:val="none" w:sz="0" w:space="0" w:color="auto"/>
        <w:left w:val="none" w:sz="0" w:space="0" w:color="auto"/>
        <w:bottom w:val="none" w:sz="0" w:space="0" w:color="auto"/>
        <w:right w:val="none" w:sz="0" w:space="0" w:color="auto"/>
      </w:divBdr>
      <w:divsChild>
        <w:div w:id="291601117">
          <w:marLeft w:val="0"/>
          <w:marRight w:val="0"/>
          <w:marTop w:val="0"/>
          <w:marBottom w:val="0"/>
          <w:divBdr>
            <w:top w:val="none" w:sz="0" w:space="0" w:color="auto"/>
            <w:left w:val="none" w:sz="0" w:space="0" w:color="auto"/>
            <w:bottom w:val="none" w:sz="0" w:space="0" w:color="auto"/>
            <w:right w:val="none" w:sz="0" w:space="0" w:color="auto"/>
          </w:divBdr>
          <w:divsChild>
            <w:div w:id="1220019154">
              <w:marLeft w:val="0"/>
              <w:marRight w:val="0"/>
              <w:marTop w:val="0"/>
              <w:marBottom w:val="0"/>
              <w:divBdr>
                <w:top w:val="none" w:sz="0" w:space="0" w:color="auto"/>
                <w:left w:val="none" w:sz="0" w:space="0" w:color="auto"/>
                <w:bottom w:val="none" w:sz="0" w:space="0" w:color="auto"/>
                <w:right w:val="none" w:sz="0" w:space="0" w:color="auto"/>
              </w:divBdr>
              <w:divsChild>
                <w:div w:id="1326665709">
                  <w:marLeft w:val="0"/>
                  <w:marRight w:val="0"/>
                  <w:marTop w:val="0"/>
                  <w:marBottom w:val="0"/>
                  <w:divBdr>
                    <w:top w:val="none" w:sz="0" w:space="0" w:color="auto"/>
                    <w:left w:val="none" w:sz="0" w:space="0" w:color="auto"/>
                    <w:bottom w:val="none" w:sz="0" w:space="0" w:color="auto"/>
                    <w:right w:val="none" w:sz="0" w:space="0" w:color="auto"/>
                  </w:divBdr>
                  <w:divsChild>
                    <w:div w:id="1851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46282">
      <w:bodyDiv w:val="1"/>
      <w:marLeft w:val="0"/>
      <w:marRight w:val="0"/>
      <w:marTop w:val="0"/>
      <w:marBottom w:val="0"/>
      <w:divBdr>
        <w:top w:val="none" w:sz="0" w:space="0" w:color="auto"/>
        <w:left w:val="none" w:sz="0" w:space="0" w:color="auto"/>
        <w:bottom w:val="none" w:sz="0" w:space="0" w:color="auto"/>
        <w:right w:val="none" w:sz="0" w:space="0" w:color="auto"/>
      </w:divBdr>
    </w:div>
    <w:div w:id="772431839">
      <w:bodyDiv w:val="1"/>
      <w:marLeft w:val="0"/>
      <w:marRight w:val="0"/>
      <w:marTop w:val="0"/>
      <w:marBottom w:val="0"/>
      <w:divBdr>
        <w:top w:val="none" w:sz="0" w:space="0" w:color="auto"/>
        <w:left w:val="none" w:sz="0" w:space="0" w:color="auto"/>
        <w:bottom w:val="none" w:sz="0" w:space="0" w:color="auto"/>
        <w:right w:val="none" w:sz="0" w:space="0" w:color="auto"/>
      </w:divBdr>
    </w:div>
    <w:div w:id="809515177">
      <w:bodyDiv w:val="1"/>
      <w:marLeft w:val="0"/>
      <w:marRight w:val="0"/>
      <w:marTop w:val="0"/>
      <w:marBottom w:val="0"/>
      <w:divBdr>
        <w:top w:val="none" w:sz="0" w:space="0" w:color="auto"/>
        <w:left w:val="none" w:sz="0" w:space="0" w:color="auto"/>
        <w:bottom w:val="none" w:sz="0" w:space="0" w:color="auto"/>
        <w:right w:val="none" w:sz="0" w:space="0" w:color="auto"/>
      </w:divBdr>
      <w:divsChild>
        <w:div w:id="1083843611">
          <w:marLeft w:val="0"/>
          <w:marRight w:val="0"/>
          <w:marTop w:val="0"/>
          <w:marBottom w:val="0"/>
          <w:divBdr>
            <w:top w:val="none" w:sz="0" w:space="0" w:color="auto"/>
            <w:left w:val="none" w:sz="0" w:space="0" w:color="auto"/>
            <w:bottom w:val="none" w:sz="0" w:space="0" w:color="auto"/>
            <w:right w:val="none" w:sz="0" w:space="0" w:color="auto"/>
          </w:divBdr>
          <w:divsChild>
            <w:div w:id="933633488">
              <w:marLeft w:val="0"/>
              <w:marRight w:val="0"/>
              <w:marTop w:val="0"/>
              <w:marBottom w:val="0"/>
              <w:divBdr>
                <w:top w:val="none" w:sz="0" w:space="0" w:color="auto"/>
                <w:left w:val="none" w:sz="0" w:space="0" w:color="auto"/>
                <w:bottom w:val="none" w:sz="0" w:space="0" w:color="auto"/>
                <w:right w:val="none" w:sz="0" w:space="0" w:color="auto"/>
              </w:divBdr>
              <w:divsChild>
                <w:div w:id="10267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7779">
      <w:bodyDiv w:val="1"/>
      <w:marLeft w:val="0"/>
      <w:marRight w:val="0"/>
      <w:marTop w:val="0"/>
      <w:marBottom w:val="0"/>
      <w:divBdr>
        <w:top w:val="none" w:sz="0" w:space="0" w:color="auto"/>
        <w:left w:val="none" w:sz="0" w:space="0" w:color="auto"/>
        <w:bottom w:val="none" w:sz="0" w:space="0" w:color="auto"/>
        <w:right w:val="none" w:sz="0" w:space="0" w:color="auto"/>
      </w:divBdr>
    </w:div>
    <w:div w:id="897591316">
      <w:bodyDiv w:val="1"/>
      <w:marLeft w:val="0"/>
      <w:marRight w:val="0"/>
      <w:marTop w:val="0"/>
      <w:marBottom w:val="0"/>
      <w:divBdr>
        <w:top w:val="none" w:sz="0" w:space="0" w:color="auto"/>
        <w:left w:val="none" w:sz="0" w:space="0" w:color="auto"/>
        <w:bottom w:val="none" w:sz="0" w:space="0" w:color="auto"/>
        <w:right w:val="none" w:sz="0" w:space="0" w:color="auto"/>
      </w:divBdr>
    </w:div>
    <w:div w:id="913274176">
      <w:bodyDiv w:val="1"/>
      <w:marLeft w:val="0"/>
      <w:marRight w:val="0"/>
      <w:marTop w:val="0"/>
      <w:marBottom w:val="0"/>
      <w:divBdr>
        <w:top w:val="none" w:sz="0" w:space="0" w:color="auto"/>
        <w:left w:val="none" w:sz="0" w:space="0" w:color="auto"/>
        <w:bottom w:val="none" w:sz="0" w:space="0" w:color="auto"/>
        <w:right w:val="none" w:sz="0" w:space="0" w:color="auto"/>
      </w:divBdr>
    </w:div>
    <w:div w:id="923756701">
      <w:bodyDiv w:val="1"/>
      <w:marLeft w:val="0"/>
      <w:marRight w:val="0"/>
      <w:marTop w:val="0"/>
      <w:marBottom w:val="0"/>
      <w:divBdr>
        <w:top w:val="none" w:sz="0" w:space="0" w:color="auto"/>
        <w:left w:val="none" w:sz="0" w:space="0" w:color="auto"/>
        <w:bottom w:val="none" w:sz="0" w:space="0" w:color="auto"/>
        <w:right w:val="none" w:sz="0" w:space="0" w:color="auto"/>
      </w:divBdr>
    </w:div>
    <w:div w:id="942108509">
      <w:bodyDiv w:val="1"/>
      <w:marLeft w:val="0"/>
      <w:marRight w:val="0"/>
      <w:marTop w:val="0"/>
      <w:marBottom w:val="0"/>
      <w:divBdr>
        <w:top w:val="none" w:sz="0" w:space="0" w:color="auto"/>
        <w:left w:val="none" w:sz="0" w:space="0" w:color="auto"/>
        <w:bottom w:val="none" w:sz="0" w:space="0" w:color="auto"/>
        <w:right w:val="none" w:sz="0" w:space="0" w:color="auto"/>
      </w:divBdr>
    </w:div>
    <w:div w:id="966928436">
      <w:bodyDiv w:val="1"/>
      <w:marLeft w:val="0"/>
      <w:marRight w:val="0"/>
      <w:marTop w:val="0"/>
      <w:marBottom w:val="0"/>
      <w:divBdr>
        <w:top w:val="none" w:sz="0" w:space="0" w:color="auto"/>
        <w:left w:val="none" w:sz="0" w:space="0" w:color="auto"/>
        <w:bottom w:val="none" w:sz="0" w:space="0" w:color="auto"/>
        <w:right w:val="none" w:sz="0" w:space="0" w:color="auto"/>
      </w:divBdr>
    </w:div>
    <w:div w:id="1040402624">
      <w:bodyDiv w:val="1"/>
      <w:marLeft w:val="0"/>
      <w:marRight w:val="0"/>
      <w:marTop w:val="0"/>
      <w:marBottom w:val="0"/>
      <w:divBdr>
        <w:top w:val="none" w:sz="0" w:space="0" w:color="auto"/>
        <w:left w:val="none" w:sz="0" w:space="0" w:color="auto"/>
        <w:bottom w:val="none" w:sz="0" w:space="0" w:color="auto"/>
        <w:right w:val="none" w:sz="0" w:space="0" w:color="auto"/>
      </w:divBdr>
    </w:div>
    <w:div w:id="1100370856">
      <w:bodyDiv w:val="1"/>
      <w:marLeft w:val="0"/>
      <w:marRight w:val="0"/>
      <w:marTop w:val="0"/>
      <w:marBottom w:val="0"/>
      <w:divBdr>
        <w:top w:val="none" w:sz="0" w:space="0" w:color="auto"/>
        <w:left w:val="none" w:sz="0" w:space="0" w:color="auto"/>
        <w:bottom w:val="none" w:sz="0" w:space="0" w:color="auto"/>
        <w:right w:val="none" w:sz="0" w:space="0" w:color="auto"/>
      </w:divBdr>
    </w:div>
    <w:div w:id="1156535025">
      <w:bodyDiv w:val="1"/>
      <w:marLeft w:val="0"/>
      <w:marRight w:val="0"/>
      <w:marTop w:val="0"/>
      <w:marBottom w:val="0"/>
      <w:divBdr>
        <w:top w:val="none" w:sz="0" w:space="0" w:color="auto"/>
        <w:left w:val="none" w:sz="0" w:space="0" w:color="auto"/>
        <w:bottom w:val="none" w:sz="0" w:space="0" w:color="auto"/>
        <w:right w:val="none" w:sz="0" w:space="0" w:color="auto"/>
      </w:divBdr>
    </w:div>
    <w:div w:id="1181509802">
      <w:bodyDiv w:val="1"/>
      <w:marLeft w:val="0"/>
      <w:marRight w:val="0"/>
      <w:marTop w:val="0"/>
      <w:marBottom w:val="0"/>
      <w:divBdr>
        <w:top w:val="none" w:sz="0" w:space="0" w:color="auto"/>
        <w:left w:val="none" w:sz="0" w:space="0" w:color="auto"/>
        <w:bottom w:val="none" w:sz="0" w:space="0" w:color="auto"/>
        <w:right w:val="none" w:sz="0" w:space="0" w:color="auto"/>
      </w:divBdr>
    </w:div>
    <w:div w:id="1184979018">
      <w:bodyDiv w:val="1"/>
      <w:marLeft w:val="0"/>
      <w:marRight w:val="0"/>
      <w:marTop w:val="0"/>
      <w:marBottom w:val="0"/>
      <w:divBdr>
        <w:top w:val="none" w:sz="0" w:space="0" w:color="auto"/>
        <w:left w:val="none" w:sz="0" w:space="0" w:color="auto"/>
        <w:bottom w:val="none" w:sz="0" w:space="0" w:color="auto"/>
        <w:right w:val="none" w:sz="0" w:space="0" w:color="auto"/>
      </w:divBdr>
    </w:div>
    <w:div w:id="1198616617">
      <w:bodyDiv w:val="1"/>
      <w:marLeft w:val="0"/>
      <w:marRight w:val="0"/>
      <w:marTop w:val="0"/>
      <w:marBottom w:val="0"/>
      <w:divBdr>
        <w:top w:val="none" w:sz="0" w:space="0" w:color="auto"/>
        <w:left w:val="none" w:sz="0" w:space="0" w:color="auto"/>
        <w:bottom w:val="none" w:sz="0" w:space="0" w:color="auto"/>
        <w:right w:val="none" w:sz="0" w:space="0" w:color="auto"/>
      </w:divBdr>
    </w:div>
    <w:div w:id="1213300624">
      <w:bodyDiv w:val="1"/>
      <w:marLeft w:val="0"/>
      <w:marRight w:val="0"/>
      <w:marTop w:val="0"/>
      <w:marBottom w:val="0"/>
      <w:divBdr>
        <w:top w:val="none" w:sz="0" w:space="0" w:color="auto"/>
        <w:left w:val="none" w:sz="0" w:space="0" w:color="auto"/>
        <w:bottom w:val="none" w:sz="0" w:space="0" w:color="auto"/>
        <w:right w:val="none" w:sz="0" w:space="0" w:color="auto"/>
      </w:divBdr>
    </w:div>
    <w:div w:id="1214469158">
      <w:bodyDiv w:val="1"/>
      <w:marLeft w:val="0"/>
      <w:marRight w:val="0"/>
      <w:marTop w:val="0"/>
      <w:marBottom w:val="0"/>
      <w:divBdr>
        <w:top w:val="none" w:sz="0" w:space="0" w:color="auto"/>
        <w:left w:val="none" w:sz="0" w:space="0" w:color="auto"/>
        <w:bottom w:val="none" w:sz="0" w:space="0" w:color="auto"/>
        <w:right w:val="none" w:sz="0" w:space="0" w:color="auto"/>
      </w:divBdr>
    </w:div>
    <w:div w:id="1218010254">
      <w:bodyDiv w:val="1"/>
      <w:marLeft w:val="0"/>
      <w:marRight w:val="0"/>
      <w:marTop w:val="0"/>
      <w:marBottom w:val="0"/>
      <w:divBdr>
        <w:top w:val="none" w:sz="0" w:space="0" w:color="auto"/>
        <w:left w:val="none" w:sz="0" w:space="0" w:color="auto"/>
        <w:bottom w:val="none" w:sz="0" w:space="0" w:color="auto"/>
        <w:right w:val="none" w:sz="0" w:space="0" w:color="auto"/>
      </w:divBdr>
    </w:div>
    <w:div w:id="1370498045">
      <w:bodyDiv w:val="1"/>
      <w:marLeft w:val="0"/>
      <w:marRight w:val="0"/>
      <w:marTop w:val="0"/>
      <w:marBottom w:val="0"/>
      <w:divBdr>
        <w:top w:val="none" w:sz="0" w:space="0" w:color="auto"/>
        <w:left w:val="none" w:sz="0" w:space="0" w:color="auto"/>
        <w:bottom w:val="none" w:sz="0" w:space="0" w:color="auto"/>
        <w:right w:val="none" w:sz="0" w:space="0" w:color="auto"/>
      </w:divBdr>
    </w:div>
    <w:div w:id="1404335509">
      <w:bodyDiv w:val="1"/>
      <w:marLeft w:val="0"/>
      <w:marRight w:val="0"/>
      <w:marTop w:val="0"/>
      <w:marBottom w:val="0"/>
      <w:divBdr>
        <w:top w:val="none" w:sz="0" w:space="0" w:color="auto"/>
        <w:left w:val="none" w:sz="0" w:space="0" w:color="auto"/>
        <w:bottom w:val="none" w:sz="0" w:space="0" w:color="auto"/>
        <w:right w:val="none" w:sz="0" w:space="0" w:color="auto"/>
      </w:divBdr>
    </w:div>
    <w:div w:id="1467889250">
      <w:bodyDiv w:val="1"/>
      <w:marLeft w:val="0"/>
      <w:marRight w:val="0"/>
      <w:marTop w:val="0"/>
      <w:marBottom w:val="0"/>
      <w:divBdr>
        <w:top w:val="none" w:sz="0" w:space="0" w:color="auto"/>
        <w:left w:val="none" w:sz="0" w:space="0" w:color="auto"/>
        <w:bottom w:val="none" w:sz="0" w:space="0" w:color="auto"/>
        <w:right w:val="none" w:sz="0" w:space="0" w:color="auto"/>
      </w:divBdr>
    </w:div>
    <w:div w:id="1482497901">
      <w:bodyDiv w:val="1"/>
      <w:marLeft w:val="0"/>
      <w:marRight w:val="0"/>
      <w:marTop w:val="0"/>
      <w:marBottom w:val="0"/>
      <w:divBdr>
        <w:top w:val="none" w:sz="0" w:space="0" w:color="auto"/>
        <w:left w:val="none" w:sz="0" w:space="0" w:color="auto"/>
        <w:bottom w:val="none" w:sz="0" w:space="0" w:color="auto"/>
        <w:right w:val="none" w:sz="0" w:space="0" w:color="auto"/>
      </w:divBdr>
    </w:div>
    <w:div w:id="1594894306">
      <w:bodyDiv w:val="1"/>
      <w:marLeft w:val="0"/>
      <w:marRight w:val="0"/>
      <w:marTop w:val="0"/>
      <w:marBottom w:val="0"/>
      <w:divBdr>
        <w:top w:val="none" w:sz="0" w:space="0" w:color="auto"/>
        <w:left w:val="none" w:sz="0" w:space="0" w:color="auto"/>
        <w:bottom w:val="none" w:sz="0" w:space="0" w:color="auto"/>
        <w:right w:val="none" w:sz="0" w:space="0" w:color="auto"/>
      </w:divBdr>
    </w:div>
    <w:div w:id="1612008400">
      <w:bodyDiv w:val="1"/>
      <w:marLeft w:val="0"/>
      <w:marRight w:val="0"/>
      <w:marTop w:val="0"/>
      <w:marBottom w:val="0"/>
      <w:divBdr>
        <w:top w:val="none" w:sz="0" w:space="0" w:color="auto"/>
        <w:left w:val="none" w:sz="0" w:space="0" w:color="auto"/>
        <w:bottom w:val="none" w:sz="0" w:space="0" w:color="auto"/>
        <w:right w:val="none" w:sz="0" w:space="0" w:color="auto"/>
      </w:divBdr>
    </w:div>
    <w:div w:id="1627928305">
      <w:bodyDiv w:val="1"/>
      <w:marLeft w:val="0"/>
      <w:marRight w:val="0"/>
      <w:marTop w:val="0"/>
      <w:marBottom w:val="0"/>
      <w:divBdr>
        <w:top w:val="none" w:sz="0" w:space="0" w:color="auto"/>
        <w:left w:val="none" w:sz="0" w:space="0" w:color="auto"/>
        <w:bottom w:val="none" w:sz="0" w:space="0" w:color="auto"/>
        <w:right w:val="none" w:sz="0" w:space="0" w:color="auto"/>
      </w:divBdr>
      <w:divsChild>
        <w:div w:id="2139453507">
          <w:marLeft w:val="0"/>
          <w:marRight w:val="0"/>
          <w:marTop w:val="0"/>
          <w:marBottom w:val="0"/>
          <w:divBdr>
            <w:top w:val="none" w:sz="0" w:space="0" w:color="auto"/>
            <w:left w:val="none" w:sz="0" w:space="0" w:color="auto"/>
            <w:bottom w:val="none" w:sz="0" w:space="0" w:color="auto"/>
            <w:right w:val="none" w:sz="0" w:space="0" w:color="auto"/>
          </w:divBdr>
          <w:divsChild>
            <w:div w:id="1860660031">
              <w:marLeft w:val="0"/>
              <w:marRight w:val="0"/>
              <w:marTop w:val="0"/>
              <w:marBottom w:val="0"/>
              <w:divBdr>
                <w:top w:val="none" w:sz="0" w:space="0" w:color="auto"/>
                <w:left w:val="none" w:sz="0" w:space="0" w:color="auto"/>
                <w:bottom w:val="none" w:sz="0" w:space="0" w:color="auto"/>
                <w:right w:val="none" w:sz="0" w:space="0" w:color="auto"/>
              </w:divBdr>
              <w:divsChild>
                <w:div w:id="1907835881">
                  <w:marLeft w:val="0"/>
                  <w:marRight w:val="0"/>
                  <w:marTop w:val="0"/>
                  <w:marBottom w:val="0"/>
                  <w:divBdr>
                    <w:top w:val="none" w:sz="0" w:space="0" w:color="auto"/>
                    <w:left w:val="none" w:sz="0" w:space="0" w:color="auto"/>
                    <w:bottom w:val="none" w:sz="0" w:space="0" w:color="auto"/>
                    <w:right w:val="none" w:sz="0" w:space="0" w:color="auto"/>
                  </w:divBdr>
                  <w:divsChild>
                    <w:div w:id="673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4422">
      <w:bodyDiv w:val="1"/>
      <w:marLeft w:val="0"/>
      <w:marRight w:val="0"/>
      <w:marTop w:val="0"/>
      <w:marBottom w:val="0"/>
      <w:divBdr>
        <w:top w:val="none" w:sz="0" w:space="0" w:color="auto"/>
        <w:left w:val="none" w:sz="0" w:space="0" w:color="auto"/>
        <w:bottom w:val="none" w:sz="0" w:space="0" w:color="auto"/>
        <w:right w:val="none" w:sz="0" w:space="0" w:color="auto"/>
      </w:divBdr>
    </w:div>
    <w:div w:id="1701122312">
      <w:bodyDiv w:val="1"/>
      <w:marLeft w:val="0"/>
      <w:marRight w:val="0"/>
      <w:marTop w:val="0"/>
      <w:marBottom w:val="0"/>
      <w:divBdr>
        <w:top w:val="none" w:sz="0" w:space="0" w:color="auto"/>
        <w:left w:val="none" w:sz="0" w:space="0" w:color="auto"/>
        <w:bottom w:val="none" w:sz="0" w:space="0" w:color="auto"/>
        <w:right w:val="none" w:sz="0" w:space="0" w:color="auto"/>
      </w:divBdr>
      <w:divsChild>
        <w:div w:id="1071196569">
          <w:marLeft w:val="0"/>
          <w:marRight w:val="0"/>
          <w:marTop w:val="0"/>
          <w:marBottom w:val="0"/>
          <w:divBdr>
            <w:top w:val="none" w:sz="0" w:space="0" w:color="auto"/>
            <w:left w:val="none" w:sz="0" w:space="0" w:color="auto"/>
            <w:bottom w:val="none" w:sz="0" w:space="0" w:color="auto"/>
            <w:right w:val="none" w:sz="0" w:space="0" w:color="auto"/>
          </w:divBdr>
          <w:divsChild>
            <w:div w:id="1250776835">
              <w:marLeft w:val="0"/>
              <w:marRight w:val="0"/>
              <w:marTop w:val="0"/>
              <w:marBottom w:val="0"/>
              <w:divBdr>
                <w:top w:val="none" w:sz="0" w:space="0" w:color="auto"/>
                <w:left w:val="none" w:sz="0" w:space="0" w:color="auto"/>
                <w:bottom w:val="none" w:sz="0" w:space="0" w:color="auto"/>
                <w:right w:val="none" w:sz="0" w:space="0" w:color="auto"/>
              </w:divBdr>
              <w:divsChild>
                <w:div w:id="18591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5314">
      <w:bodyDiv w:val="1"/>
      <w:marLeft w:val="0"/>
      <w:marRight w:val="0"/>
      <w:marTop w:val="0"/>
      <w:marBottom w:val="0"/>
      <w:divBdr>
        <w:top w:val="none" w:sz="0" w:space="0" w:color="auto"/>
        <w:left w:val="none" w:sz="0" w:space="0" w:color="auto"/>
        <w:bottom w:val="none" w:sz="0" w:space="0" w:color="auto"/>
        <w:right w:val="none" w:sz="0" w:space="0" w:color="auto"/>
      </w:divBdr>
    </w:div>
    <w:div w:id="1762724590">
      <w:bodyDiv w:val="1"/>
      <w:marLeft w:val="0"/>
      <w:marRight w:val="0"/>
      <w:marTop w:val="0"/>
      <w:marBottom w:val="0"/>
      <w:divBdr>
        <w:top w:val="none" w:sz="0" w:space="0" w:color="auto"/>
        <w:left w:val="none" w:sz="0" w:space="0" w:color="auto"/>
        <w:bottom w:val="none" w:sz="0" w:space="0" w:color="auto"/>
        <w:right w:val="none" w:sz="0" w:space="0" w:color="auto"/>
      </w:divBdr>
      <w:divsChild>
        <w:div w:id="1459374266">
          <w:marLeft w:val="0"/>
          <w:marRight w:val="0"/>
          <w:marTop w:val="0"/>
          <w:marBottom w:val="0"/>
          <w:divBdr>
            <w:top w:val="none" w:sz="0" w:space="0" w:color="auto"/>
            <w:left w:val="none" w:sz="0" w:space="0" w:color="auto"/>
            <w:bottom w:val="none" w:sz="0" w:space="0" w:color="auto"/>
            <w:right w:val="none" w:sz="0" w:space="0" w:color="auto"/>
          </w:divBdr>
        </w:div>
        <w:div w:id="770975631">
          <w:marLeft w:val="0"/>
          <w:marRight w:val="0"/>
          <w:marTop w:val="0"/>
          <w:marBottom w:val="0"/>
          <w:divBdr>
            <w:top w:val="none" w:sz="0" w:space="0" w:color="auto"/>
            <w:left w:val="none" w:sz="0" w:space="0" w:color="auto"/>
            <w:bottom w:val="none" w:sz="0" w:space="0" w:color="auto"/>
            <w:right w:val="none" w:sz="0" w:space="0" w:color="auto"/>
          </w:divBdr>
        </w:div>
        <w:div w:id="506748549">
          <w:marLeft w:val="0"/>
          <w:marRight w:val="0"/>
          <w:marTop w:val="0"/>
          <w:marBottom w:val="0"/>
          <w:divBdr>
            <w:top w:val="none" w:sz="0" w:space="0" w:color="auto"/>
            <w:left w:val="none" w:sz="0" w:space="0" w:color="auto"/>
            <w:bottom w:val="none" w:sz="0" w:space="0" w:color="auto"/>
            <w:right w:val="none" w:sz="0" w:space="0" w:color="auto"/>
          </w:divBdr>
        </w:div>
        <w:div w:id="846746722">
          <w:marLeft w:val="0"/>
          <w:marRight w:val="0"/>
          <w:marTop w:val="0"/>
          <w:marBottom w:val="0"/>
          <w:divBdr>
            <w:top w:val="none" w:sz="0" w:space="0" w:color="auto"/>
            <w:left w:val="none" w:sz="0" w:space="0" w:color="auto"/>
            <w:bottom w:val="none" w:sz="0" w:space="0" w:color="auto"/>
            <w:right w:val="none" w:sz="0" w:space="0" w:color="auto"/>
          </w:divBdr>
        </w:div>
        <w:div w:id="1502623219">
          <w:marLeft w:val="0"/>
          <w:marRight w:val="0"/>
          <w:marTop w:val="0"/>
          <w:marBottom w:val="0"/>
          <w:divBdr>
            <w:top w:val="none" w:sz="0" w:space="0" w:color="auto"/>
            <w:left w:val="none" w:sz="0" w:space="0" w:color="auto"/>
            <w:bottom w:val="none" w:sz="0" w:space="0" w:color="auto"/>
            <w:right w:val="none" w:sz="0" w:space="0" w:color="auto"/>
          </w:divBdr>
        </w:div>
        <w:div w:id="811142942">
          <w:marLeft w:val="0"/>
          <w:marRight w:val="0"/>
          <w:marTop w:val="0"/>
          <w:marBottom w:val="0"/>
          <w:divBdr>
            <w:top w:val="none" w:sz="0" w:space="0" w:color="auto"/>
            <w:left w:val="none" w:sz="0" w:space="0" w:color="auto"/>
            <w:bottom w:val="none" w:sz="0" w:space="0" w:color="auto"/>
            <w:right w:val="none" w:sz="0" w:space="0" w:color="auto"/>
          </w:divBdr>
        </w:div>
        <w:div w:id="1869753888">
          <w:marLeft w:val="0"/>
          <w:marRight w:val="0"/>
          <w:marTop w:val="0"/>
          <w:marBottom w:val="0"/>
          <w:divBdr>
            <w:top w:val="none" w:sz="0" w:space="0" w:color="auto"/>
            <w:left w:val="none" w:sz="0" w:space="0" w:color="auto"/>
            <w:bottom w:val="none" w:sz="0" w:space="0" w:color="auto"/>
            <w:right w:val="none" w:sz="0" w:space="0" w:color="auto"/>
          </w:divBdr>
        </w:div>
        <w:div w:id="86049427">
          <w:marLeft w:val="0"/>
          <w:marRight w:val="0"/>
          <w:marTop w:val="0"/>
          <w:marBottom w:val="0"/>
          <w:divBdr>
            <w:top w:val="none" w:sz="0" w:space="0" w:color="auto"/>
            <w:left w:val="none" w:sz="0" w:space="0" w:color="auto"/>
            <w:bottom w:val="none" w:sz="0" w:space="0" w:color="auto"/>
            <w:right w:val="none" w:sz="0" w:space="0" w:color="auto"/>
          </w:divBdr>
        </w:div>
        <w:div w:id="1080566112">
          <w:marLeft w:val="0"/>
          <w:marRight w:val="0"/>
          <w:marTop w:val="0"/>
          <w:marBottom w:val="0"/>
          <w:divBdr>
            <w:top w:val="none" w:sz="0" w:space="0" w:color="auto"/>
            <w:left w:val="none" w:sz="0" w:space="0" w:color="auto"/>
            <w:bottom w:val="none" w:sz="0" w:space="0" w:color="auto"/>
            <w:right w:val="none" w:sz="0" w:space="0" w:color="auto"/>
          </w:divBdr>
        </w:div>
        <w:div w:id="1949850231">
          <w:marLeft w:val="0"/>
          <w:marRight w:val="0"/>
          <w:marTop w:val="0"/>
          <w:marBottom w:val="0"/>
          <w:divBdr>
            <w:top w:val="none" w:sz="0" w:space="0" w:color="auto"/>
            <w:left w:val="none" w:sz="0" w:space="0" w:color="auto"/>
            <w:bottom w:val="none" w:sz="0" w:space="0" w:color="auto"/>
            <w:right w:val="none" w:sz="0" w:space="0" w:color="auto"/>
          </w:divBdr>
        </w:div>
        <w:div w:id="442656831">
          <w:marLeft w:val="0"/>
          <w:marRight w:val="0"/>
          <w:marTop w:val="0"/>
          <w:marBottom w:val="0"/>
          <w:divBdr>
            <w:top w:val="none" w:sz="0" w:space="0" w:color="auto"/>
            <w:left w:val="none" w:sz="0" w:space="0" w:color="auto"/>
            <w:bottom w:val="none" w:sz="0" w:space="0" w:color="auto"/>
            <w:right w:val="none" w:sz="0" w:space="0" w:color="auto"/>
          </w:divBdr>
        </w:div>
        <w:div w:id="1642495905">
          <w:marLeft w:val="0"/>
          <w:marRight w:val="0"/>
          <w:marTop w:val="0"/>
          <w:marBottom w:val="0"/>
          <w:divBdr>
            <w:top w:val="none" w:sz="0" w:space="0" w:color="auto"/>
            <w:left w:val="none" w:sz="0" w:space="0" w:color="auto"/>
            <w:bottom w:val="none" w:sz="0" w:space="0" w:color="auto"/>
            <w:right w:val="none" w:sz="0" w:space="0" w:color="auto"/>
          </w:divBdr>
        </w:div>
        <w:div w:id="1743747712">
          <w:marLeft w:val="0"/>
          <w:marRight w:val="0"/>
          <w:marTop w:val="0"/>
          <w:marBottom w:val="0"/>
          <w:divBdr>
            <w:top w:val="none" w:sz="0" w:space="0" w:color="auto"/>
            <w:left w:val="none" w:sz="0" w:space="0" w:color="auto"/>
            <w:bottom w:val="none" w:sz="0" w:space="0" w:color="auto"/>
            <w:right w:val="none" w:sz="0" w:space="0" w:color="auto"/>
          </w:divBdr>
        </w:div>
        <w:div w:id="617685581">
          <w:marLeft w:val="0"/>
          <w:marRight w:val="0"/>
          <w:marTop w:val="0"/>
          <w:marBottom w:val="0"/>
          <w:divBdr>
            <w:top w:val="none" w:sz="0" w:space="0" w:color="auto"/>
            <w:left w:val="none" w:sz="0" w:space="0" w:color="auto"/>
            <w:bottom w:val="none" w:sz="0" w:space="0" w:color="auto"/>
            <w:right w:val="none" w:sz="0" w:space="0" w:color="auto"/>
          </w:divBdr>
        </w:div>
      </w:divsChild>
    </w:div>
    <w:div w:id="1811170082">
      <w:bodyDiv w:val="1"/>
      <w:marLeft w:val="0"/>
      <w:marRight w:val="0"/>
      <w:marTop w:val="0"/>
      <w:marBottom w:val="0"/>
      <w:divBdr>
        <w:top w:val="none" w:sz="0" w:space="0" w:color="auto"/>
        <w:left w:val="none" w:sz="0" w:space="0" w:color="auto"/>
        <w:bottom w:val="none" w:sz="0" w:space="0" w:color="auto"/>
        <w:right w:val="none" w:sz="0" w:space="0" w:color="auto"/>
      </w:divBdr>
      <w:divsChild>
        <w:div w:id="1101299650">
          <w:marLeft w:val="0"/>
          <w:marRight w:val="0"/>
          <w:marTop w:val="0"/>
          <w:marBottom w:val="0"/>
          <w:divBdr>
            <w:top w:val="none" w:sz="0" w:space="0" w:color="auto"/>
            <w:left w:val="none" w:sz="0" w:space="0" w:color="auto"/>
            <w:bottom w:val="none" w:sz="0" w:space="0" w:color="auto"/>
            <w:right w:val="none" w:sz="0" w:space="0" w:color="auto"/>
          </w:divBdr>
          <w:divsChild>
            <w:div w:id="445665027">
              <w:marLeft w:val="0"/>
              <w:marRight w:val="0"/>
              <w:marTop w:val="0"/>
              <w:marBottom w:val="0"/>
              <w:divBdr>
                <w:top w:val="none" w:sz="0" w:space="0" w:color="auto"/>
                <w:left w:val="none" w:sz="0" w:space="0" w:color="auto"/>
                <w:bottom w:val="none" w:sz="0" w:space="0" w:color="auto"/>
                <w:right w:val="none" w:sz="0" w:space="0" w:color="auto"/>
              </w:divBdr>
              <w:divsChild>
                <w:div w:id="17897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726">
      <w:bodyDiv w:val="1"/>
      <w:marLeft w:val="0"/>
      <w:marRight w:val="0"/>
      <w:marTop w:val="0"/>
      <w:marBottom w:val="0"/>
      <w:divBdr>
        <w:top w:val="none" w:sz="0" w:space="0" w:color="auto"/>
        <w:left w:val="none" w:sz="0" w:space="0" w:color="auto"/>
        <w:bottom w:val="none" w:sz="0" w:space="0" w:color="auto"/>
        <w:right w:val="none" w:sz="0" w:space="0" w:color="auto"/>
      </w:divBdr>
      <w:divsChild>
        <w:div w:id="1633094620">
          <w:marLeft w:val="0"/>
          <w:marRight w:val="0"/>
          <w:marTop w:val="0"/>
          <w:marBottom w:val="0"/>
          <w:divBdr>
            <w:top w:val="none" w:sz="0" w:space="0" w:color="auto"/>
            <w:left w:val="none" w:sz="0" w:space="0" w:color="auto"/>
            <w:bottom w:val="none" w:sz="0" w:space="0" w:color="auto"/>
            <w:right w:val="none" w:sz="0" w:space="0" w:color="auto"/>
          </w:divBdr>
          <w:divsChild>
            <w:div w:id="59910082">
              <w:marLeft w:val="0"/>
              <w:marRight w:val="0"/>
              <w:marTop w:val="0"/>
              <w:marBottom w:val="0"/>
              <w:divBdr>
                <w:top w:val="none" w:sz="0" w:space="0" w:color="auto"/>
                <w:left w:val="none" w:sz="0" w:space="0" w:color="auto"/>
                <w:bottom w:val="none" w:sz="0" w:space="0" w:color="auto"/>
                <w:right w:val="none" w:sz="0" w:space="0" w:color="auto"/>
              </w:divBdr>
              <w:divsChild>
                <w:div w:id="19527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6188">
      <w:bodyDiv w:val="1"/>
      <w:marLeft w:val="0"/>
      <w:marRight w:val="0"/>
      <w:marTop w:val="0"/>
      <w:marBottom w:val="0"/>
      <w:divBdr>
        <w:top w:val="none" w:sz="0" w:space="0" w:color="auto"/>
        <w:left w:val="none" w:sz="0" w:space="0" w:color="auto"/>
        <w:bottom w:val="none" w:sz="0" w:space="0" w:color="auto"/>
        <w:right w:val="none" w:sz="0" w:space="0" w:color="auto"/>
      </w:divBdr>
    </w:div>
    <w:div w:id="1906598546">
      <w:bodyDiv w:val="1"/>
      <w:marLeft w:val="0"/>
      <w:marRight w:val="0"/>
      <w:marTop w:val="0"/>
      <w:marBottom w:val="0"/>
      <w:divBdr>
        <w:top w:val="none" w:sz="0" w:space="0" w:color="auto"/>
        <w:left w:val="none" w:sz="0" w:space="0" w:color="auto"/>
        <w:bottom w:val="none" w:sz="0" w:space="0" w:color="auto"/>
        <w:right w:val="none" w:sz="0" w:space="0" w:color="auto"/>
      </w:divBdr>
      <w:divsChild>
        <w:div w:id="725493719">
          <w:marLeft w:val="105"/>
          <w:marRight w:val="105"/>
          <w:marTop w:val="75"/>
          <w:marBottom w:val="105"/>
          <w:divBdr>
            <w:top w:val="none" w:sz="0" w:space="0" w:color="auto"/>
            <w:left w:val="none" w:sz="0" w:space="0" w:color="auto"/>
            <w:bottom w:val="none" w:sz="0" w:space="0" w:color="auto"/>
            <w:right w:val="none" w:sz="0" w:space="0" w:color="auto"/>
          </w:divBdr>
          <w:divsChild>
            <w:div w:id="697514126">
              <w:marLeft w:val="0"/>
              <w:marRight w:val="0"/>
              <w:marTop w:val="0"/>
              <w:marBottom w:val="0"/>
              <w:divBdr>
                <w:top w:val="none" w:sz="0" w:space="0" w:color="auto"/>
                <w:left w:val="none" w:sz="0" w:space="0" w:color="auto"/>
                <w:bottom w:val="none" w:sz="0" w:space="0" w:color="auto"/>
                <w:right w:val="none" w:sz="0" w:space="0" w:color="auto"/>
              </w:divBdr>
              <w:divsChild>
                <w:div w:id="4830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7016">
      <w:bodyDiv w:val="1"/>
      <w:marLeft w:val="0"/>
      <w:marRight w:val="0"/>
      <w:marTop w:val="0"/>
      <w:marBottom w:val="0"/>
      <w:divBdr>
        <w:top w:val="none" w:sz="0" w:space="0" w:color="auto"/>
        <w:left w:val="none" w:sz="0" w:space="0" w:color="auto"/>
        <w:bottom w:val="none" w:sz="0" w:space="0" w:color="auto"/>
        <w:right w:val="none" w:sz="0" w:space="0" w:color="auto"/>
      </w:divBdr>
      <w:divsChild>
        <w:div w:id="397942422">
          <w:marLeft w:val="0"/>
          <w:marRight w:val="0"/>
          <w:marTop w:val="0"/>
          <w:marBottom w:val="0"/>
          <w:divBdr>
            <w:top w:val="none" w:sz="0" w:space="0" w:color="auto"/>
            <w:left w:val="none" w:sz="0" w:space="0" w:color="auto"/>
            <w:bottom w:val="none" w:sz="0" w:space="0" w:color="auto"/>
            <w:right w:val="none" w:sz="0" w:space="0" w:color="auto"/>
          </w:divBdr>
          <w:divsChild>
            <w:div w:id="309209608">
              <w:marLeft w:val="0"/>
              <w:marRight w:val="0"/>
              <w:marTop w:val="0"/>
              <w:marBottom w:val="0"/>
              <w:divBdr>
                <w:top w:val="none" w:sz="0" w:space="0" w:color="auto"/>
                <w:left w:val="none" w:sz="0" w:space="0" w:color="auto"/>
                <w:bottom w:val="none" w:sz="0" w:space="0" w:color="auto"/>
                <w:right w:val="none" w:sz="0" w:space="0" w:color="auto"/>
              </w:divBdr>
              <w:divsChild>
                <w:div w:id="10220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4614">
      <w:bodyDiv w:val="1"/>
      <w:marLeft w:val="0"/>
      <w:marRight w:val="0"/>
      <w:marTop w:val="0"/>
      <w:marBottom w:val="0"/>
      <w:divBdr>
        <w:top w:val="none" w:sz="0" w:space="0" w:color="auto"/>
        <w:left w:val="none" w:sz="0" w:space="0" w:color="auto"/>
        <w:bottom w:val="none" w:sz="0" w:space="0" w:color="auto"/>
        <w:right w:val="none" w:sz="0" w:space="0" w:color="auto"/>
      </w:divBdr>
      <w:divsChild>
        <w:div w:id="867916442">
          <w:marLeft w:val="0"/>
          <w:marRight w:val="0"/>
          <w:marTop w:val="0"/>
          <w:marBottom w:val="0"/>
          <w:divBdr>
            <w:top w:val="none" w:sz="0" w:space="0" w:color="auto"/>
            <w:left w:val="none" w:sz="0" w:space="0" w:color="auto"/>
            <w:bottom w:val="none" w:sz="0" w:space="0" w:color="auto"/>
            <w:right w:val="none" w:sz="0" w:space="0" w:color="auto"/>
          </w:divBdr>
          <w:divsChild>
            <w:div w:id="188379218">
              <w:marLeft w:val="0"/>
              <w:marRight w:val="0"/>
              <w:marTop w:val="0"/>
              <w:marBottom w:val="0"/>
              <w:divBdr>
                <w:top w:val="none" w:sz="0" w:space="0" w:color="auto"/>
                <w:left w:val="none" w:sz="0" w:space="0" w:color="auto"/>
                <w:bottom w:val="none" w:sz="0" w:space="0" w:color="auto"/>
                <w:right w:val="none" w:sz="0" w:space="0" w:color="auto"/>
              </w:divBdr>
              <w:divsChild>
                <w:div w:id="12576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72680">
      <w:bodyDiv w:val="1"/>
      <w:marLeft w:val="0"/>
      <w:marRight w:val="0"/>
      <w:marTop w:val="0"/>
      <w:marBottom w:val="0"/>
      <w:divBdr>
        <w:top w:val="none" w:sz="0" w:space="0" w:color="auto"/>
        <w:left w:val="none" w:sz="0" w:space="0" w:color="auto"/>
        <w:bottom w:val="none" w:sz="0" w:space="0" w:color="auto"/>
        <w:right w:val="none" w:sz="0" w:space="0" w:color="auto"/>
      </w:divBdr>
    </w:div>
    <w:div w:id="2106539372">
      <w:bodyDiv w:val="1"/>
      <w:marLeft w:val="0"/>
      <w:marRight w:val="0"/>
      <w:marTop w:val="0"/>
      <w:marBottom w:val="0"/>
      <w:divBdr>
        <w:top w:val="none" w:sz="0" w:space="0" w:color="auto"/>
        <w:left w:val="none" w:sz="0" w:space="0" w:color="auto"/>
        <w:bottom w:val="none" w:sz="0" w:space="0" w:color="auto"/>
        <w:right w:val="none" w:sz="0" w:space="0" w:color="auto"/>
      </w:divBdr>
      <w:divsChild>
        <w:div w:id="1946764800">
          <w:marLeft w:val="0"/>
          <w:marRight w:val="0"/>
          <w:marTop w:val="0"/>
          <w:marBottom w:val="0"/>
          <w:divBdr>
            <w:top w:val="none" w:sz="0" w:space="0" w:color="auto"/>
            <w:left w:val="none" w:sz="0" w:space="0" w:color="auto"/>
            <w:bottom w:val="none" w:sz="0" w:space="0" w:color="auto"/>
            <w:right w:val="none" w:sz="0" w:space="0" w:color="auto"/>
          </w:divBdr>
          <w:divsChild>
            <w:div w:id="2126191547">
              <w:marLeft w:val="0"/>
              <w:marRight w:val="0"/>
              <w:marTop w:val="0"/>
              <w:marBottom w:val="0"/>
              <w:divBdr>
                <w:top w:val="none" w:sz="0" w:space="0" w:color="auto"/>
                <w:left w:val="none" w:sz="0" w:space="0" w:color="auto"/>
                <w:bottom w:val="none" w:sz="0" w:space="0" w:color="auto"/>
                <w:right w:val="none" w:sz="0" w:space="0" w:color="auto"/>
              </w:divBdr>
              <w:divsChild>
                <w:div w:id="388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gnite.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edm.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iwm.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owm.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80/09654313.2016.1170108" TargetMode="External"/><Relationship Id="rId7" Type="http://schemas.openxmlformats.org/officeDocument/2006/relationships/hyperlink" Target="http://dx.doi.org/10.1080/09654313.2016.1156058" TargetMode="External"/><Relationship Id="rId2" Type="http://schemas.openxmlformats.org/officeDocument/2006/relationships/hyperlink" Target="http://www.tandfonline.com/toc/ceps20/current" TargetMode="External"/><Relationship Id="rId1" Type="http://schemas.openxmlformats.org/officeDocument/2006/relationships/hyperlink" Target="https://www.ksh.hu/docs/eng/xftp/idoszaki/gdpter/egdpter11.pdf" TargetMode="External"/><Relationship Id="rId6" Type="http://schemas.openxmlformats.org/officeDocument/2006/relationships/hyperlink" Target="http://dx.doi.org/10.1080/09654313.2016.1170108" TargetMode="External"/><Relationship Id="rId5" Type="http://schemas.openxmlformats.org/officeDocument/2006/relationships/hyperlink" Target="http://www.wire2014.eu/03-06-14-measuring-regional-innovation-hugo-hollanders-streses-the-role-of-benchmarking-and-indicators-in-designing-and-monitoring-efficient-regional-policies/" TargetMode="External"/><Relationship Id="rId4" Type="http://schemas.openxmlformats.org/officeDocument/2006/relationships/hyperlink" Target="https://www.innovationpolicyplatform.org/content/patent-data-performance-firms-regions-and-countries?topic-filters=1224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terregeurope.eu/bridg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altomuoto">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altomuoto">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altomuoto">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5754-7CD6-9F40-AF59-E8255B81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11548</Words>
  <Characters>65825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Kainuun Etu Oy</Company>
  <LinksUpToDate>false</LinksUpToDate>
  <CharactersWithSpaces>77219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Ninetta Chaniotou</dc:creator>
  <cp:lastModifiedBy>Ninetta Chaniotou</cp:lastModifiedBy>
  <cp:revision>2</cp:revision>
  <cp:lastPrinted>2018-01-03T07:26:00Z</cp:lastPrinted>
  <dcterms:created xsi:type="dcterms:W3CDTF">2018-10-06T09:47:00Z</dcterms:created>
  <dcterms:modified xsi:type="dcterms:W3CDTF">2018-10-06T09:47:00Z</dcterms:modified>
</cp:coreProperties>
</file>