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70EFF" w14:textId="26B82583" w:rsidR="00817E9E" w:rsidRPr="00E14342" w:rsidRDefault="00817E9E" w:rsidP="000F381C">
      <w:pPr>
        <w:rPr>
          <w:rFonts w:eastAsia="Batang" w:cstheme="minorHAnsi"/>
          <w:color w:val="0070C0"/>
          <w:sz w:val="32"/>
          <w:szCs w:val="32"/>
        </w:rPr>
      </w:pPr>
      <w:r w:rsidRPr="00E14342">
        <w:rPr>
          <w:noProof/>
          <w:lang w:eastAsia="en-GB"/>
        </w:rPr>
        <w:drawing>
          <wp:inline distT="0" distB="0" distL="0" distR="0" wp14:anchorId="19EE4C84" wp14:editId="6CDD4712">
            <wp:extent cx="2710996" cy="1351280"/>
            <wp:effectExtent l="0" t="0" r="6985" b="0"/>
            <wp:docPr id="2" name="Εικόνα 2" descr="BRID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3599" cy="1352578"/>
                    </a:xfrm>
                    <a:prstGeom prst="rect">
                      <a:avLst/>
                    </a:prstGeom>
                    <a:noFill/>
                    <a:ln>
                      <a:noFill/>
                    </a:ln>
                  </pic:spPr>
                </pic:pic>
              </a:graphicData>
            </a:graphic>
          </wp:inline>
        </w:drawing>
      </w:r>
    </w:p>
    <w:p w14:paraId="10170E77" w14:textId="77777777" w:rsidR="00817E9E" w:rsidRPr="00E14342" w:rsidRDefault="00817E9E" w:rsidP="000F381C"/>
    <w:p w14:paraId="5F92A171" w14:textId="77777777" w:rsidR="00817E9E" w:rsidRPr="00E14342" w:rsidRDefault="00817E9E" w:rsidP="000F381C"/>
    <w:p w14:paraId="174842B5" w14:textId="77777777" w:rsidR="00817E9E" w:rsidRPr="00E14342" w:rsidRDefault="00817E9E" w:rsidP="003676F1">
      <w:pPr>
        <w:pStyle w:val="Title"/>
      </w:pPr>
    </w:p>
    <w:p w14:paraId="4A33E309" w14:textId="3E4E4789" w:rsidR="00817E9E" w:rsidRPr="00E14342" w:rsidRDefault="00817E9E" w:rsidP="003676F1">
      <w:pPr>
        <w:pStyle w:val="Title"/>
      </w:pPr>
      <w:r w:rsidRPr="00E14342">
        <w:t xml:space="preserve">BRIDGES project good practices capitalisation report </w:t>
      </w:r>
      <w:r w:rsidR="00E97C5F" w:rsidRPr="00E14342">
        <w:t>&amp; good practice transfer</w:t>
      </w:r>
    </w:p>
    <w:p w14:paraId="77149D61" w14:textId="77777777" w:rsidR="00817E9E" w:rsidRPr="00E14342" w:rsidRDefault="00817E9E" w:rsidP="000F381C"/>
    <w:p w14:paraId="6CE680C1" w14:textId="77777777" w:rsidR="00817E9E" w:rsidRPr="00E14342" w:rsidRDefault="00817E9E" w:rsidP="000F381C"/>
    <w:p w14:paraId="61E66951" w14:textId="77777777" w:rsidR="00817E9E" w:rsidRPr="00E14342" w:rsidRDefault="00817E9E" w:rsidP="000F381C"/>
    <w:p w14:paraId="5F633658" w14:textId="77777777" w:rsidR="00817E9E" w:rsidRPr="00E14342" w:rsidRDefault="00817E9E" w:rsidP="000F381C"/>
    <w:p w14:paraId="7C28B9B6" w14:textId="77777777" w:rsidR="00817E9E" w:rsidRPr="00E14342" w:rsidRDefault="00817E9E" w:rsidP="000F381C"/>
    <w:p w14:paraId="416982F6" w14:textId="77777777" w:rsidR="00817E9E" w:rsidRPr="00E14342" w:rsidRDefault="00817E9E" w:rsidP="000F381C"/>
    <w:p w14:paraId="07D1FD59" w14:textId="77777777" w:rsidR="00817E9E" w:rsidRPr="00E14342" w:rsidRDefault="00817E9E" w:rsidP="000F381C"/>
    <w:p w14:paraId="1DF0FAFA" w14:textId="77777777" w:rsidR="00817E9E" w:rsidRPr="00E14342" w:rsidRDefault="00817E9E" w:rsidP="000F381C"/>
    <w:p w14:paraId="40D912C6" w14:textId="77777777" w:rsidR="00817E9E" w:rsidRPr="00E14342" w:rsidRDefault="00817E9E" w:rsidP="000F381C"/>
    <w:p w14:paraId="7B99AF16" w14:textId="77777777" w:rsidR="00F53DA7" w:rsidRPr="00E14342" w:rsidRDefault="00F53DA7" w:rsidP="000F381C"/>
    <w:p w14:paraId="7FFC6F0D" w14:textId="77777777" w:rsidR="0085248A" w:rsidRPr="00E14342" w:rsidRDefault="0085248A" w:rsidP="000F381C"/>
    <w:p w14:paraId="7F9785E9" w14:textId="5D328742" w:rsidR="00817E9E" w:rsidRPr="00E14342" w:rsidRDefault="00817E9E" w:rsidP="00F53DA7">
      <w:pPr>
        <w:ind w:left="1588" w:firstLine="1020"/>
      </w:pPr>
      <w:r w:rsidRPr="00E14342">
        <w:t>BRIDGES project 2</w:t>
      </w:r>
      <w:r w:rsidRPr="00E14342">
        <w:rPr>
          <w:vertAlign w:val="superscript"/>
        </w:rPr>
        <w:t>nd</w:t>
      </w:r>
      <w:r w:rsidRPr="00E14342">
        <w:t xml:space="preserve"> </w:t>
      </w:r>
      <w:r w:rsidR="00E97C5F" w:rsidRPr="00E14342">
        <w:t>– 4</w:t>
      </w:r>
      <w:r w:rsidR="00E97C5F" w:rsidRPr="00E14342">
        <w:rPr>
          <w:vertAlign w:val="superscript"/>
        </w:rPr>
        <w:t>th</w:t>
      </w:r>
      <w:r w:rsidR="00E97C5F" w:rsidRPr="00E14342">
        <w:t xml:space="preserve"> </w:t>
      </w:r>
      <w:r w:rsidRPr="00E14342">
        <w:t>semester deliverable.</w:t>
      </w:r>
    </w:p>
    <w:p w14:paraId="5C1B3B11" w14:textId="4A2C75A0" w:rsidR="00D506AF" w:rsidRDefault="00D506AF" w:rsidP="00F53DA7">
      <w:pPr>
        <w:ind w:left="2892" w:firstLine="1020"/>
      </w:pPr>
      <w:r w:rsidRPr="00E14342">
        <w:t>December 2017</w:t>
      </w:r>
    </w:p>
    <w:p w14:paraId="26A94C93" w14:textId="13A0939D" w:rsidR="00560FE7" w:rsidRPr="00E14342" w:rsidRDefault="00F53DA7" w:rsidP="00F53DA7">
      <w:pPr>
        <w:ind w:left="1588" w:firstLine="1020"/>
      </w:pPr>
      <w:r>
        <w:t xml:space="preserve">                  </w:t>
      </w:r>
      <w:r w:rsidR="00560FE7">
        <w:t>Update October</w:t>
      </w:r>
      <w:r w:rsidR="0066513B">
        <w:t xml:space="preserve"> 4</w:t>
      </w:r>
      <w:r w:rsidR="0066513B" w:rsidRPr="0066513B">
        <w:rPr>
          <w:vertAlign w:val="superscript"/>
        </w:rPr>
        <w:t>th</w:t>
      </w:r>
      <w:r w:rsidR="0066513B">
        <w:t xml:space="preserve"> </w:t>
      </w:r>
      <w:r w:rsidR="00560FE7">
        <w:t xml:space="preserve"> 2018</w:t>
      </w:r>
    </w:p>
    <w:p w14:paraId="223B91E1" w14:textId="77777777" w:rsidR="00686922" w:rsidRDefault="00686922" w:rsidP="003676F1">
      <w:pPr>
        <w:pStyle w:val="Title"/>
      </w:pPr>
      <w:bookmarkStart w:id="0" w:name="_Toc368210669"/>
      <w:bookmarkStart w:id="1" w:name="_Toc502477958"/>
      <w:bookmarkStart w:id="2" w:name="_Toc526457125"/>
    </w:p>
    <w:p w14:paraId="72F93F71" w14:textId="6BE09831" w:rsidR="00817E9E" w:rsidRPr="00E14342" w:rsidRDefault="00F53DA7" w:rsidP="003676F1">
      <w:pPr>
        <w:pStyle w:val="Title"/>
      </w:pPr>
      <w:r>
        <w:t>T</w:t>
      </w:r>
      <w:r w:rsidR="00686922">
        <w:t>a</w:t>
      </w:r>
      <w:r w:rsidR="00817E9E" w:rsidRPr="00E14342">
        <w:t>ble of contents</w:t>
      </w:r>
      <w:bookmarkEnd w:id="0"/>
      <w:bookmarkEnd w:id="1"/>
      <w:bookmarkEnd w:id="2"/>
    </w:p>
    <w:p w14:paraId="7BECDA79" w14:textId="3866687C" w:rsidR="004C67AC" w:rsidRPr="004C67AC" w:rsidRDefault="004C67AC">
      <w:pPr>
        <w:pStyle w:val="TOC2"/>
        <w:rPr>
          <w:rFonts w:asciiTheme="minorHAnsi" w:eastAsiaTheme="minorEastAsia" w:hAnsiTheme="minorHAnsi" w:cstheme="minorBidi"/>
          <w:b/>
          <w:noProof/>
          <w:sz w:val="24"/>
          <w:szCs w:val="24"/>
          <w:lang w:val="fi-FI"/>
        </w:rPr>
      </w:pPr>
      <w:r>
        <w:fldChar w:fldCharType="begin"/>
      </w:r>
      <w:r>
        <w:instrText xml:space="preserve"> TOC \o "1-2" \h \z \u </w:instrText>
      </w:r>
      <w:r>
        <w:fldChar w:fldCharType="separate"/>
      </w:r>
      <w:hyperlink w:anchor="_Toc526586508" w:history="1">
        <w:r w:rsidRPr="004C67AC">
          <w:rPr>
            <w:rStyle w:val="Hyperlink"/>
            <w:b/>
            <w:noProof/>
          </w:rPr>
          <w:t>Contributions</w:t>
        </w:r>
        <w:r w:rsidRPr="004C67AC">
          <w:rPr>
            <w:b/>
            <w:noProof/>
            <w:webHidden/>
          </w:rPr>
          <w:tab/>
        </w:r>
        <w:r w:rsidRPr="004C67AC">
          <w:rPr>
            <w:b/>
            <w:noProof/>
            <w:webHidden/>
          </w:rPr>
          <w:fldChar w:fldCharType="begin"/>
        </w:r>
        <w:r w:rsidRPr="004C67AC">
          <w:rPr>
            <w:b/>
            <w:noProof/>
            <w:webHidden/>
          </w:rPr>
          <w:instrText xml:space="preserve"> PAGEREF _Toc526586508 \h </w:instrText>
        </w:r>
        <w:r w:rsidRPr="004C67AC">
          <w:rPr>
            <w:b/>
            <w:noProof/>
            <w:webHidden/>
          </w:rPr>
        </w:r>
        <w:r w:rsidRPr="004C67AC">
          <w:rPr>
            <w:b/>
            <w:noProof/>
            <w:webHidden/>
          </w:rPr>
          <w:fldChar w:fldCharType="separate"/>
        </w:r>
        <w:r w:rsidRPr="004C67AC">
          <w:rPr>
            <w:b/>
            <w:noProof/>
            <w:webHidden/>
          </w:rPr>
          <w:t>4</w:t>
        </w:r>
        <w:r w:rsidRPr="004C67AC">
          <w:rPr>
            <w:b/>
            <w:noProof/>
            <w:webHidden/>
          </w:rPr>
          <w:fldChar w:fldCharType="end"/>
        </w:r>
      </w:hyperlink>
    </w:p>
    <w:p w14:paraId="48864DB7" w14:textId="78066673" w:rsidR="004C67AC" w:rsidRDefault="004C67AC">
      <w:pPr>
        <w:pStyle w:val="TOC1"/>
        <w:rPr>
          <w:rFonts w:asciiTheme="minorHAnsi" w:eastAsiaTheme="minorEastAsia" w:hAnsiTheme="minorHAnsi" w:cstheme="minorBidi"/>
          <w:b w:val="0"/>
          <w:color w:val="auto"/>
          <w:sz w:val="24"/>
          <w:szCs w:val="24"/>
          <w:lang w:val="fi-FI"/>
        </w:rPr>
      </w:pPr>
      <w:hyperlink w:anchor="_Toc526586509" w:history="1">
        <w:r w:rsidRPr="00F86A64">
          <w:rPr>
            <w:rStyle w:val="Hyperlink"/>
            <w:rFonts w:ascii="Tahoma Bold" w:hAnsi="Tahoma Bold"/>
          </w:rPr>
          <w:t>1.</w:t>
        </w:r>
        <w:r>
          <w:rPr>
            <w:rFonts w:asciiTheme="minorHAnsi" w:eastAsiaTheme="minorEastAsia" w:hAnsiTheme="minorHAnsi" w:cstheme="minorBidi"/>
            <w:b w:val="0"/>
            <w:color w:val="auto"/>
            <w:sz w:val="24"/>
            <w:szCs w:val="24"/>
            <w:lang w:val="fi-FI"/>
          </w:rPr>
          <w:tab/>
        </w:r>
        <w:r w:rsidRPr="00F86A64">
          <w:rPr>
            <w:rStyle w:val="Hyperlink"/>
          </w:rPr>
          <w:t>Overview</w:t>
        </w:r>
        <w:r>
          <w:rPr>
            <w:webHidden/>
          </w:rPr>
          <w:tab/>
        </w:r>
        <w:r>
          <w:rPr>
            <w:webHidden/>
          </w:rPr>
          <w:fldChar w:fldCharType="begin"/>
        </w:r>
        <w:r>
          <w:rPr>
            <w:webHidden/>
          </w:rPr>
          <w:instrText xml:space="preserve"> PAGEREF _Toc526586509 \h </w:instrText>
        </w:r>
        <w:r>
          <w:rPr>
            <w:webHidden/>
          </w:rPr>
        </w:r>
        <w:r>
          <w:rPr>
            <w:webHidden/>
          </w:rPr>
          <w:fldChar w:fldCharType="separate"/>
        </w:r>
        <w:r>
          <w:rPr>
            <w:webHidden/>
          </w:rPr>
          <w:t>5</w:t>
        </w:r>
        <w:r>
          <w:rPr>
            <w:webHidden/>
          </w:rPr>
          <w:fldChar w:fldCharType="end"/>
        </w:r>
      </w:hyperlink>
    </w:p>
    <w:p w14:paraId="636045C3" w14:textId="18ECD50B" w:rsidR="004C67AC" w:rsidRDefault="004C67AC">
      <w:pPr>
        <w:pStyle w:val="TOC1"/>
        <w:rPr>
          <w:rFonts w:asciiTheme="minorHAnsi" w:eastAsiaTheme="minorEastAsia" w:hAnsiTheme="minorHAnsi" w:cstheme="minorBidi"/>
          <w:b w:val="0"/>
          <w:color w:val="auto"/>
          <w:sz w:val="24"/>
          <w:szCs w:val="24"/>
          <w:lang w:val="fi-FI"/>
        </w:rPr>
      </w:pPr>
      <w:hyperlink w:anchor="_Toc526586510" w:history="1">
        <w:r w:rsidRPr="00F86A64">
          <w:rPr>
            <w:rStyle w:val="Hyperlink"/>
            <w:rFonts w:ascii="Tahoma Bold" w:hAnsi="Tahoma Bold"/>
          </w:rPr>
          <w:t>2.</w:t>
        </w:r>
        <w:r>
          <w:rPr>
            <w:rFonts w:asciiTheme="minorHAnsi" w:eastAsiaTheme="minorEastAsia" w:hAnsiTheme="minorHAnsi" w:cstheme="minorBidi"/>
            <w:b w:val="0"/>
            <w:color w:val="auto"/>
            <w:sz w:val="24"/>
            <w:szCs w:val="24"/>
            <w:lang w:val="fi-FI"/>
          </w:rPr>
          <w:tab/>
        </w:r>
        <w:r w:rsidRPr="00F86A64">
          <w:rPr>
            <w:rStyle w:val="Hyperlink"/>
          </w:rPr>
          <w:t>Thematic discussion</w:t>
        </w:r>
        <w:r>
          <w:rPr>
            <w:webHidden/>
          </w:rPr>
          <w:tab/>
        </w:r>
        <w:r>
          <w:rPr>
            <w:webHidden/>
          </w:rPr>
          <w:fldChar w:fldCharType="begin"/>
        </w:r>
        <w:r>
          <w:rPr>
            <w:webHidden/>
          </w:rPr>
          <w:instrText xml:space="preserve"> PAGEREF _Toc526586510 \h </w:instrText>
        </w:r>
        <w:r>
          <w:rPr>
            <w:webHidden/>
          </w:rPr>
        </w:r>
        <w:r>
          <w:rPr>
            <w:webHidden/>
          </w:rPr>
          <w:fldChar w:fldCharType="separate"/>
        </w:r>
        <w:r>
          <w:rPr>
            <w:webHidden/>
          </w:rPr>
          <w:t>6</w:t>
        </w:r>
        <w:r>
          <w:rPr>
            <w:webHidden/>
          </w:rPr>
          <w:fldChar w:fldCharType="end"/>
        </w:r>
      </w:hyperlink>
    </w:p>
    <w:p w14:paraId="7F613356" w14:textId="1FAD2AC7" w:rsidR="004C67AC" w:rsidRDefault="004C67AC">
      <w:pPr>
        <w:pStyle w:val="TOC2"/>
        <w:rPr>
          <w:rFonts w:asciiTheme="minorHAnsi" w:eastAsiaTheme="minorEastAsia" w:hAnsiTheme="minorHAnsi" w:cstheme="minorBidi"/>
          <w:noProof/>
          <w:sz w:val="24"/>
          <w:szCs w:val="24"/>
          <w:lang w:val="fi-FI"/>
        </w:rPr>
      </w:pPr>
      <w:hyperlink w:anchor="_Toc526586511" w:history="1">
        <w:r w:rsidRPr="00F86A64">
          <w:rPr>
            <w:rStyle w:val="Hyperlink"/>
            <w:noProof/>
          </w:rPr>
          <w:t>GP theme 1 Industry-led centres of competence as RIS3 innovation infrastructures</w:t>
        </w:r>
        <w:r>
          <w:rPr>
            <w:noProof/>
            <w:webHidden/>
          </w:rPr>
          <w:tab/>
        </w:r>
        <w:r>
          <w:rPr>
            <w:noProof/>
            <w:webHidden/>
          </w:rPr>
          <w:fldChar w:fldCharType="begin"/>
        </w:r>
        <w:r>
          <w:rPr>
            <w:noProof/>
            <w:webHidden/>
          </w:rPr>
          <w:instrText xml:space="preserve"> PAGEREF _Toc526586511 \h </w:instrText>
        </w:r>
        <w:r>
          <w:rPr>
            <w:noProof/>
            <w:webHidden/>
          </w:rPr>
        </w:r>
        <w:r>
          <w:rPr>
            <w:noProof/>
            <w:webHidden/>
          </w:rPr>
          <w:fldChar w:fldCharType="separate"/>
        </w:r>
        <w:r>
          <w:rPr>
            <w:noProof/>
            <w:webHidden/>
          </w:rPr>
          <w:t>6</w:t>
        </w:r>
        <w:r>
          <w:rPr>
            <w:noProof/>
            <w:webHidden/>
          </w:rPr>
          <w:fldChar w:fldCharType="end"/>
        </w:r>
      </w:hyperlink>
    </w:p>
    <w:p w14:paraId="4EFB60DA" w14:textId="44DD3FFD" w:rsidR="004C67AC" w:rsidRDefault="004C67AC">
      <w:pPr>
        <w:pStyle w:val="TOC2"/>
        <w:rPr>
          <w:rFonts w:asciiTheme="minorHAnsi" w:eastAsiaTheme="minorEastAsia" w:hAnsiTheme="minorHAnsi" w:cstheme="minorBidi"/>
          <w:noProof/>
          <w:sz w:val="24"/>
          <w:szCs w:val="24"/>
          <w:lang w:val="fi-FI"/>
        </w:rPr>
      </w:pPr>
      <w:hyperlink w:anchor="_Toc526586512" w:history="1">
        <w:r w:rsidRPr="00F86A64">
          <w:rPr>
            <w:rStyle w:val="Hyperlink"/>
            <w:noProof/>
          </w:rPr>
          <w:t>Good practice theme 2 Research to business innovation partnerships</w:t>
        </w:r>
        <w:r>
          <w:rPr>
            <w:noProof/>
            <w:webHidden/>
          </w:rPr>
          <w:tab/>
        </w:r>
        <w:r>
          <w:rPr>
            <w:noProof/>
            <w:webHidden/>
          </w:rPr>
          <w:fldChar w:fldCharType="begin"/>
        </w:r>
        <w:r>
          <w:rPr>
            <w:noProof/>
            <w:webHidden/>
          </w:rPr>
          <w:instrText xml:space="preserve"> PAGEREF _Toc526586512 \h </w:instrText>
        </w:r>
        <w:r>
          <w:rPr>
            <w:noProof/>
            <w:webHidden/>
          </w:rPr>
        </w:r>
        <w:r>
          <w:rPr>
            <w:noProof/>
            <w:webHidden/>
          </w:rPr>
          <w:fldChar w:fldCharType="separate"/>
        </w:r>
        <w:r>
          <w:rPr>
            <w:noProof/>
            <w:webHidden/>
          </w:rPr>
          <w:t>11</w:t>
        </w:r>
        <w:r>
          <w:rPr>
            <w:noProof/>
            <w:webHidden/>
          </w:rPr>
          <w:fldChar w:fldCharType="end"/>
        </w:r>
      </w:hyperlink>
    </w:p>
    <w:p w14:paraId="1CBF79B8" w14:textId="06E9AAB1" w:rsidR="004C67AC" w:rsidRDefault="004C67AC">
      <w:pPr>
        <w:pStyle w:val="TOC2"/>
        <w:rPr>
          <w:rFonts w:asciiTheme="minorHAnsi" w:eastAsiaTheme="minorEastAsia" w:hAnsiTheme="minorHAnsi" w:cstheme="minorBidi"/>
          <w:noProof/>
          <w:sz w:val="24"/>
          <w:szCs w:val="24"/>
          <w:lang w:val="fi-FI"/>
        </w:rPr>
      </w:pPr>
      <w:hyperlink w:anchor="_Toc526586513" w:history="1">
        <w:r w:rsidRPr="00F86A64">
          <w:rPr>
            <w:rStyle w:val="Hyperlink"/>
            <w:noProof/>
          </w:rPr>
          <w:t>Good practice theme 3 Multi-level synergies</w:t>
        </w:r>
        <w:r>
          <w:rPr>
            <w:noProof/>
            <w:webHidden/>
          </w:rPr>
          <w:tab/>
        </w:r>
        <w:r>
          <w:rPr>
            <w:noProof/>
            <w:webHidden/>
          </w:rPr>
          <w:fldChar w:fldCharType="begin"/>
        </w:r>
        <w:r>
          <w:rPr>
            <w:noProof/>
            <w:webHidden/>
          </w:rPr>
          <w:instrText xml:space="preserve"> PAGEREF _Toc526586513 \h </w:instrText>
        </w:r>
        <w:r>
          <w:rPr>
            <w:noProof/>
            <w:webHidden/>
          </w:rPr>
        </w:r>
        <w:r>
          <w:rPr>
            <w:noProof/>
            <w:webHidden/>
          </w:rPr>
          <w:fldChar w:fldCharType="separate"/>
        </w:r>
        <w:r>
          <w:rPr>
            <w:noProof/>
            <w:webHidden/>
          </w:rPr>
          <w:t>14</w:t>
        </w:r>
        <w:r>
          <w:rPr>
            <w:noProof/>
            <w:webHidden/>
          </w:rPr>
          <w:fldChar w:fldCharType="end"/>
        </w:r>
      </w:hyperlink>
    </w:p>
    <w:p w14:paraId="78AD383F" w14:textId="440FBC4F" w:rsidR="004C67AC" w:rsidRDefault="004C67AC">
      <w:pPr>
        <w:pStyle w:val="TOC1"/>
        <w:rPr>
          <w:rFonts w:asciiTheme="minorHAnsi" w:eastAsiaTheme="minorEastAsia" w:hAnsiTheme="minorHAnsi" w:cstheme="minorBidi"/>
          <w:b w:val="0"/>
          <w:color w:val="auto"/>
          <w:sz w:val="24"/>
          <w:szCs w:val="24"/>
          <w:lang w:val="fi-FI"/>
        </w:rPr>
      </w:pPr>
      <w:hyperlink w:anchor="_Toc526586514" w:history="1">
        <w:r w:rsidRPr="00F86A64">
          <w:rPr>
            <w:rStyle w:val="Hyperlink"/>
            <w:rFonts w:ascii="Tahoma Bold" w:hAnsi="Tahoma Bold"/>
          </w:rPr>
          <w:t>3.</w:t>
        </w:r>
        <w:r>
          <w:rPr>
            <w:rFonts w:asciiTheme="minorHAnsi" w:eastAsiaTheme="minorEastAsia" w:hAnsiTheme="minorHAnsi" w:cstheme="minorBidi"/>
            <w:b w:val="0"/>
            <w:color w:val="auto"/>
            <w:sz w:val="24"/>
            <w:szCs w:val="24"/>
            <w:lang w:val="fi-FI"/>
          </w:rPr>
          <w:tab/>
        </w:r>
        <w:r w:rsidRPr="00F86A64">
          <w:rPr>
            <w:rStyle w:val="Hyperlink"/>
          </w:rPr>
          <w:t>Good practice discussion</w:t>
        </w:r>
        <w:r>
          <w:rPr>
            <w:webHidden/>
          </w:rPr>
          <w:tab/>
        </w:r>
        <w:r>
          <w:rPr>
            <w:webHidden/>
          </w:rPr>
          <w:fldChar w:fldCharType="begin"/>
        </w:r>
        <w:r>
          <w:rPr>
            <w:webHidden/>
          </w:rPr>
          <w:instrText xml:space="preserve"> PAGEREF _Toc526586514 \h </w:instrText>
        </w:r>
        <w:r>
          <w:rPr>
            <w:webHidden/>
          </w:rPr>
        </w:r>
        <w:r>
          <w:rPr>
            <w:webHidden/>
          </w:rPr>
          <w:fldChar w:fldCharType="separate"/>
        </w:r>
        <w:r>
          <w:rPr>
            <w:webHidden/>
          </w:rPr>
          <w:t>17</w:t>
        </w:r>
        <w:r>
          <w:rPr>
            <w:webHidden/>
          </w:rPr>
          <w:fldChar w:fldCharType="end"/>
        </w:r>
      </w:hyperlink>
    </w:p>
    <w:p w14:paraId="2853AFC4" w14:textId="0FFA4171" w:rsidR="004C67AC" w:rsidRDefault="004C67AC">
      <w:pPr>
        <w:pStyle w:val="TOC1"/>
        <w:rPr>
          <w:rFonts w:asciiTheme="minorHAnsi" w:eastAsiaTheme="minorEastAsia" w:hAnsiTheme="minorHAnsi" w:cstheme="minorBidi"/>
          <w:b w:val="0"/>
          <w:color w:val="auto"/>
          <w:sz w:val="24"/>
          <w:szCs w:val="24"/>
          <w:lang w:val="fi-FI"/>
        </w:rPr>
      </w:pPr>
      <w:hyperlink w:anchor="_Toc526586515" w:history="1">
        <w:r w:rsidRPr="00F86A64">
          <w:rPr>
            <w:rStyle w:val="Hyperlink"/>
            <w:rFonts w:ascii="Tahoma Bold" w:hAnsi="Tahoma Bold"/>
          </w:rPr>
          <w:t>4.</w:t>
        </w:r>
        <w:r>
          <w:rPr>
            <w:rFonts w:asciiTheme="minorHAnsi" w:eastAsiaTheme="minorEastAsia" w:hAnsiTheme="minorHAnsi" w:cstheme="minorBidi"/>
            <w:b w:val="0"/>
            <w:color w:val="auto"/>
            <w:sz w:val="24"/>
            <w:szCs w:val="24"/>
            <w:lang w:val="fi-FI"/>
          </w:rPr>
          <w:tab/>
        </w:r>
        <w:r w:rsidRPr="00F86A64">
          <w:rPr>
            <w:rStyle w:val="Hyperlink"/>
          </w:rPr>
          <w:t>Good practice transfer</w:t>
        </w:r>
        <w:r>
          <w:rPr>
            <w:webHidden/>
          </w:rPr>
          <w:tab/>
        </w:r>
        <w:r>
          <w:rPr>
            <w:webHidden/>
          </w:rPr>
          <w:fldChar w:fldCharType="begin"/>
        </w:r>
        <w:r>
          <w:rPr>
            <w:webHidden/>
          </w:rPr>
          <w:instrText xml:space="preserve"> PAGEREF _Toc526586515 \h </w:instrText>
        </w:r>
        <w:r>
          <w:rPr>
            <w:webHidden/>
          </w:rPr>
        </w:r>
        <w:r>
          <w:rPr>
            <w:webHidden/>
          </w:rPr>
          <w:fldChar w:fldCharType="separate"/>
        </w:r>
        <w:r>
          <w:rPr>
            <w:webHidden/>
          </w:rPr>
          <w:t>26</w:t>
        </w:r>
        <w:r>
          <w:rPr>
            <w:webHidden/>
          </w:rPr>
          <w:fldChar w:fldCharType="end"/>
        </w:r>
      </w:hyperlink>
    </w:p>
    <w:p w14:paraId="2D8AB4D1" w14:textId="7AEC3322" w:rsidR="004C67AC" w:rsidRDefault="004C67AC">
      <w:pPr>
        <w:pStyle w:val="TOC1"/>
        <w:rPr>
          <w:rFonts w:asciiTheme="minorHAnsi" w:eastAsiaTheme="minorEastAsia" w:hAnsiTheme="minorHAnsi" w:cstheme="minorBidi"/>
          <w:b w:val="0"/>
          <w:color w:val="auto"/>
          <w:sz w:val="24"/>
          <w:szCs w:val="24"/>
          <w:lang w:val="fi-FI"/>
        </w:rPr>
      </w:pPr>
      <w:hyperlink w:anchor="_Toc526586516" w:history="1">
        <w:r w:rsidRPr="00F86A64">
          <w:rPr>
            <w:rStyle w:val="Hyperlink"/>
            <w:rFonts w:ascii="Tahoma Bold" w:hAnsi="Tahoma Bold"/>
          </w:rPr>
          <w:t>5.</w:t>
        </w:r>
        <w:r>
          <w:rPr>
            <w:rFonts w:asciiTheme="minorHAnsi" w:eastAsiaTheme="minorEastAsia" w:hAnsiTheme="minorHAnsi" w:cstheme="minorBidi"/>
            <w:b w:val="0"/>
            <w:color w:val="auto"/>
            <w:sz w:val="24"/>
            <w:szCs w:val="24"/>
            <w:lang w:val="fi-FI"/>
          </w:rPr>
          <w:tab/>
        </w:r>
        <w:r w:rsidRPr="00F86A64">
          <w:rPr>
            <w:rStyle w:val="Hyperlink"/>
          </w:rPr>
          <w:t>References</w:t>
        </w:r>
        <w:r>
          <w:rPr>
            <w:webHidden/>
          </w:rPr>
          <w:tab/>
        </w:r>
        <w:r>
          <w:rPr>
            <w:webHidden/>
          </w:rPr>
          <w:fldChar w:fldCharType="begin"/>
        </w:r>
        <w:r>
          <w:rPr>
            <w:webHidden/>
          </w:rPr>
          <w:instrText xml:space="preserve"> PAGEREF _Toc526586516 \h </w:instrText>
        </w:r>
        <w:r>
          <w:rPr>
            <w:webHidden/>
          </w:rPr>
        </w:r>
        <w:r>
          <w:rPr>
            <w:webHidden/>
          </w:rPr>
          <w:fldChar w:fldCharType="separate"/>
        </w:r>
        <w:r>
          <w:rPr>
            <w:webHidden/>
          </w:rPr>
          <w:t>29</w:t>
        </w:r>
        <w:r>
          <w:rPr>
            <w:webHidden/>
          </w:rPr>
          <w:fldChar w:fldCharType="end"/>
        </w:r>
      </w:hyperlink>
    </w:p>
    <w:p w14:paraId="3D477BC2" w14:textId="74641C93" w:rsidR="004C67AC" w:rsidRDefault="004C67AC">
      <w:pPr>
        <w:pStyle w:val="TOC2"/>
        <w:rPr>
          <w:rFonts w:asciiTheme="minorHAnsi" w:eastAsiaTheme="minorEastAsia" w:hAnsiTheme="minorHAnsi" w:cstheme="minorBidi"/>
          <w:noProof/>
          <w:sz w:val="24"/>
          <w:szCs w:val="24"/>
          <w:lang w:val="fi-FI"/>
        </w:rPr>
      </w:pPr>
      <w:hyperlink w:anchor="_Toc526586517" w:history="1">
        <w:r w:rsidRPr="00F86A64">
          <w:rPr>
            <w:rStyle w:val="Hyperlink"/>
            <w:noProof/>
          </w:rPr>
          <w:t>Some useful readings, Good practice theme 1</w:t>
        </w:r>
        <w:r>
          <w:rPr>
            <w:noProof/>
            <w:webHidden/>
          </w:rPr>
          <w:tab/>
        </w:r>
        <w:r>
          <w:rPr>
            <w:noProof/>
            <w:webHidden/>
          </w:rPr>
          <w:fldChar w:fldCharType="begin"/>
        </w:r>
        <w:r>
          <w:rPr>
            <w:noProof/>
            <w:webHidden/>
          </w:rPr>
          <w:instrText xml:space="preserve"> PAGEREF _Toc526586517 \h </w:instrText>
        </w:r>
        <w:r>
          <w:rPr>
            <w:noProof/>
            <w:webHidden/>
          </w:rPr>
        </w:r>
        <w:r>
          <w:rPr>
            <w:noProof/>
            <w:webHidden/>
          </w:rPr>
          <w:fldChar w:fldCharType="separate"/>
        </w:r>
        <w:r>
          <w:rPr>
            <w:noProof/>
            <w:webHidden/>
          </w:rPr>
          <w:t>29</w:t>
        </w:r>
        <w:r>
          <w:rPr>
            <w:noProof/>
            <w:webHidden/>
          </w:rPr>
          <w:fldChar w:fldCharType="end"/>
        </w:r>
      </w:hyperlink>
    </w:p>
    <w:p w14:paraId="7A63A667" w14:textId="1308E41E" w:rsidR="004C67AC" w:rsidRDefault="004C67AC">
      <w:pPr>
        <w:pStyle w:val="TOC2"/>
        <w:rPr>
          <w:rFonts w:asciiTheme="minorHAnsi" w:eastAsiaTheme="minorEastAsia" w:hAnsiTheme="minorHAnsi" w:cstheme="minorBidi"/>
          <w:noProof/>
          <w:sz w:val="24"/>
          <w:szCs w:val="24"/>
          <w:lang w:val="fi-FI"/>
        </w:rPr>
      </w:pPr>
      <w:hyperlink w:anchor="_Toc526586518" w:history="1">
        <w:r w:rsidRPr="00F86A64">
          <w:rPr>
            <w:rStyle w:val="Hyperlink"/>
            <w:noProof/>
          </w:rPr>
          <w:t>Some useful readings, Good practice theme 2</w:t>
        </w:r>
        <w:r>
          <w:rPr>
            <w:noProof/>
            <w:webHidden/>
          </w:rPr>
          <w:tab/>
        </w:r>
        <w:r>
          <w:rPr>
            <w:noProof/>
            <w:webHidden/>
          </w:rPr>
          <w:fldChar w:fldCharType="begin"/>
        </w:r>
        <w:r>
          <w:rPr>
            <w:noProof/>
            <w:webHidden/>
          </w:rPr>
          <w:instrText xml:space="preserve"> PAGEREF _Toc526586518 \h </w:instrText>
        </w:r>
        <w:r>
          <w:rPr>
            <w:noProof/>
            <w:webHidden/>
          </w:rPr>
        </w:r>
        <w:r>
          <w:rPr>
            <w:noProof/>
            <w:webHidden/>
          </w:rPr>
          <w:fldChar w:fldCharType="separate"/>
        </w:r>
        <w:r>
          <w:rPr>
            <w:noProof/>
            <w:webHidden/>
          </w:rPr>
          <w:t>32</w:t>
        </w:r>
        <w:r>
          <w:rPr>
            <w:noProof/>
            <w:webHidden/>
          </w:rPr>
          <w:fldChar w:fldCharType="end"/>
        </w:r>
      </w:hyperlink>
    </w:p>
    <w:p w14:paraId="5BF3B0F5" w14:textId="117CFFEA" w:rsidR="004C67AC" w:rsidRDefault="004C67AC">
      <w:pPr>
        <w:pStyle w:val="TOC2"/>
        <w:rPr>
          <w:rFonts w:asciiTheme="minorHAnsi" w:eastAsiaTheme="minorEastAsia" w:hAnsiTheme="minorHAnsi" w:cstheme="minorBidi"/>
          <w:noProof/>
          <w:sz w:val="24"/>
          <w:szCs w:val="24"/>
          <w:lang w:val="fi-FI"/>
        </w:rPr>
      </w:pPr>
      <w:hyperlink w:anchor="_Toc526586519" w:history="1">
        <w:r w:rsidRPr="00F86A64">
          <w:rPr>
            <w:rStyle w:val="Hyperlink"/>
            <w:noProof/>
          </w:rPr>
          <w:t>Some useful readings, Good practice theme 3</w:t>
        </w:r>
        <w:r>
          <w:rPr>
            <w:noProof/>
            <w:webHidden/>
          </w:rPr>
          <w:tab/>
        </w:r>
        <w:r>
          <w:rPr>
            <w:noProof/>
            <w:webHidden/>
          </w:rPr>
          <w:fldChar w:fldCharType="begin"/>
        </w:r>
        <w:r>
          <w:rPr>
            <w:noProof/>
            <w:webHidden/>
          </w:rPr>
          <w:instrText xml:space="preserve"> PAGEREF _Toc526586519 \h </w:instrText>
        </w:r>
        <w:r>
          <w:rPr>
            <w:noProof/>
            <w:webHidden/>
          </w:rPr>
        </w:r>
        <w:r>
          <w:rPr>
            <w:noProof/>
            <w:webHidden/>
          </w:rPr>
          <w:fldChar w:fldCharType="separate"/>
        </w:r>
        <w:r>
          <w:rPr>
            <w:noProof/>
            <w:webHidden/>
          </w:rPr>
          <w:t>34</w:t>
        </w:r>
        <w:r>
          <w:rPr>
            <w:noProof/>
            <w:webHidden/>
          </w:rPr>
          <w:fldChar w:fldCharType="end"/>
        </w:r>
      </w:hyperlink>
    </w:p>
    <w:p w14:paraId="2ED88471" w14:textId="79B5FCB2" w:rsidR="004C67AC" w:rsidRDefault="004C67AC">
      <w:pPr>
        <w:pStyle w:val="TOC1"/>
        <w:rPr>
          <w:rFonts w:asciiTheme="minorHAnsi" w:eastAsiaTheme="minorEastAsia" w:hAnsiTheme="minorHAnsi" w:cstheme="minorBidi"/>
          <w:b w:val="0"/>
          <w:color w:val="auto"/>
          <w:sz w:val="24"/>
          <w:szCs w:val="24"/>
          <w:lang w:val="fi-FI"/>
        </w:rPr>
      </w:pPr>
      <w:hyperlink w:anchor="_Toc526586520" w:history="1">
        <w:r w:rsidRPr="00F86A64">
          <w:rPr>
            <w:rStyle w:val="Hyperlink"/>
            <w:rFonts w:ascii="Tahoma Bold" w:hAnsi="Tahoma Bold"/>
          </w:rPr>
          <w:t>6.</w:t>
        </w:r>
        <w:r>
          <w:rPr>
            <w:rFonts w:asciiTheme="minorHAnsi" w:eastAsiaTheme="minorEastAsia" w:hAnsiTheme="minorHAnsi" w:cstheme="minorBidi"/>
            <w:b w:val="0"/>
            <w:color w:val="auto"/>
            <w:sz w:val="24"/>
            <w:szCs w:val="24"/>
            <w:lang w:val="fi-FI"/>
          </w:rPr>
          <w:tab/>
        </w:r>
        <w:r w:rsidRPr="00F86A64">
          <w:rPr>
            <w:rStyle w:val="Hyperlink"/>
          </w:rPr>
          <w:t>Notes</w:t>
        </w:r>
        <w:r>
          <w:rPr>
            <w:webHidden/>
          </w:rPr>
          <w:tab/>
        </w:r>
        <w:r>
          <w:rPr>
            <w:webHidden/>
          </w:rPr>
          <w:fldChar w:fldCharType="begin"/>
        </w:r>
        <w:r>
          <w:rPr>
            <w:webHidden/>
          </w:rPr>
          <w:instrText xml:space="preserve"> PAGEREF _Toc526586520 \h </w:instrText>
        </w:r>
        <w:r>
          <w:rPr>
            <w:webHidden/>
          </w:rPr>
        </w:r>
        <w:r>
          <w:rPr>
            <w:webHidden/>
          </w:rPr>
          <w:fldChar w:fldCharType="separate"/>
        </w:r>
        <w:r>
          <w:rPr>
            <w:webHidden/>
          </w:rPr>
          <w:t>36</w:t>
        </w:r>
        <w:r>
          <w:rPr>
            <w:webHidden/>
          </w:rPr>
          <w:fldChar w:fldCharType="end"/>
        </w:r>
      </w:hyperlink>
    </w:p>
    <w:p w14:paraId="0F5230FB" w14:textId="7C612373" w:rsidR="00686922" w:rsidRDefault="004C67AC" w:rsidP="00CC6186">
      <w:pPr>
        <w:pStyle w:val="TOC1"/>
      </w:pPr>
      <w:r>
        <w:fldChar w:fldCharType="end"/>
      </w:r>
    </w:p>
    <w:p w14:paraId="107468E5" w14:textId="77777777" w:rsidR="00686922" w:rsidRDefault="00686922">
      <w:pPr>
        <w:spacing w:before="0" w:after="0" w:line="240" w:lineRule="auto"/>
        <w:ind w:left="0" w:right="0"/>
        <w:jc w:val="left"/>
        <w:rPr>
          <w:rFonts w:cs="Tahoma"/>
          <w:b/>
          <w:noProof/>
          <w:color w:val="171717" w:themeColor="background2" w:themeShade="1A"/>
          <w:sz w:val="20"/>
        </w:rPr>
      </w:pPr>
      <w:r>
        <w:br w:type="page"/>
      </w:r>
    </w:p>
    <w:p w14:paraId="6FAEBABD" w14:textId="77777777" w:rsidR="00817E9E" w:rsidRPr="00E14342" w:rsidRDefault="00817E9E" w:rsidP="00CC6186">
      <w:pPr>
        <w:pStyle w:val="TOC1"/>
      </w:pPr>
    </w:p>
    <w:p w14:paraId="5F18DBB6" w14:textId="52D78A6D" w:rsidR="004D71EE" w:rsidRPr="00E14342" w:rsidRDefault="004D71EE" w:rsidP="003676F1">
      <w:pPr>
        <w:pStyle w:val="Title"/>
      </w:pPr>
      <w:bookmarkStart w:id="3" w:name="_Toc502477960"/>
      <w:r w:rsidRPr="00E14342">
        <w:t>List of Fig</w:t>
      </w:r>
      <w:r w:rsidR="00686922">
        <w:t>u</w:t>
      </w:r>
      <w:r w:rsidRPr="00E14342">
        <w:t>res</w:t>
      </w:r>
      <w:bookmarkEnd w:id="3"/>
    </w:p>
    <w:bookmarkStart w:id="4" w:name="_Toc354519046"/>
    <w:bookmarkStart w:id="5" w:name="_Toc368210671"/>
    <w:p w14:paraId="57B1B001" w14:textId="77777777" w:rsidR="004D71EE" w:rsidRPr="00686922" w:rsidRDefault="004D71EE" w:rsidP="0066513B">
      <w:pPr>
        <w:pStyle w:val="TOC2"/>
        <w:rPr>
          <w:rStyle w:val="Hyperlink"/>
          <w:color w:val="000000" w:themeColor="text1"/>
          <w:sz w:val="20"/>
        </w:rPr>
      </w:pPr>
      <w:r w:rsidRPr="00686922">
        <w:rPr>
          <w:rStyle w:val="Hyperlink"/>
          <w:color w:val="000000" w:themeColor="text1"/>
          <w:sz w:val="20"/>
        </w:rPr>
        <w:fldChar w:fldCharType="begin"/>
      </w:r>
      <w:r w:rsidRPr="00686922">
        <w:rPr>
          <w:rStyle w:val="Hyperlink"/>
          <w:color w:val="000000" w:themeColor="text1"/>
          <w:sz w:val="20"/>
        </w:rPr>
        <w:instrText xml:space="preserve"> TOC \c "Figure" </w:instrText>
      </w:r>
      <w:r w:rsidRPr="00686922">
        <w:rPr>
          <w:rStyle w:val="Hyperlink"/>
          <w:color w:val="000000" w:themeColor="text1"/>
          <w:sz w:val="20"/>
        </w:rPr>
        <w:fldChar w:fldCharType="separate"/>
      </w:r>
      <w:r w:rsidRPr="00686922">
        <w:rPr>
          <w:rStyle w:val="Hyperlink"/>
          <w:color w:val="000000" w:themeColor="text1"/>
          <w:sz w:val="20"/>
        </w:rPr>
        <w:t>Figure 1 Positioning and the dynamic of Competence Centres</w:t>
      </w:r>
      <w:r w:rsidRPr="00686922">
        <w:rPr>
          <w:rStyle w:val="Hyperlink"/>
          <w:color w:val="000000" w:themeColor="text1"/>
          <w:sz w:val="20"/>
        </w:rPr>
        <w:tab/>
      </w:r>
      <w:r w:rsidRPr="00686922">
        <w:rPr>
          <w:rStyle w:val="Hyperlink"/>
          <w:color w:val="000000" w:themeColor="text1"/>
          <w:sz w:val="20"/>
        </w:rPr>
        <w:fldChar w:fldCharType="begin"/>
      </w:r>
      <w:r w:rsidRPr="00686922">
        <w:rPr>
          <w:rStyle w:val="Hyperlink"/>
          <w:color w:val="000000" w:themeColor="text1"/>
          <w:sz w:val="20"/>
        </w:rPr>
        <w:instrText xml:space="preserve"> PAGEREF _Toc501915698 \h </w:instrText>
      </w:r>
      <w:r w:rsidRPr="00686922">
        <w:rPr>
          <w:rStyle w:val="Hyperlink"/>
          <w:color w:val="000000" w:themeColor="text1"/>
          <w:sz w:val="20"/>
        </w:rPr>
      </w:r>
      <w:r w:rsidRPr="00686922">
        <w:rPr>
          <w:rStyle w:val="Hyperlink"/>
          <w:color w:val="000000" w:themeColor="text1"/>
          <w:sz w:val="20"/>
        </w:rPr>
        <w:fldChar w:fldCharType="separate"/>
      </w:r>
      <w:r w:rsidRPr="00686922">
        <w:rPr>
          <w:rStyle w:val="Hyperlink"/>
          <w:color w:val="000000" w:themeColor="text1"/>
          <w:sz w:val="20"/>
        </w:rPr>
        <w:t>14</w:t>
      </w:r>
      <w:r w:rsidRPr="00686922">
        <w:rPr>
          <w:rStyle w:val="Hyperlink"/>
          <w:color w:val="000000" w:themeColor="text1"/>
          <w:sz w:val="20"/>
        </w:rPr>
        <w:fldChar w:fldCharType="end"/>
      </w:r>
    </w:p>
    <w:p w14:paraId="56B9FCDD" w14:textId="77777777" w:rsidR="004D71EE" w:rsidRPr="00686922" w:rsidRDefault="004D71EE" w:rsidP="0066513B">
      <w:pPr>
        <w:pStyle w:val="TOC2"/>
        <w:rPr>
          <w:rStyle w:val="Hyperlink"/>
          <w:color w:val="000000" w:themeColor="text1"/>
          <w:sz w:val="20"/>
        </w:rPr>
      </w:pPr>
      <w:r w:rsidRPr="00686922">
        <w:rPr>
          <w:rStyle w:val="Hyperlink"/>
          <w:color w:val="000000" w:themeColor="text1"/>
          <w:sz w:val="20"/>
        </w:rPr>
        <w:t>Figure 2 The concept of the industry-led centre of competence interpreted for the BRIDGES GPs.</w:t>
      </w:r>
      <w:r w:rsidRPr="00686922">
        <w:rPr>
          <w:rStyle w:val="Hyperlink"/>
          <w:color w:val="000000" w:themeColor="text1"/>
          <w:sz w:val="20"/>
        </w:rPr>
        <w:tab/>
      </w:r>
      <w:r w:rsidRPr="00686922">
        <w:rPr>
          <w:rStyle w:val="Hyperlink"/>
          <w:color w:val="000000" w:themeColor="text1"/>
          <w:sz w:val="20"/>
        </w:rPr>
        <w:fldChar w:fldCharType="begin"/>
      </w:r>
      <w:r w:rsidRPr="00686922">
        <w:rPr>
          <w:rStyle w:val="Hyperlink"/>
          <w:color w:val="000000" w:themeColor="text1"/>
          <w:sz w:val="20"/>
        </w:rPr>
        <w:instrText xml:space="preserve"> PAGEREF _Toc501915699 \h </w:instrText>
      </w:r>
      <w:r w:rsidRPr="00686922">
        <w:rPr>
          <w:rStyle w:val="Hyperlink"/>
          <w:color w:val="000000" w:themeColor="text1"/>
          <w:sz w:val="20"/>
        </w:rPr>
      </w:r>
      <w:r w:rsidRPr="00686922">
        <w:rPr>
          <w:rStyle w:val="Hyperlink"/>
          <w:color w:val="000000" w:themeColor="text1"/>
          <w:sz w:val="20"/>
        </w:rPr>
        <w:fldChar w:fldCharType="separate"/>
      </w:r>
      <w:r w:rsidRPr="00686922">
        <w:rPr>
          <w:rStyle w:val="Hyperlink"/>
          <w:color w:val="000000" w:themeColor="text1"/>
          <w:sz w:val="20"/>
        </w:rPr>
        <w:t>16</w:t>
      </w:r>
      <w:r w:rsidRPr="00686922">
        <w:rPr>
          <w:rStyle w:val="Hyperlink"/>
          <w:color w:val="000000" w:themeColor="text1"/>
          <w:sz w:val="20"/>
        </w:rPr>
        <w:fldChar w:fldCharType="end"/>
      </w:r>
    </w:p>
    <w:p w14:paraId="3B70713A" w14:textId="6E6A5823" w:rsidR="004D71EE" w:rsidRPr="00E14342" w:rsidRDefault="004D71EE" w:rsidP="0066513B">
      <w:pPr>
        <w:pStyle w:val="TOC2"/>
      </w:pPr>
      <w:r w:rsidRPr="00686922">
        <w:rPr>
          <w:rStyle w:val="Hyperlink"/>
          <w:color w:val="000000" w:themeColor="text1"/>
          <w:sz w:val="20"/>
        </w:rPr>
        <w:fldChar w:fldCharType="end"/>
      </w:r>
    </w:p>
    <w:p w14:paraId="63B47EE2" w14:textId="60BCDFD0" w:rsidR="004D71EE" w:rsidRPr="00E14342" w:rsidRDefault="004D71EE" w:rsidP="003676F1">
      <w:pPr>
        <w:pStyle w:val="Title"/>
      </w:pPr>
      <w:bookmarkStart w:id="6" w:name="_List_of_Tables"/>
      <w:bookmarkStart w:id="7" w:name="_Toc502477961"/>
      <w:bookmarkEnd w:id="6"/>
      <w:r w:rsidRPr="00E14342">
        <w:t>List of Tables</w:t>
      </w:r>
      <w:bookmarkEnd w:id="4"/>
      <w:bookmarkEnd w:id="5"/>
      <w:bookmarkEnd w:id="7"/>
    </w:p>
    <w:p w14:paraId="1E748283" w14:textId="77777777" w:rsidR="004D71EE" w:rsidRPr="00686922" w:rsidRDefault="004D71EE" w:rsidP="0066513B">
      <w:pPr>
        <w:pStyle w:val="TOC2"/>
        <w:rPr>
          <w:rStyle w:val="Hyperlink"/>
          <w:color w:val="000000" w:themeColor="text1"/>
          <w:sz w:val="20"/>
        </w:rPr>
      </w:pPr>
      <w:r w:rsidRPr="00686922">
        <w:rPr>
          <w:rStyle w:val="Hyperlink"/>
          <w:color w:val="000000" w:themeColor="text1"/>
          <w:sz w:val="20"/>
        </w:rPr>
        <w:fldChar w:fldCharType="begin"/>
      </w:r>
      <w:r w:rsidRPr="00686922">
        <w:rPr>
          <w:rStyle w:val="Hyperlink"/>
          <w:color w:val="000000" w:themeColor="text1"/>
          <w:sz w:val="20"/>
        </w:rPr>
        <w:instrText xml:space="preserve"> TOC \c "Table" </w:instrText>
      </w:r>
      <w:r w:rsidRPr="00686922">
        <w:rPr>
          <w:rStyle w:val="Hyperlink"/>
          <w:color w:val="000000" w:themeColor="text1"/>
          <w:sz w:val="20"/>
        </w:rPr>
        <w:fldChar w:fldCharType="separate"/>
      </w:r>
      <w:r w:rsidRPr="00686922">
        <w:rPr>
          <w:rStyle w:val="Hyperlink"/>
          <w:color w:val="000000" w:themeColor="text1"/>
          <w:sz w:val="20"/>
        </w:rPr>
        <w:t>Table 1 Summary of the BRIDGES project good practice contributions</w:t>
      </w:r>
      <w:r w:rsidRPr="00686922">
        <w:rPr>
          <w:rStyle w:val="Hyperlink"/>
          <w:color w:val="000000" w:themeColor="text1"/>
          <w:sz w:val="20"/>
        </w:rPr>
        <w:tab/>
      </w:r>
      <w:r w:rsidRPr="00686922">
        <w:rPr>
          <w:rStyle w:val="Hyperlink"/>
          <w:color w:val="000000" w:themeColor="text1"/>
          <w:sz w:val="20"/>
        </w:rPr>
        <w:fldChar w:fldCharType="begin"/>
      </w:r>
      <w:r w:rsidRPr="00686922">
        <w:rPr>
          <w:rStyle w:val="Hyperlink"/>
          <w:color w:val="000000" w:themeColor="text1"/>
          <w:sz w:val="20"/>
        </w:rPr>
        <w:instrText xml:space="preserve"> PAGEREF _Toc526456801 \h </w:instrText>
      </w:r>
      <w:r w:rsidRPr="00686922">
        <w:rPr>
          <w:rStyle w:val="Hyperlink"/>
          <w:color w:val="000000" w:themeColor="text1"/>
          <w:sz w:val="20"/>
        </w:rPr>
      </w:r>
      <w:r w:rsidRPr="00686922">
        <w:rPr>
          <w:rStyle w:val="Hyperlink"/>
          <w:color w:val="000000" w:themeColor="text1"/>
          <w:sz w:val="20"/>
        </w:rPr>
        <w:fldChar w:fldCharType="separate"/>
      </w:r>
      <w:r w:rsidRPr="00686922">
        <w:rPr>
          <w:rStyle w:val="Hyperlink"/>
          <w:color w:val="000000" w:themeColor="text1"/>
          <w:sz w:val="20"/>
        </w:rPr>
        <w:t>15</w:t>
      </w:r>
      <w:r w:rsidRPr="00686922">
        <w:rPr>
          <w:rStyle w:val="Hyperlink"/>
          <w:color w:val="000000" w:themeColor="text1"/>
          <w:sz w:val="20"/>
        </w:rPr>
        <w:fldChar w:fldCharType="end"/>
      </w:r>
    </w:p>
    <w:p w14:paraId="76BFB055" w14:textId="77777777" w:rsidR="004D71EE" w:rsidRPr="00686922" w:rsidRDefault="004D71EE" w:rsidP="0066513B">
      <w:pPr>
        <w:pStyle w:val="TOC2"/>
        <w:rPr>
          <w:rStyle w:val="Hyperlink"/>
          <w:color w:val="000000" w:themeColor="text1"/>
          <w:sz w:val="20"/>
        </w:rPr>
      </w:pPr>
      <w:r w:rsidRPr="00686922">
        <w:rPr>
          <w:rStyle w:val="Hyperlink"/>
          <w:color w:val="000000" w:themeColor="text1"/>
          <w:sz w:val="20"/>
        </w:rPr>
        <w:t>Table 3 BRIDGES project, GPs &amp; retained types of technological connectivity</w:t>
      </w:r>
      <w:r w:rsidRPr="00686922">
        <w:rPr>
          <w:rStyle w:val="Hyperlink"/>
          <w:color w:val="000000" w:themeColor="text1"/>
          <w:sz w:val="20"/>
        </w:rPr>
        <w:tab/>
      </w:r>
      <w:r w:rsidRPr="00686922">
        <w:rPr>
          <w:rStyle w:val="Hyperlink"/>
          <w:color w:val="000000" w:themeColor="text1"/>
          <w:sz w:val="20"/>
        </w:rPr>
        <w:fldChar w:fldCharType="begin"/>
      </w:r>
      <w:r w:rsidRPr="00686922">
        <w:rPr>
          <w:rStyle w:val="Hyperlink"/>
          <w:color w:val="000000" w:themeColor="text1"/>
          <w:sz w:val="20"/>
        </w:rPr>
        <w:instrText xml:space="preserve"> PAGEREF _Toc526456802 \h </w:instrText>
      </w:r>
      <w:r w:rsidRPr="00686922">
        <w:rPr>
          <w:rStyle w:val="Hyperlink"/>
          <w:color w:val="000000" w:themeColor="text1"/>
          <w:sz w:val="20"/>
        </w:rPr>
      </w:r>
      <w:r w:rsidRPr="00686922">
        <w:rPr>
          <w:rStyle w:val="Hyperlink"/>
          <w:color w:val="000000" w:themeColor="text1"/>
          <w:sz w:val="20"/>
        </w:rPr>
        <w:fldChar w:fldCharType="separate"/>
      </w:r>
      <w:r w:rsidRPr="00686922">
        <w:rPr>
          <w:rStyle w:val="Hyperlink"/>
          <w:color w:val="000000" w:themeColor="text1"/>
          <w:sz w:val="20"/>
        </w:rPr>
        <w:t>23</w:t>
      </w:r>
      <w:r w:rsidRPr="00686922">
        <w:rPr>
          <w:rStyle w:val="Hyperlink"/>
          <w:color w:val="000000" w:themeColor="text1"/>
          <w:sz w:val="20"/>
        </w:rPr>
        <w:fldChar w:fldCharType="end"/>
      </w:r>
    </w:p>
    <w:p w14:paraId="32DC976E" w14:textId="77777777" w:rsidR="004D71EE" w:rsidRPr="00686922" w:rsidRDefault="004D71EE" w:rsidP="0066513B">
      <w:pPr>
        <w:pStyle w:val="TOC2"/>
        <w:rPr>
          <w:rStyle w:val="Hyperlink"/>
          <w:color w:val="000000" w:themeColor="text1"/>
          <w:sz w:val="20"/>
        </w:rPr>
      </w:pPr>
      <w:r w:rsidRPr="00686922">
        <w:rPr>
          <w:rStyle w:val="Hyperlink"/>
          <w:color w:val="000000" w:themeColor="text1"/>
          <w:sz w:val="20"/>
        </w:rPr>
        <w:t>Table 4 Summary of the GP selection</w:t>
      </w:r>
      <w:r w:rsidRPr="00686922">
        <w:rPr>
          <w:rStyle w:val="Hyperlink"/>
          <w:color w:val="000000" w:themeColor="text1"/>
          <w:sz w:val="20"/>
        </w:rPr>
        <w:tab/>
      </w:r>
      <w:r w:rsidRPr="00686922">
        <w:rPr>
          <w:rStyle w:val="Hyperlink"/>
          <w:color w:val="000000" w:themeColor="text1"/>
          <w:sz w:val="20"/>
        </w:rPr>
        <w:fldChar w:fldCharType="begin"/>
      </w:r>
      <w:r w:rsidRPr="00686922">
        <w:rPr>
          <w:rStyle w:val="Hyperlink"/>
          <w:color w:val="000000" w:themeColor="text1"/>
          <w:sz w:val="20"/>
        </w:rPr>
        <w:instrText xml:space="preserve"> PAGEREF _Toc526456803 \h </w:instrText>
      </w:r>
      <w:r w:rsidRPr="00686922">
        <w:rPr>
          <w:rStyle w:val="Hyperlink"/>
          <w:color w:val="000000" w:themeColor="text1"/>
          <w:sz w:val="20"/>
        </w:rPr>
      </w:r>
      <w:r w:rsidRPr="00686922">
        <w:rPr>
          <w:rStyle w:val="Hyperlink"/>
          <w:color w:val="000000" w:themeColor="text1"/>
          <w:sz w:val="20"/>
        </w:rPr>
        <w:fldChar w:fldCharType="separate"/>
      </w:r>
      <w:r w:rsidRPr="00686922">
        <w:rPr>
          <w:rStyle w:val="Hyperlink"/>
          <w:color w:val="000000" w:themeColor="text1"/>
          <w:sz w:val="20"/>
        </w:rPr>
        <w:t>25</w:t>
      </w:r>
      <w:r w:rsidRPr="00686922">
        <w:rPr>
          <w:rStyle w:val="Hyperlink"/>
          <w:color w:val="000000" w:themeColor="text1"/>
          <w:sz w:val="20"/>
        </w:rPr>
        <w:fldChar w:fldCharType="end"/>
      </w:r>
    </w:p>
    <w:p w14:paraId="53AA15D3" w14:textId="77777777" w:rsidR="004D71EE" w:rsidRPr="00686922" w:rsidRDefault="004D71EE" w:rsidP="0066513B">
      <w:pPr>
        <w:pStyle w:val="TOC2"/>
        <w:rPr>
          <w:rStyle w:val="Hyperlink"/>
          <w:color w:val="000000" w:themeColor="text1"/>
          <w:sz w:val="20"/>
        </w:rPr>
      </w:pPr>
      <w:r w:rsidRPr="00686922">
        <w:rPr>
          <w:rStyle w:val="Hyperlink"/>
          <w:color w:val="000000" w:themeColor="text1"/>
          <w:sz w:val="20"/>
        </w:rPr>
        <w:t>Table 5 Insights and conclusions from the GP selection</w:t>
      </w:r>
      <w:r w:rsidRPr="00686922">
        <w:rPr>
          <w:rStyle w:val="Hyperlink"/>
          <w:color w:val="000000" w:themeColor="text1"/>
          <w:sz w:val="20"/>
        </w:rPr>
        <w:tab/>
      </w:r>
      <w:r w:rsidRPr="00686922">
        <w:rPr>
          <w:rStyle w:val="Hyperlink"/>
          <w:color w:val="000000" w:themeColor="text1"/>
          <w:sz w:val="20"/>
        </w:rPr>
        <w:fldChar w:fldCharType="begin"/>
      </w:r>
      <w:r w:rsidRPr="00686922">
        <w:rPr>
          <w:rStyle w:val="Hyperlink"/>
          <w:color w:val="000000" w:themeColor="text1"/>
          <w:sz w:val="20"/>
        </w:rPr>
        <w:instrText xml:space="preserve"> PAGEREF _Toc526456804 \h </w:instrText>
      </w:r>
      <w:r w:rsidRPr="00686922">
        <w:rPr>
          <w:rStyle w:val="Hyperlink"/>
          <w:color w:val="000000" w:themeColor="text1"/>
          <w:sz w:val="20"/>
        </w:rPr>
      </w:r>
      <w:r w:rsidRPr="00686922">
        <w:rPr>
          <w:rStyle w:val="Hyperlink"/>
          <w:color w:val="000000" w:themeColor="text1"/>
          <w:sz w:val="20"/>
        </w:rPr>
        <w:fldChar w:fldCharType="separate"/>
      </w:r>
      <w:r w:rsidRPr="00686922">
        <w:rPr>
          <w:rStyle w:val="Hyperlink"/>
          <w:color w:val="000000" w:themeColor="text1"/>
          <w:sz w:val="20"/>
        </w:rPr>
        <w:t>26</w:t>
      </w:r>
      <w:r w:rsidRPr="00686922">
        <w:rPr>
          <w:rStyle w:val="Hyperlink"/>
          <w:color w:val="000000" w:themeColor="text1"/>
          <w:sz w:val="20"/>
        </w:rPr>
        <w:fldChar w:fldCharType="end"/>
      </w:r>
    </w:p>
    <w:p w14:paraId="3F1428B4" w14:textId="77777777" w:rsidR="004D71EE" w:rsidRPr="00686922" w:rsidRDefault="004D71EE" w:rsidP="0066513B">
      <w:pPr>
        <w:pStyle w:val="TOC2"/>
        <w:rPr>
          <w:rStyle w:val="Hyperlink"/>
          <w:color w:val="000000" w:themeColor="text1"/>
          <w:sz w:val="20"/>
        </w:rPr>
      </w:pPr>
      <w:r w:rsidRPr="00686922">
        <w:rPr>
          <w:rStyle w:val="Hyperlink"/>
          <w:color w:val="000000" w:themeColor="text1"/>
          <w:sz w:val="20"/>
        </w:rPr>
        <w:t>Table 6 Good practice selection and improvement of technological connectivity types.</w:t>
      </w:r>
      <w:r w:rsidRPr="00686922">
        <w:rPr>
          <w:rStyle w:val="Hyperlink"/>
          <w:color w:val="000000" w:themeColor="text1"/>
          <w:sz w:val="20"/>
        </w:rPr>
        <w:tab/>
      </w:r>
      <w:r w:rsidRPr="00686922">
        <w:rPr>
          <w:rStyle w:val="Hyperlink"/>
          <w:color w:val="000000" w:themeColor="text1"/>
          <w:sz w:val="20"/>
        </w:rPr>
        <w:fldChar w:fldCharType="begin"/>
      </w:r>
      <w:r w:rsidRPr="00686922">
        <w:rPr>
          <w:rStyle w:val="Hyperlink"/>
          <w:color w:val="000000" w:themeColor="text1"/>
          <w:sz w:val="20"/>
        </w:rPr>
        <w:instrText xml:space="preserve"> PAGEREF _Toc526456805 \h </w:instrText>
      </w:r>
      <w:r w:rsidRPr="00686922">
        <w:rPr>
          <w:rStyle w:val="Hyperlink"/>
          <w:color w:val="000000" w:themeColor="text1"/>
          <w:sz w:val="20"/>
        </w:rPr>
      </w:r>
      <w:r w:rsidRPr="00686922">
        <w:rPr>
          <w:rStyle w:val="Hyperlink"/>
          <w:color w:val="000000" w:themeColor="text1"/>
          <w:sz w:val="20"/>
        </w:rPr>
        <w:fldChar w:fldCharType="separate"/>
      </w:r>
      <w:r w:rsidRPr="00686922">
        <w:rPr>
          <w:rStyle w:val="Hyperlink"/>
          <w:color w:val="000000" w:themeColor="text1"/>
          <w:sz w:val="20"/>
        </w:rPr>
        <w:t>27</w:t>
      </w:r>
      <w:r w:rsidRPr="00686922">
        <w:rPr>
          <w:rStyle w:val="Hyperlink"/>
          <w:color w:val="000000" w:themeColor="text1"/>
          <w:sz w:val="20"/>
        </w:rPr>
        <w:fldChar w:fldCharType="end"/>
      </w:r>
    </w:p>
    <w:p w14:paraId="036A4E32" w14:textId="77777777" w:rsidR="004D71EE" w:rsidRPr="00E14342" w:rsidRDefault="004D71EE" w:rsidP="0066513B">
      <w:pPr>
        <w:pStyle w:val="TOC2"/>
        <w:rPr>
          <w:szCs w:val="18"/>
        </w:rPr>
      </w:pPr>
      <w:r w:rsidRPr="00686922">
        <w:rPr>
          <w:rStyle w:val="Hyperlink"/>
          <w:color w:val="000000" w:themeColor="text1"/>
          <w:sz w:val="20"/>
        </w:rPr>
        <w:fldChar w:fldCharType="end"/>
      </w:r>
    </w:p>
    <w:p w14:paraId="36499879" w14:textId="77777777" w:rsidR="004D71EE" w:rsidRDefault="004D71EE" w:rsidP="003676F1">
      <w:pPr>
        <w:pStyle w:val="Title"/>
      </w:pPr>
      <w:r w:rsidRPr="00E14342">
        <w:t xml:space="preserve">List of </w:t>
      </w:r>
      <w:r>
        <w:t>Abbreviations</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268"/>
        <w:gridCol w:w="4977"/>
      </w:tblGrid>
      <w:tr w:rsidR="004D71EE" w:rsidRPr="00686922" w14:paraId="7FA9559F" w14:textId="77777777" w:rsidTr="0066498E">
        <w:tc>
          <w:tcPr>
            <w:tcW w:w="1696" w:type="dxa"/>
          </w:tcPr>
          <w:p w14:paraId="406B24A9" w14:textId="77777777" w:rsidR="004D71EE" w:rsidRPr="00686922" w:rsidRDefault="004D71EE" w:rsidP="00686922">
            <w:pPr>
              <w:pStyle w:val="TOC2"/>
              <w:rPr>
                <w:rStyle w:val="Hyperlink"/>
                <w:color w:val="000000" w:themeColor="text1"/>
                <w:sz w:val="20"/>
              </w:rPr>
            </w:pPr>
            <w:r w:rsidRPr="00686922">
              <w:rPr>
                <w:rStyle w:val="Hyperlink"/>
                <w:color w:val="000000" w:themeColor="text1"/>
                <w:sz w:val="20"/>
              </w:rPr>
              <w:t>CC</w:t>
            </w:r>
          </w:p>
        </w:tc>
        <w:tc>
          <w:tcPr>
            <w:tcW w:w="2268" w:type="dxa"/>
          </w:tcPr>
          <w:p w14:paraId="696A44E7" w14:textId="77777777" w:rsidR="004D71EE" w:rsidRPr="00686922" w:rsidRDefault="004D71EE" w:rsidP="00686922">
            <w:pPr>
              <w:pStyle w:val="TOC2"/>
              <w:rPr>
                <w:rStyle w:val="Hyperlink"/>
                <w:color w:val="000000" w:themeColor="text1"/>
                <w:sz w:val="20"/>
              </w:rPr>
            </w:pPr>
          </w:p>
        </w:tc>
        <w:tc>
          <w:tcPr>
            <w:tcW w:w="4977" w:type="dxa"/>
          </w:tcPr>
          <w:p w14:paraId="2CE24622" w14:textId="77777777" w:rsidR="004D71EE" w:rsidRPr="00686922" w:rsidRDefault="004D71EE" w:rsidP="00686922">
            <w:pPr>
              <w:pStyle w:val="TOC2"/>
              <w:rPr>
                <w:rStyle w:val="Hyperlink"/>
                <w:color w:val="000000" w:themeColor="text1"/>
                <w:sz w:val="20"/>
              </w:rPr>
            </w:pPr>
            <w:r w:rsidRPr="00686922">
              <w:rPr>
                <w:rStyle w:val="Hyperlink"/>
                <w:color w:val="000000" w:themeColor="text1"/>
                <w:sz w:val="20"/>
              </w:rPr>
              <w:t>Centre of competence</w:t>
            </w:r>
          </w:p>
        </w:tc>
      </w:tr>
      <w:tr w:rsidR="004D71EE" w:rsidRPr="00686922" w14:paraId="7D9F5890" w14:textId="77777777" w:rsidTr="0066498E">
        <w:tc>
          <w:tcPr>
            <w:tcW w:w="1696" w:type="dxa"/>
          </w:tcPr>
          <w:p w14:paraId="1E46BBB6" w14:textId="77777777" w:rsidR="004D71EE" w:rsidRPr="00686922" w:rsidRDefault="004D71EE" w:rsidP="00686922">
            <w:pPr>
              <w:pStyle w:val="TOC2"/>
              <w:rPr>
                <w:rStyle w:val="Hyperlink"/>
                <w:color w:val="000000" w:themeColor="text1"/>
                <w:sz w:val="20"/>
              </w:rPr>
            </w:pPr>
            <w:r w:rsidRPr="00686922">
              <w:rPr>
                <w:rStyle w:val="Hyperlink"/>
                <w:color w:val="000000" w:themeColor="text1"/>
                <w:sz w:val="20"/>
              </w:rPr>
              <w:t xml:space="preserve">ESIF                </w:t>
            </w:r>
          </w:p>
        </w:tc>
        <w:tc>
          <w:tcPr>
            <w:tcW w:w="2268" w:type="dxa"/>
          </w:tcPr>
          <w:p w14:paraId="1A9BEDD7" w14:textId="77777777" w:rsidR="004D71EE" w:rsidRPr="00686922" w:rsidRDefault="004D71EE" w:rsidP="00686922">
            <w:pPr>
              <w:pStyle w:val="TOC2"/>
              <w:rPr>
                <w:rStyle w:val="Hyperlink"/>
                <w:color w:val="000000" w:themeColor="text1"/>
                <w:sz w:val="20"/>
              </w:rPr>
            </w:pPr>
          </w:p>
        </w:tc>
        <w:tc>
          <w:tcPr>
            <w:tcW w:w="4977" w:type="dxa"/>
          </w:tcPr>
          <w:p w14:paraId="6B0017D6" w14:textId="77777777" w:rsidR="004D71EE" w:rsidRPr="00686922" w:rsidRDefault="004D71EE" w:rsidP="00686922">
            <w:pPr>
              <w:pStyle w:val="TOC2"/>
              <w:rPr>
                <w:rStyle w:val="Hyperlink"/>
                <w:color w:val="000000" w:themeColor="text1"/>
                <w:sz w:val="20"/>
              </w:rPr>
            </w:pPr>
            <w:r w:rsidRPr="00686922">
              <w:rPr>
                <w:rStyle w:val="Hyperlink"/>
                <w:color w:val="000000" w:themeColor="text1"/>
                <w:sz w:val="20"/>
              </w:rPr>
              <w:t>European Structural and Investment Funds</w:t>
            </w:r>
          </w:p>
        </w:tc>
      </w:tr>
      <w:tr w:rsidR="004D71EE" w:rsidRPr="00686922" w14:paraId="023F8400" w14:textId="77777777" w:rsidTr="0066498E">
        <w:tc>
          <w:tcPr>
            <w:tcW w:w="1696" w:type="dxa"/>
          </w:tcPr>
          <w:p w14:paraId="651574D6" w14:textId="77777777" w:rsidR="004D71EE" w:rsidRPr="00686922" w:rsidRDefault="004D71EE" w:rsidP="00686922">
            <w:pPr>
              <w:pStyle w:val="TOC2"/>
              <w:rPr>
                <w:rStyle w:val="Hyperlink"/>
                <w:color w:val="000000" w:themeColor="text1"/>
                <w:sz w:val="20"/>
              </w:rPr>
            </w:pPr>
            <w:r w:rsidRPr="00686922">
              <w:rPr>
                <w:rStyle w:val="Hyperlink"/>
                <w:color w:val="000000" w:themeColor="text1"/>
                <w:sz w:val="20"/>
              </w:rPr>
              <w:t>GP</w:t>
            </w:r>
          </w:p>
        </w:tc>
        <w:tc>
          <w:tcPr>
            <w:tcW w:w="2268" w:type="dxa"/>
          </w:tcPr>
          <w:p w14:paraId="03301E92" w14:textId="77777777" w:rsidR="004D71EE" w:rsidRPr="00686922" w:rsidRDefault="004D71EE" w:rsidP="00686922">
            <w:pPr>
              <w:pStyle w:val="TOC2"/>
              <w:rPr>
                <w:rStyle w:val="Hyperlink"/>
                <w:color w:val="000000" w:themeColor="text1"/>
                <w:sz w:val="20"/>
              </w:rPr>
            </w:pPr>
          </w:p>
        </w:tc>
        <w:tc>
          <w:tcPr>
            <w:tcW w:w="4977" w:type="dxa"/>
          </w:tcPr>
          <w:p w14:paraId="68117EEF" w14:textId="77777777" w:rsidR="004D71EE" w:rsidRPr="00686922" w:rsidRDefault="004D71EE" w:rsidP="00686922">
            <w:pPr>
              <w:pStyle w:val="TOC2"/>
              <w:rPr>
                <w:rStyle w:val="Hyperlink"/>
                <w:color w:val="000000" w:themeColor="text1"/>
                <w:sz w:val="20"/>
              </w:rPr>
            </w:pPr>
            <w:r w:rsidRPr="00686922">
              <w:rPr>
                <w:rStyle w:val="Hyperlink"/>
                <w:color w:val="000000" w:themeColor="text1"/>
                <w:sz w:val="20"/>
              </w:rPr>
              <w:t>Good practice</w:t>
            </w:r>
          </w:p>
        </w:tc>
      </w:tr>
      <w:tr w:rsidR="004D71EE" w:rsidRPr="00686922" w14:paraId="7CC3633B" w14:textId="77777777" w:rsidTr="0066498E">
        <w:tc>
          <w:tcPr>
            <w:tcW w:w="1696" w:type="dxa"/>
          </w:tcPr>
          <w:p w14:paraId="59B7B111" w14:textId="77777777" w:rsidR="004D71EE" w:rsidRPr="00686922" w:rsidRDefault="004D71EE" w:rsidP="00686922">
            <w:pPr>
              <w:pStyle w:val="TOC2"/>
              <w:rPr>
                <w:rStyle w:val="Hyperlink"/>
                <w:color w:val="000000" w:themeColor="text1"/>
                <w:sz w:val="20"/>
              </w:rPr>
            </w:pPr>
            <w:r w:rsidRPr="00686922">
              <w:rPr>
                <w:rStyle w:val="Hyperlink"/>
                <w:color w:val="000000" w:themeColor="text1"/>
                <w:sz w:val="20"/>
              </w:rPr>
              <w:t>IE</w:t>
            </w:r>
          </w:p>
        </w:tc>
        <w:tc>
          <w:tcPr>
            <w:tcW w:w="2268" w:type="dxa"/>
          </w:tcPr>
          <w:p w14:paraId="7710B470" w14:textId="77777777" w:rsidR="004D71EE" w:rsidRPr="00686922" w:rsidRDefault="004D71EE" w:rsidP="00686922">
            <w:pPr>
              <w:pStyle w:val="TOC2"/>
              <w:rPr>
                <w:rStyle w:val="Hyperlink"/>
                <w:color w:val="000000" w:themeColor="text1"/>
                <w:sz w:val="20"/>
              </w:rPr>
            </w:pPr>
          </w:p>
        </w:tc>
        <w:tc>
          <w:tcPr>
            <w:tcW w:w="4977" w:type="dxa"/>
          </w:tcPr>
          <w:p w14:paraId="56E726AB" w14:textId="77777777" w:rsidR="004D71EE" w:rsidRPr="00686922" w:rsidRDefault="004D71EE" w:rsidP="00686922">
            <w:pPr>
              <w:pStyle w:val="TOC2"/>
              <w:rPr>
                <w:rStyle w:val="Hyperlink"/>
                <w:color w:val="000000" w:themeColor="text1"/>
                <w:sz w:val="20"/>
              </w:rPr>
            </w:pPr>
            <w:r w:rsidRPr="00686922">
              <w:rPr>
                <w:rStyle w:val="Hyperlink"/>
                <w:color w:val="000000" w:themeColor="text1"/>
                <w:sz w:val="20"/>
              </w:rPr>
              <w:t>Interreg Europe</w:t>
            </w:r>
          </w:p>
        </w:tc>
      </w:tr>
      <w:tr w:rsidR="004D71EE" w:rsidRPr="00686922" w14:paraId="60B7F680" w14:textId="77777777" w:rsidTr="0066498E">
        <w:tc>
          <w:tcPr>
            <w:tcW w:w="1696" w:type="dxa"/>
          </w:tcPr>
          <w:p w14:paraId="6EC2CAF6" w14:textId="77777777" w:rsidR="004D71EE" w:rsidRPr="00686922" w:rsidRDefault="004D71EE" w:rsidP="00686922">
            <w:pPr>
              <w:pStyle w:val="TOC2"/>
              <w:rPr>
                <w:rStyle w:val="Hyperlink"/>
                <w:color w:val="000000" w:themeColor="text1"/>
                <w:sz w:val="20"/>
              </w:rPr>
            </w:pPr>
            <w:r w:rsidRPr="00686922">
              <w:rPr>
                <w:rStyle w:val="Hyperlink"/>
                <w:color w:val="000000" w:themeColor="text1"/>
                <w:sz w:val="20"/>
              </w:rPr>
              <w:t>PLP</w:t>
            </w:r>
          </w:p>
        </w:tc>
        <w:tc>
          <w:tcPr>
            <w:tcW w:w="2268" w:type="dxa"/>
          </w:tcPr>
          <w:p w14:paraId="41F13B60" w14:textId="77777777" w:rsidR="004D71EE" w:rsidRPr="00686922" w:rsidRDefault="004D71EE" w:rsidP="00686922">
            <w:pPr>
              <w:pStyle w:val="TOC2"/>
              <w:rPr>
                <w:rStyle w:val="Hyperlink"/>
                <w:color w:val="000000" w:themeColor="text1"/>
                <w:sz w:val="20"/>
              </w:rPr>
            </w:pPr>
          </w:p>
        </w:tc>
        <w:tc>
          <w:tcPr>
            <w:tcW w:w="4977" w:type="dxa"/>
          </w:tcPr>
          <w:p w14:paraId="5E7F9D07" w14:textId="77777777" w:rsidR="004D71EE" w:rsidRPr="00686922" w:rsidRDefault="004D71EE" w:rsidP="00686922">
            <w:pPr>
              <w:pStyle w:val="TOC2"/>
              <w:rPr>
                <w:rStyle w:val="Hyperlink"/>
                <w:color w:val="000000" w:themeColor="text1"/>
                <w:sz w:val="20"/>
              </w:rPr>
            </w:pPr>
            <w:r w:rsidRPr="00686922">
              <w:rPr>
                <w:rStyle w:val="Hyperlink"/>
                <w:color w:val="000000" w:themeColor="text1"/>
                <w:sz w:val="20"/>
              </w:rPr>
              <w:t>Policy learning platform</w:t>
            </w:r>
          </w:p>
        </w:tc>
      </w:tr>
      <w:tr w:rsidR="004D71EE" w:rsidRPr="00686922" w14:paraId="5ABF17C3" w14:textId="77777777" w:rsidTr="0066498E">
        <w:tc>
          <w:tcPr>
            <w:tcW w:w="1696" w:type="dxa"/>
          </w:tcPr>
          <w:p w14:paraId="0C7867FE" w14:textId="77777777" w:rsidR="004D71EE" w:rsidRPr="00686922" w:rsidRDefault="004D71EE" w:rsidP="00686922">
            <w:pPr>
              <w:pStyle w:val="TOC2"/>
              <w:rPr>
                <w:rStyle w:val="Hyperlink"/>
                <w:color w:val="000000" w:themeColor="text1"/>
                <w:sz w:val="20"/>
              </w:rPr>
            </w:pPr>
            <w:r w:rsidRPr="00686922">
              <w:rPr>
                <w:rStyle w:val="Hyperlink"/>
                <w:color w:val="000000" w:themeColor="text1"/>
                <w:sz w:val="20"/>
              </w:rPr>
              <w:t>PP</w:t>
            </w:r>
          </w:p>
        </w:tc>
        <w:tc>
          <w:tcPr>
            <w:tcW w:w="2268" w:type="dxa"/>
          </w:tcPr>
          <w:p w14:paraId="023A2670" w14:textId="77777777" w:rsidR="004D71EE" w:rsidRPr="00686922" w:rsidRDefault="004D71EE" w:rsidP="00686922">
            <w:pPr>
              <w:pStyle w:val="TOC2"/>
              <w:rPr>
                <w:rStyle w:val="Hyperlink"/>
                <w:color w:val="000000" w:themeColor="text1"/>
                <w:sz w:val="20"/>
              </w:rPr>
            </w:pPr>
          </w:p>
        </w:tc>
        <w:tc>
          <w:tcPr>
            <w:tcW w:w="4977" w:type="dxa"/>
          </w:tcPr>
          <w:p w14:paraId="0BE13BC8" w14:textId="77777777" w:rsidR="004D71EE" w:rsidRPr="00686922" w:rsidRDefault="004D71EE" w:rsidP="00686922">
            <w:pPr>
              <w:pStyle w:val="TOC2"/>
              <w:rPr>
                <w:rStyle w:val="Hyperlink"/>
                <w:color w:val="000000" w:themeColor="text1"/>
                <w:sz w:val="20"/>
              </w:rPr>
            </w:pPr>
            <w:r w:rsidRPr="00686922">
              <w:rPr>
                <w:rStyle w:val="Hyperlink"/>
                <w:color w:val="000000" w:themeColor="text1"/>
                <w:sz w:val="20"/>
              </w:rPr>
              <w:t>Project partner</w:t>
            </w:r>
          </w:p>
        </w:tc>
      </w:tr>
      <w:tr w:rsidR="004D71EE" w:rsidRPr="00686922" w14:paraId="1001643D" w14:textId="77777777" w:rsidTr="0066498E">
        <w:tc>
          <w:tcPr>
            <w:tcW w:w="1696" w:type="dxa"/>
          </w:tcPr>
          <w:p w14:paraId="6FFF75D6" w14:textId="77777777" w:rsidR="004D71EE" w:rsidRPr="00686922" w:rsidRDefault="004D71EE" w:rsidP="00686922">
            <w:pPr>
              <w:pStyle w:val="TOC2"/>
              <w:rPr>
                <w:rStyle w:val="Hyperlink"/>
                <w:color w:val="000000" w:themeColor="text1"/>
                <w:sz w:val="20"/>
              </w:rPr>
            </w:pPr>
          </w:p>
        </w:tc>
        <w:tc>
          <w:tcPr>
            <w:tcW w:w="2268" w:type="dxa"/>
          </w:tcPr>
          <w:p w14:paraId="365873C6" w14:textId="77777777" w:rsidR="004D71EE" w:rsidRPr="00686922" w:rsidRDefault="004D71EE" w:rsidP="00686922">
            <w:pPr>
              <w:pStyle w:val="TOC2"/>
              <w:rPr>
                <w:rStyle w:val="Hyperlink"/>
                <w:color w:val="000000" w:themeColor="text1"/>
                <w:sz w:val="20"/>
              </w:rPr>
            </w:pPr>
          </w:p>
        </w:tc>
        <w:tc>
          <w:tcPr>
            <w:tcW w:w="4977" w:type="dxa"/>
          </w:tcPr>
          <w:p w14:paraId="7A5E5575" w14:textId="77777777" w:rsidR="004D71EE" w:rsidRPr="00686922" w:rsidRDefault="004D71EE" w:rsidP="00686922">
            <w:pPr>
              <w:pStyle w:val="TOC2"/>
              <w:rPr>
                <w:rStyle w:val="Hyperlink"/>
                <w:color w:val="000000" w:themeColor="text1"/>
                <w:sz w:val="20"/>
              </w:rPr>
            </w:pPr>
          </w:p>
        </w:tc>
      </w:tr>
      <w:tr w:rsidR="004D71EE" w:rsidRPr="00686922" w14:paraId="6EDEA4EF" w14:textId="77777777" w:rsidTr="0066498E">
        <w:tc>
          <w:tcPr>
            <w:tcW w:w="1696" w:type="dxa"/>
          </w:tcPr>
          <w:p w14:paraId="206F4005" w14:textId="77777777" w:rsidR="004D71EE" w:rsidRPr="00686922" w:rsidRDefault="004D71EE" w:rsidP="00686922">
            <w:pPr>
              <w:pStyle w:val="TOC2"/>
              <w:rPr>
                <w:rStyle w:val="Hyperlink"/>
                <w:color w:val="000000" w:themeColor="text1"/>
                <w:sz w:val="20"/>
              </w:rPr>
            </w:pPr>
          </w:p>
        </w:tc>
        <w:tc>
          <w:tcPr>
            <w:tcW w:w="2268" w:type="dxa"/>
          </w:tcPr>
          <w:p w14:paraId="66F7BAB5" w14:textId="77777777" w:rsidR="004D71EE" w:rsidRPr="00686922" w:rsidRDefault="004D71EE" w:rsidP="00686922">
            <w:pPr>
              <w:pStyle w:val="TOC2"/>
              <w:rPr>
                <w:rStyle w:val="Hyperlink"/>
                <w:color w:val="000000" w:themeColor="text1"/>
                <w:sz w:val="20"/>
              </w:rPr>
            </w:pPr>
          </w:p>
        </w:tc>
        <w:tc>
          <w:tcPr>
            <w:tcW w:w="4977" w:type="dxa"/>
          </w:tcPr>
          <w:p w14:paraId="48C2A91D" w14:textId="77777777" w:rsidR="004D71EE" w:rsidRPr="00686922" w:rsidRDefault="004D71EE" w:rsidP="00686922">
            <w:pPr>
              <w:pStyle w:val="TOC2"/>
              <w:rPr>
                <w:rStyle w:val="Hyperlink"/>
                <w:color w:val="000000" w:themeColor="text1"/>
                <w:sz w:val="20"/>
              </w:rPr>
            </w:pPr>
          </w:p>
        </w:tc>
      </w:tr>
    </w:tbl>
    <w:p w14:paraId="332170A8" w14:textId="77777777" w:rsidR="00817E9E" w:rsidRPr="00E14342" w:rsidRDefault="00817E9E" w:rsidP="006B4C85">
      <w:pPr>
        <w:pStyle w:val="Body3"/>
      </w:pPr>
    </w:p>
    <w:p w14:paraId="24EBA94F" w14:textId="77777777" w:rsidR="00817E9E" w:rsidRPr="00E14342" w:rsidRDefault="00817E9E" w:rsidP="006B4C85">
      <w:pPr>
        <w:pStyle w:val="Body3"/>
      </w:pPr>
    </w:p>
    <w:p w14:paraId="7FCB1217" w14:textId="77777777" w:rsidR="00817E9E" w:rsidRPr="00E14342" w:rsidRDefault="00817E9E" w:rsidP="006B4C85">
      <w:pPr>
        <w:pStyle w:val="Body3"/>
      </w:pPr>
    </w:p>
    <w:p w14:paraId="2C81E6C1" w14:textId="77777777" w:rsidR="00817E9E" w:rsidRPr="00E14342" w:rsidRDefault="00817E9E" w:rsidP="006B4C85">
      <w:pPr>
        <w:pStyle w:val="Body3"/>
      </w:pPr>
    </w:p>
    <w:p w14:paraId="0E7E5142" w14:textId="77777777" w:rsidR="00817E9E" w:rsidRPr="00E14342" w:rsidRDefault="00817E9E" w:rsidP="006B4C85">
      <w:pPr>
        <w:pStyle w:val="Body3"/>
      </w:pPr>
    </w:p>
    <w:p w14:paraId="1F000DF8" w14:textId="77777777" w:rsidR="00817E9E" w:rsidRPr="00E14342" w:rsidRDefault="00817E9E" w:rsidP="006B4C85">
      <w:pPr>
        <w:pStyle w:val="Body3"/>
      </w:pPr>
    </w:p>
    <w:p w14:paraId="6024B763" w14:textId="77777777" w:rsidR="00817E9E" w:rsidRPr="00E14342" w:rsidRDefault="00817E9E" w:rsidP="008457AD">
      <w:pPr>
        <w:pStyle w:val="Heading8"/>
      </w:pPr>
      <w:bookmarkStart w:id="8" w:name="_Toc353827529"/>
    </w:p>
    <w:p w14:paraId="7B9C3810" w14:textId="77777777" w:rsidR="00817E9E" w:rsidRPr="00E14342" w:rsidRDefault="00817E9E" w:rsidP="008457AD">
      <w:pPr>
        <w:pStyle w:val="Heading8"/>
      </w:pPr>
    </w:p>
    <w:p w14:paraId="331FBB9E" w14:textId="77777777" w:rsidR="00817E9E" w:rsidRPr="00E14342" w:rsidRDefault="00817E9E" w:rsidP="008457AD">
      <w:pPr>
        <w:pStyle w:val="Heading8"/>
      </w:pPr>
    </w:p>
    <w:p w14:paraId="0D46650F" w14:textId="77777777" w:rsidR="00735AF0" w:rsidRPr="00E14342" w:rsidRDefault="00735AF0" w:rsidP="008457AD">
      <w:pPr>
        <w:pStyle w:val="Heading8"/>
      </w:pPr>
    </w:p>
    <w:p w14:paraId="6E16D0BF" w14:textId="77777777" w:rsidR="007F0465" w:rsidRPr="00E14342" w:rsidRDefault="007F0465" w:rsidP="008457AD">
      <w:pPr>
        <w:pStyle w:val="Heading8"/>
      </w:pPr>
    </w:p>
    <w:p w14:paraId="375FA1D8" w14:textId="127469BB" w:rsidR="000F381C" w:rsidRDefault="000F381C" w:rsidP="000F381C">
      <w:pPr>
        <w:rPr>
          <w:lang w:val="en-US" w:eastAsia="en-GB"/>
        </w:rPr>
      </w:pPr>
    </w:p>
    <w:p w14:paraId="63DF6856" w14:textId="189EABEE" w:rsidR="000F381C" w:rsidRDefault="000F381C" w:rsidP="000F381C">
      <w:pPr>
        <w:rPr>
          <w:lang w:val="en-US" w:eastAsia="en-GB"/>
        </w:rPr>
      </w:pPr>
    </w:p>
    <w:p w14:paraId="1A368ACD" w14:textId="06CF21CE" w:rsidR="000F381C" w:rsidRDefault="000F381C" w:rsidP="000F381C">
      <w:pPr>
        <w:rPr>
          <w:lang w:val="en-US" w:eastAsia="en-GB"/>
        </w:rPr>
      </w:pPr>
    </w:p>
    <w:p w14:paraId="535081E6" w14:textId="774A73DD" w:rsidR="000F381C" w:rsidRDefault="000F381C" w:rsidP="000F381C">
      <w:pPr>
        <w:rPr>
          <w:lang w:val="en-US" w:eastAsia="en-GB"/>
        </w:rPr>
      </w:pPr>
    </w:p>
    <w:p w14:paraId="7E4BE7F5" w14:textId="07D2959B" w:rsidR="000F381C" w:rsidRDefault="000F381C" w:rsidP="000F381C">
      <w:pPr>
        <w:rPr>
          <w:lang w:val="en-US" w:eastAsia="en-GB"/>
        </w:rPr>
      </w:pPr>
    </w:p>
    <w:p w14:paraId="34C221D1" w14:textId="77777777" w:rsidR="000F381C" w:rsidRPr="000F381C" w:rsidRDefault="000F381C" w:rsidP="000F381C">
      <w:pPr>
        <w:rPr>
          <w:lang w:val="en-US" w:eastAsia="en-GB"/>
        </w:rPr>
      </w:pPr>
    </w:p>
    <w:p w14:paraId="483A4EBD" w14:textId="77777777" w:rsidR="00686922" w:rsidRDefault="00686922" w:rsidP="0071392B">
      <w:pPr>
        <w:pStyle w:val="Heading2"/>
      </w:pPr>
      <w:bookmarkStart w:id="9" w:name="_Toc502477959"/>
      <w:bookmarkStart w:id="10" w:name="_Toc526583505"/>
    </w:p>
    <w:p w14:paraId="0A30AC35" w14:textId="77777777" w:rsidR="00686922" w:rsidRDefault="00686922" w:rsidP="0071392B">
      <w:pPr>
        <w:pStyle w:val="Heading2"/>
      </w:pPr>
    </w:p>
    <w:p w14:paraId="47725DBD" w14:textId="77777777" w:rsidR="00686922" w:rsidRDefault="00686922" w:rsidP="0071392B">
      <w:pPr>
        <w:pStyle w:val="Heading2"/>
      </w:pPr>
    </w:p>
    <w:p w14:paraId="02F69FCF" w14:textId="77777777" w:rsidR="00686922" w:rsidRDefault="00686922" w:rsidP="0071392B">
      <w:pPr>
        <w:pStyle w:val="Heading2"/>
      </w:pPr>
    </w:p>
    <w:p w14:paraId="138B9287" w14:textId="77777777" w:rsidR="00C701E7" w:rsidRDefault="00C701E7" w:rsidP="0071392B">
      <w:pPr>
        <w:pStyle w:val="Heading2"/>
      </w:pPr>
    </w:p>
    <w:p w14:paraId="2CF87EE7" w14:textId="77777777" w:rsidR="00C701E7" w:rsidRDefault="00C701E7" w:rsidP="0071392B">
      <w:pPr>
        <w:pStyle w:val="Heading2"/>
      </w:pPr>
    </w:p>
    <w:p w14:paraId="484DC589" w14:textId="77777777" w:rsidR="00C701E7" w:rsidRDefault="00C701E7" w:rsidP="0071392B">
      <w:pPr>
        <w:pStyle w:val="Heading2"/>
      </w:pPr>
    </w:p>
    <w:p w14:paraId="142867FC" w14:textId="77777777" w:rsidR="00C701E7" w:rsidRDefault="00C701E7" w:rsidP="0071392B">
      <w:pPr>
        <w:pStyle w:val="Heading2"/>
      </w:pPr>
    </w:p>
    <w:p w14:paraId="2F3B041B" w14:textId="6A9FEBDD" w:rsidR="00817E9E" w:rsidRPr="00E14342" w:rsidRDefault="00F9370A" w:rsidP="0071392B">
      <w:pPr>
        <w:pStyle w:val="Heading2"/>
      </w:pPr>
      <w:bookmarkStart w:id="11" w:name="_Toc526586508"/>
      <w:r w:rsidRPr="00E14342">
        <w:t>C</w:t>
      </w:r>
      <w:r w:rsidR="00817E9E" w:rsidRPr="00E14342">
        <w:t>ontributions</w:t>
      </w:r>
      <w:bookmarkEnd w:id="8"/>
      <w:bookmarkEnd w:id="9"/>
      <w:bookmarkEnd w:id="10"/>
      <w:bookmarkEnd w:id="11"/>
    </w:p>
    <w:p w14:paraId="06195E26" w14:textId="77777777" w:rsidR="00817E9E" w:rsidRPr="00E14342" w:rsidRDefault="00817E9E" w:rsidP="009D7571">
      <w:pPr>
        <w:pStyle w:val="ListNumber"/>
        <w:numPr>
          <w:ilvl w:val="0"/>
          <w:numId w:val="17"/>
        </w:numPr>
      </w:pPr>
      <w:r w:rsidRPr="00E14342">
        <w:t xml:space="preserve">GP theme 1 good practice collection, processing, analysis and communication with the partners: CERTH, PP9 and CEEI Burgos PP8; </w:t>
      </w:r>
    </w:p>
    <w:p w14:paraId="50464FA6" w14:textId="77777777" w:rsidR="00817E9E" w:rsidRPr="00E14342" w:rsidRDefault="00817E9E" w:rsidP="009D7571">
      <w:pPr>
        <w:pStyle w:val="ListNumber"/>
        <w:numPr>
          <w:ilvl w:val="0"/>
          <w:numId w:val="17"/>
        </w:numPr>
      </w:pPr>
      <w:r w:rsidRPr="00E14342">
        <w:t>GP theme 2 good practice collection, processing, analysis and communication with the partners: CERTH PP9.</w:t>
      </w:r>
    </w:p>
    <w:p w14:paraId="738AC35C" w14:textId="77777777" w:rsidR="00817E9E" w:rsidRPr="00E14342" w:rsidRDefault="00817E9E" w:rsidP="009D7571">
      <w:pPr>
        <w:pStyle w:val="ListNumber"/>
        <w:numPr>
          <w:ilvl w:val="0"/>
          <w:numId w:val="17"/>
        </w:numPr>
      </w:pPr>
      <w:r w:rsidRPr="00E14342">
        <w:t>GP theme 3 good practice collection, processing, analysis and communication with the partners: CEEI Burgos PP8, CERTH PP9.</w:t>
      </w:r>
    </w:p>
    <w:p w14:paraId="56C01093" w14:textId="77777777" w:rsidR="00C31D78" w:rsidRPr="00E14342" w:rsidRDefault="00C31D78" w:rsidP="009D7571">
      <w:pPr>
        <w:pStyle w:val="ListNumber"/>
        <w:numPr>
          <w:ilvl w:val="0"/>
          <w:numId w:val="17"/>
        </w:numPr>
      </w:pPr>
      <w:r w:rsidRPr="00E14342">
        <w:t>Good practice capitalisation report: Alterra PP10, HURC PP4, CEEI Burgos PP8, CERTH PP9 and KE PP1.</w:t>
      </w:r>
    </w:p>
    <w:p w14:paraId="06C450D2" w14:textId="77777777" w:rsidR="003E73C6" w:rsidRPr="00E14342" w:rsidRDefault="00817E9E" w:rsidP="009D7571">
      <w:pPr>
        <w:pStyle w:val="ListNumber"/>
        <w:numPr>
          <w:ilvl w:val="0"/>
          <w:numId w:val="17"/>
        </w:numPr>
      </w:pPr>
      <w:r w:rsidRPr="00E14342">
        <w:t>GP contributions:  All partners.</w:t>
      </w:r>
      <w:r w:rsidR="003E73C6" w:rsidRPr="00E14342">
        <w:t xml:space="preserve"> </w:t>
      </w:r>
    </w:p>
    <w:p w14:paraId="75CEC5FF" w14:textId="1708D62C" w:rsidR="00A83FFA" w:rsidRDefault="00866404" w:rsidP="009D7571">
      <w:pPr>
        <w:pStyle w:val="ListNumber"/>
        <w:numPr>
          <w:ilvl w:val="0"/>
          <w:numId w:val="17"/>
        </w:numPr>
      </w:pPr>
      <w:r w:rsidRPr="00E14342">
        <w:t xml:space="preserve">Four </w:t>
      </w:r>
      <w:r w:rsidR="002F7748" w:rsidRPr="00E14342">
        <w:t>GPs</w:t>
      </w:r>
      <w:r w:rsidR="00655EB7" w:rsidRPr="00E14342">
        <w:t xml:space="preserve"> come from three other Interreg Europe projects: </w:t>
      </w:r>
      <w:r w:rsidR="002F7748" w:rsidRPr="00E14342">
        <w:t>STEINBEIS NETWORK (</w:t>
      </w:r>
      <w:r w:rsidR="003530D5" w:rsidRPr="00E14342">
        <w:t>UpGradeSME (PGI00115)</w:t>
      </w:r>
      <w:r w:rsidR="002F7748" w:rsidRPr="00E14342">
        <w:t>)</w:t>
      </w:r>
      <w:r w:rsidR="003530D5" w:rsidRPr="00E14342">
        <w:t xml:space="preserve">, </w:t>
      </w:r>
      <w:r w:rsidR="002F7748" w:rsidRPr="00E14342">
        <w:t>SCALE</w:t>
      </w:r>
      <w:r w:rsidR="002C4887" w:rsidRPr="00E14342">
        <w:t xml:space="preserve"> </w:t>
      </w:r>
      <w:r w:rsidR="002F7748" w:rsidRPr="00E14342">
        <w:t>UP DENMARK </w:t>
      </w:r>
      <w:r w:rsidR="00EF0BAA" w:rsidRPr="00E14342">
        <w:t xml:space="preserve">and </w:t>
      </w:r>
      <w:r w:rsidR="002F7748" w:rsidRPr="00E14342">
        <w:t>PATENTS BANK (</w:t>
      </w:r>
      <w:r w:rsidR="002C4887" w:rsidRPr="00E14342">
        <w:t xml:space="preserve">both </w:t>
      </w:r>
      <w:r w:rsidR="0020624B" w:rsidRPr="00E14342">
        <w:t xml:space="preserve">from </w:t>
      </w:r>
      <w:r w:rsidR="00850EA1" w:rsidRPr="00E14342">
        <w:t>iEER (PGI 00111),</w:t>
      </w:r>
      <w:r w:rsidR="00655EB7" w:rsidRPr="00E14342">
        <w:t xml:space="preserve"> and </w:t>
      </w:r>
      <w:r w:rsidR="002C4887" w:rsidRPr="00E14342">
        <w:t>INTOA </w:t>
      </w:r>
      <w:r w:rsidR="003743DA" w:rsidRPr="00E14342">
        <w:t>L</w:t>
      </w:r>
      <w:r w:rsidR="002C4887" w:rsidRPr="00E14342">
        <w:t>EAN BUSINESS (</w:t>
      </w:r>
      <w:r w:rsidR="003530D5" w:rsidRPr="00E14342">
        <w:t>ecoRIS3 (PGI</w:t>
      </w:r>
      <w:r w:rsidR="0024549A" w:rsidRPr="00E14342">
        <w:t xml:space="preserve"> 02229))</w:t>
      </w:r>
      <w:r w:rsidR="00655EB7" w:rsidRPr="00E14342">
        <w:t xml:space="preserve">. </w:t>
      </w:r>
      <w:r w:rsidR="00AC0EAD" w:rsidRPr="00E14342">
        <w:t xml:space="preserve">One GP (High Technology farming platform) reached us through the mediation of PP9 CERTH and the kind contribution of the Region of Central Macedonia, Greece. </w:t>
      </w:r>
      <w:r w:rsidR="00655EB7" w:rsidRPr="00E14342">
        <w:t xml:space="preserve">BRIDGES project thanks warmly </w:t>
      </w:r>
      <w:r w:rsidR="004A7359" w:rsidRPr="00E14342">
        <w:t xml:space="preserve">the colleagues for sharing their GPs with us. </w:t>
      </w:r>
      <w:bookmarkStart w:id="12" w:name="_Toc353104258"/>
      <w:bookmarkStart w:id="13" w:name="_Toc354519045"/>
      <w:bookmarkStart w:id="14" w:name="_Toc368210670"/>
    </w:p>
    <w:p w14:paraId="490D020B" w14:textId="799B0AB9" w:rsidR="00095949" w:rsidRDefault="00095949" w:rsidP="00095949">
      <w:pPr>
        <w:pStyle w:val="ListNumber"/>
      </w:pPr>
    </w:p>
    <w:p w14:paraId="4BF76693" w14:textId="4061BB03" w:rsidR="00095949" w:rsidRDefault="00095949" w:rsidP="00095949">
      <w:pPr>
        <w:pStyle w:val="ListNumber"/>
      </w:pPr>
    </w:p>
    <w:p w14:paraId="00504825" w14:textId="77777777" w:rsidR="00095949" w:rsidRPr="00E14342" w:rsidRDefault="00095949" w:rsidP="00095949">
      <w:pPr>
        <w:pStyle w:val="ListNumber"/>
      </w:pPr>
    </w:p>
    <w:p w14:paraId="195EAA1E" w14:textId="31591237" w:rsidR="00817E9E" w:rsidRPr="00E14342" w:rsidRDefault="00207EC0" w:rsidP="00C701E7">
      <w:pPr>
        <w:pStyle w:val="Heading1"/>
      </w:pPr>
      <w:bookmarkStart w:id="15" w:name="_Toc526583506"/>
      <w:bookmarkStart w:id="16" w:name="_Toc526586509"/>
      <w:bookmarkEnd w:id="12"/>
      <w:bookmarkEnd w:id="13"/>
      <w:bookmarkEnd w:id="14"/>
      <w:r>
        <w:t>Overview</w:t>
      </w:r>
      <w:bookmarkEnd w:id="15"/>
      <w:bookmarkEnd w:id="16"/>
    </w:p>
    <w:p w14:paraId="5FB106CE" w14:textId="56C9A8DD" w:rsidR="00817E9E" w:rsidRPr="00E14342" w:rsidRDefault="007E6437" w:rsidP="000F381C">
      <w:r w:rsidRPr="00E14342">
        <w:t>The BRIDGES project aims at imp</w:t>
      </w:r>
      <w:r w:rsidR="00817E9E" w:rsidRPr="00E14342">
        <w:t>r</w:t>
      </w:r>
      <w:r w:rsidRPr="00E14342">
        <w:t>o</w:t>
      </w:r>
      <w:r w:rsidR="00817E9E" w:rsidRPr="00E14342">
        <w:t xml:space="preserve">ving the effectiveness of RIS3 implementation in </w:t>
      </w:r>
      <w:r w:rsidR="00A83FFA" w:rsidRPr="00E14342">
        <w:t xml:space="preserve">the partner regions, at making </w:t>
      </w:r>
      <w:r w:rsidR="00817E9E" w:rsidRPr="00E14342">
        <w:t xml:space="preserve">more “visible” the results of this policy ‘on the ground’. The </w:t>
      </w:r>
      <w:r w:rsidRPr="00E14342">
        <w:t xml:space="preserve">project focus is on </w:t>
      </w:r>
      <w:r w:rsidR="00817E9E" w:rsidRPr="00E14342">
        <w:t>und</w:t>
      </w:r>
      <w:r w:rsidRPr="00E14342">
        <w:t>erstanding better and remedying</w:t>
      </w:r>
      <w:r w:rsidR="00817E9E" w:rsidRPr="00E14342">
        <w:t xml:space="preserve"> mismatches between the productive and </w:t>
      </w:r>
      <w:r w:rsidR="00571D9B" w:rsidRPr="00E14342">
        <w:t>knowledge</w:t>
      </w:r>
      <w:r w:rsidR="00817E9E" w:rsidRPr="00E14342">
        <w:t xml:space="preserve"> bases (industry, research and methodological types of knowledge) of less advanced regions by linking them to knowledge institutions of more advanced regions and also by benefitting from the methodologies of the latter. The problematique that generated BRIDGES project is how RIS3 principles and theory can be applied to regions that are ‘structurally imperfect’ i.e. they may lack various types of resources (knowledge, business, mar</w:t>
      </w:r>
      <w:r w:rsidR="00A83FFA" w:rsidRPr="00E14342">
        <w:t>ket, infrastructures, attitudes</w:t>
      </w:r>
      <w:r w:rsidR="00817E9E" w:rsidRPr="00E14342">
        <w:t xml:space="preserve">…) or the resources they have, do not complement each other. Unavoidably such regions risk </w:t>
      </w:r>
      <w:r w:rsidR="00571D9B" w:rsidRPr="00E14342">
        <w:t>lagging</w:t>
      </w:r>
      <w:r w:rsidR="00817E9E" w:rsidRPr="00E14342">
        <w:t xml:space="preserve"> behind, including in RIS3 implementation benefits. </w:t>
      </w:r>
    </w:p>
    <w:p w14:paraId="7328FCDC" w14:textId="0B628650" w:rsidR="00817E9E" w:rsidRDefault="005F43B7" w:rsidP="000F381C">
      <w:r w:rsidRPr="00E14342">
        <w:t>The BRIDGES project good practices (GP) are planned to address three themes: Industry-led centres of competence as RIS3 innovation infrastructures (GP theme 1), Research-to-business innovation partnerships (GP theme 2) and Multilevel synergies (GP theme 3) including combination of funds and interregional innovation partnerships and joint initiatives beyond the end of the project</w:t>
      </w:r>
      <w:r w:rsidRPr="00E14342">
        <w:rPr>
          <w:rStyle w:val="FootnoteReference"/>
        </w:rPr>
        <w:footnoteReference w:id="1"/>
      </w:r>
      <w:r w:rsidRPr="00E14342">
        <w:rPr>
          <w:rStyle w:val="FootnoteReference"/>
        </w:rPr>
        <w:t>,</w:t>
      </w:r>
      <w:r w:rsidRPr="00E14342">
        <w:rPr>
          <w:rStyle w:val="FootnoteReference"/>
        </w:rPr>
        <w:footnoteReference w:id="2"/>
      </w:r>
      <w:r w:rsidRPr="00E14342">
        <w:rPr>
          <w:rStyle w:val="FootnoteReference"/>
        </w:rPr>
        <w:t>.</w:t>
      </w:r>
      <w:r w:rsidRPr="00E14342">
        <w:t xml:space="preserve"> encouraged as per Annex 1 Coordination and Synergies between ESI funds and other Union </w:t>
      </w:r>
      <w:r w:rsidR="00571D9B" w:rsidRPr="00E14342">
        <w:t>policies</w:t>
      </w:r>
      <w:r w:rsidRPr="00E14342">
        <w:t xml:space="preserve"> and instruments</w:t>
      </w:r>
      <w:r w:rsidRPr="00E14342">
        <w:rPr>
          <w:rStyle w:val="FootnoteReference"/>
        </w:rPr>
        <w:footnoteReference w:id="3"/>
      </w:r>
      <w:r w:rsidRPr="00E14342">
        <w:t xml:space="preserve"> thanks to the emphasis on linking cohesion to innovation actions. RIS3 implementation effectiveness, being in the centre of BRIDGES priorities, can benefit from the provisions of Annex 1. The three GP themes were identified</w:t>
      </w:r>
      <w:r w:rsidRPr="00E14342">
        <w:rPr>
          <w:rStyle w:val="FootnoteReference"/>
        </w:rPr>
        <w:footnoteReference w:id="4"/>
      </w:r>
      <w:r w:rsidRPr="00E14342">
        <w:rPr>
          <w:rStyle w:val="FootnoteReference"/>
        </w:rPr>
        <w:t xml:space="preserve"> </w:t>
      </w:r>
      <w:r w:rsidRPr="00E14342">
        <w:t xml:space="preserve">and prioritised by the project partners during the project preparation period as essential to the </w:t>
      </w:r>
      <w:r w:rsidR="00571D9B" w:rsidRPr="00E14342">
        <w:t>successful</w:t>
      </w:r>
      <w:r w:rsidRPr="00E14342">
        <w:t xml:space="preserve"> implementation of any regional innovation strategy. They deal with structures and functions of innovation infrastructures, processes &amp; methodologies promoting research-to-business rather than just business-to-research partnerships, and initiatives / solutions to overcome regional (or even simply conjectural) limitations. These considerations were </w:t>
      </w:r>
      <w:r w:rsidR="00866404" w:rsidRPr="00E14342">
        <w:t xml:space="preserve">taken into account also in the </w:t>
      </w:r>
      <w:r w:rsidRPr="00E14342">
        <w:t>formulation of</w:t>
      </w:r>
      <w:r w:rsidR="00025021" w:rsidRPr="00E14342">
        <w:t xml:space="preserve"> the regional innovation maps. </w:t>
      </w:r>
      <w:r w:rsidRPr="00E14342">
        <w:t xml:space="preserve">The </w:t>
      </w:r>
      <w:r w:rsidRPr="00E14342">
        <w:lastRenderedPageBreak/>
        <w:t xml:space="preserve">GP contributions, assessment (by the advisory team PP8 CEEI Burgos and PP9 CERTH), analysis (among all the partners) and eventually transfer, </w:t>
      </w:r>
      <w:r w:rsidR="008A0A20" w:rsidRPr="00E14342">
        <w:t xml:space="preserve">are supported by the discussion on the </w:t>
      </w:r>
      <w:r w:rsidRPr="00E14342">
        <w:t xml:space="preserve">terms of reference </w:t>
      </w:r>
      <w:r w:rsidR="008A0A20" w:rsidRPr="00E14342">
        <w:t xml:space="preserve">of each one of the thematic </w:t>
      </w:r>
      <w:r w:rsidRPr="00E14342">
        <w:t xml:space="preserve">objectives. </w:t>
      </w:r>
      <w:r w:rsidR="00817E9E" w:rsidRPr="00E14342">
        <w:t xml:space="preserve">During the 1st semester (9.2.2016 – 30.9.2016) </w:t>
      </w:r>
      <w:r w:rsidR="007E6437" w:rsidRPr="00E14342">
        <w:t xml:space="preserve">the project partners </w:t>
      </w:r>
      <w:r w:rsidR="00817E9E" w:rsidRPr="00E14342">
        <w:t>worked on the conceptual and theoretical background of each one of the GP themes. Partners CEEI Burgos (PP8), Alterra P</w:t>
      </w:r>
      <w:r w:rsidR="00EE6226" w:rsidRPr="00E14342">
        <w:t>P10 – withdrew in November 2016</w:t>
      </w:r>
      <w:r w:rsidR="00817E9E" w:rsidRPr="00E14342">
        <w:t>, and Kainuun Etu (PP1) cooperated to formulate the background material for each one of the GP themes. This material is integrated into the GP summary reports for the most part</w:t>
      </w:r>
      <w:r w:rsidR="00C61DA6" w:rsidRPr="00E14342">
        <w:t xml:space="preserve"> or is </w:t>
      </w:r>
      <w:r w:rsidR="0047454B" w:rsidRPr="00E14342">
        <w:t>part of the background references</w:t>
      </w:r>
      <w:r w:rsidR="00817E9E" w:rsidRPr="00E14342">
        <w:t xml:space="preserve">. According to the action plan of the project, the good practice </w:t>
      </w:r>
      <w:r w:rsidR="00866404" w:rsidRPr="00E14342">
        <w:t xml:space="preserve">collection and summary reports </w:t>
      </w:r>
      <w:r w:rsidR="00EE6226" w:rsidRPr="00E14342">
        <w:t xml:space="preserve">were </w:t>
      </w:r>
      <w:r w:rsidR="00817E9E" w:rsidRPr="00E14342">
        <w:t>planned for the end of the 2</w:t>
      </w:r>
      <w:r w:rsidR="00817E9E" w:rsidRPr="00E14342">
        <w:rPr>
          <w:vertAlign w:val="superscript"/>
        </w:rPr>
        <w:t>nd</w:t>
      </w:r>
      <w:r w:rsidR="00817E9E" w:rsidRPr="00E14342">
        <w:t xml:space="preserve"> semester, i.e. 31.3.2017. However, the </w:t>
      </w:r>
      <w:r w:rsidR="00EE6226" w:rsidRPr="00E14342">
        <w:t xml:space="preserve">task </w:t>
      </w:r>
      <w:r w:rsidR="00817E9E" w:rsidRPr="00E14342">
        <w:t>proved more demanding than expected. The challenge has been that it was difficult to collect from within the partnership sufficiently strong GPs. We agreed an extension of th</w:t>
      </w:r>
      <w:r w:rsidR="00EE6226" w:rsidRPr="00E14342">
        <w:t xml:space="preserve">e </w:t>
      </w:r>
      <w:r w:rsidR="00571D9B" w:rsidRPr="00E14342">
        <w:t>deadline</w:t>
      </w:r>
      <w:r w:rsidR="00EE6226" w:rsidRPr="00E14342">
        <w:t xml:space="preserve"> to 15.9</w:t>
      </w:r>
      <w:r w:rsidR="00817E9E" w:rsidRPr="00E14342">
        <w:t>.2017, while we would stick to the time plan, by analysing and presenting the GPs that were col</w:t>
      </w:r>
      <w:r w:rsidR="00EE6226" w:rsidRPr="00E14342">
        <w:t>lected till the 31st March 2017 during the 4</w:t>
      </w:r>
      <w:r w:rsidR="00EE6226" w:rsidRPr="00E14342">
        <w:rPr>
          <w:vertAlign w:val="superscript"/>
        </w:rPr>
        <w:t>th</w:t>
      </w:r>
      <w:r w:rsidR="00EE6226" w:rsidRPr="00E14342">
        <w:t xml:space="preserve"> interregional policy learning session (IPL) in Helsinki, </w:t>
      </w:r>
      <w:r w:rsidR="00571D9B" w:rsidRPr="00E14342">
        <w:t>June</w:t>
      </w:r>
      <w:r w:rsidR="00EE6226" w:rsidRPr="00E14342">
        <w:t xml:space="preserve"> 7</w:t>
      </w:r>
      <w:r w:rsidR="00EE6226" w:rsidRPr="00E14342">
        <w:rPr>
          <w:vertAlign w:val="superscript"/>
        </w:rPr>
        <w:t>th</w:t>
      </w:r>
      <w:r w:rsidR="00EE6226" w:rsidRPr="00E14342">
        <w:t xml:space="preserve"> and 8</w:t>
      </w:r>
      <w:r w:rsidR="00EE6226" w:rsidRPr="00E14342">
        <w:rPr>
          <w:vertAlign w:val="superscript"/>
        </w:rPr>
        <w:t>th</w:t>
      </w:r>
      <w:r w:rsidR="00EE6226" w:rsidRPr="00E14342">
        <w:t xml:space="preserve"> 2017.</w:t>
      </w:r>
    </w:p>
    <w:p w14:paraId="60272564" w14:textId="198DE8C3" w:rsidR="00C701E7" w:rsidRDefault="00456265" w:rsidP="005D54F9">
      <w:r>
        <w:t xml:space="preserve">This report is organised into </w:t>
      </w:r>
      <w:r w:rsidR="00FB568F">
        <w:t>six sections</w:t>
      </w:r>
      <w:r w:rsidR="00C701E7">
        <w:t xml:space="preserve">: </w:t>
      </w:r>
      <w:r w:rsidR="00FB568F" w:rsidRPr="0010691B">
        <w:rPr>
          <w:i/>
        </w:rPr>
        <w:t xml:space="preserve">1. </w:t>
      </w:r>
      <w:r w:rsidR="00C701E7" w:rsidRPr="0010691B">
        <w:rPr>
          <w:i/>
        </w:rPr>
        <w:t>Overview</w:t>
      </w:r>
      <w:r w:rsidR="00FB568F">
        <w:t xml:space="preserve"> (this section), </w:t>
      </w:r>
      <w:r w:rsidR="007A2E46">
        <w:t xml:space="preserve"> </w:t>
      </w:r>
      <w:hyperlink w:anchor="_Thematic_discussion" w:history="1">
        <w:r w:rsidR="0010691B" w:rsidRPr="00B03777">
          <w:rPr>
            <w:rStyle w:val="Hyperlink"/>
            <w:i/>
            <w:color w:val="000000" w:themeColor="text1"/>
            <w:sz w:val="18"/>
            <w:highlight w:val="lightGray"/>
          </w:rPr>
          <w:t>2. Thematic discussion</w:t>
        </w:r>
      </w:hyperlink>
      <w:r w:rsidR="0010691B" w:rsidRPr="00B92D46">
        <w:rPr>
          <w:i/>
        </w:rPr>
        <w:t>,</w:t>
      </w:r>
      <w:r w:rsidR="0010691B">
        <w:t xml:space="preserve"> including: </w:t>
      </w:r>
      <w:r w:rsidR="0010691B" w:rsidRPr="00B92D46">
        <w:rPr>
          <w:i/>
        </w:rPr>
        <w:t>GP theme 1 Industry-led centres of competence as RIS3 innovation infrastructures</w:t>
      </w:r>
      <w:r w:rsidR="0010691B">
        <w:t xml:space="preserve">; </w:t>
      </w:r>
      <w:r w:rsidR="0010691B" w:rsidRPr="00B92D46">
        <w:rPr>
          <w:i/>
        </w:rPr>
        <w:t>Good practice theme 2 Research to business innovation partnerships</w:t>
      </w:r>
      <w:r w:rsidR="0010691B">
        <w:t xml:space="preserve">; and </w:t>
      </w:r>
      <w:r w:rsidR="0010691B" w:rsidRPr="0010691B">
        <w:rPr>
          <w:i/>
        </w:rPr>
        <w:t>Good practice theme 3 Multi-level synergies</w:t>
      </w:r>
      <w:r w:rsidR="0010691B">
        <w:tab/>
        <w:t>.</w:t>
      </w:r>
      <w:r w:rsidR="0010691B">
        <w:t xml:space="preserve"> Section 2 is aligned with the </w:t>
      </w:r>
      <w:r w:rsidR="00215DF9">
        <w:t>methodological approach already included into approved BRIDGES application form and adhered to, during the GP analysis period: inte</w:t>
      </w:r>
      <w:r w:rsidR="00F8213B">
        <w:t xml:space="preserve">rpretation of the GP theme (its objectives),  criteria for the GP identification and description, GP contribution. The GP </w:t>
      </w:r>
      <w:r w:rsidR="003E1F3C">
        <w:t xml:space="preserve">and disucssion is in section </w:t>
      </w:r>
      <w:hyperlink w:anchor="_Good_practice_discussion" w:history="1">
        <w:r w:rsidR="00B03777" w:rsidRPr="00B03777">
          <w:rPr>
            <w:rStyle w:val="Hyperlink"/>
            <w:i/>
            <w:color w:val="000000" w:themeColor="text1"/>
            <w:sz w:val="18"/>
            <w:highlight w:val="lightGray"/>
          </w:rPr>
          <w:t>3</w:t>
        </w:r>
        <w:r w:rsidR="003E1F3C" w:rsidRPr="00B03777">
          <w:rPr>
            <w:rStyle w:val="Hyperlink"/>
            <w:i/>
            <w:color w:val="000000" w:themeColor="text1"/>
            <w:sz w:val="18"/>
            <w:highlight w:val="lightGray"/>
          </w:rPr>
          <w:t xml:space="preserve">. </w:t>
        </w:r>
        <w:r w:rsidR="003E1F3C" w:rsidRPr="00B03777">
          <w:rPr>
            <w:rStyle w:val="Hyperlink"/>
            <w:i/>
            <w:color w:val="000000" w:themeColor="text1"/>
            <w:sz w:val="18"/>
            <w:highlight w:val="lightGray"/>
          </w:rPr>
          <w:t>Good practice discussion</w:t>
        </w:r>
      </w:hyperlink>
      <w:r w:rsidR="003E1F3C">
        <w:t xml:space="preserve">; </w:t>
      </w:r>
      <w:r w:rsidR="00956ACD">
        <w:t xml:space="preserve">including comments for their transferability and </w:t>
      </w:r>
      <w:r w:rsidR="007E59E3">
        <w:t>acc</w:t>
      </w:r>
      <w:r w:rsidR="003E1F3C">
        <w:t>ess locations found in</w:t>
      </w:r>
      <w:r w:rsidR="007E59E3">
        <w:t xml:space="preserve">  </w:t>
      </w:r>
      <w:r w:rsidR="007E59E3">
        <w:fldChar w:fldCharType="begin"/>
      </w:r>
      <w:r w:rsidR="007E59E3">
        <w:instrText xml:space="preserve"> REF _Ref526490533 \h </w:instrText>
      </w:r>
      <w:r w:rsidR="007E59E3">
        <w:fldChar w:fldCharType="separate"/>
      </w:r>
      <w:r w:rsidR="007E59E3" w:rsidRPr="006559BC">
        <w:t xml:space="preserve">Table </w:t>
      </w:r>
      <w:r w:rsidR="007E59E3">
        <w:rPr>
          <w:noProof/>
        </w:rPr>
        <w:t>1</w:t>
      </w:r>
      <w:r w:rsidR="007E59E3" w:rsidRPr="006559BC">
        <w:t xml:space="preserve"> Summary of the BRIDGES project good practice contributions</w:t>
      </w:r>
      <w:r w:rsidR="007E59E3">
        <w:fldChar w:fldCharType="end"/>
      </w:r>
      <w:r w:rsidR="007E59E3">
        <w:t>.</w:t>
      </w:r>
      <w:r w:rsidR="00ED1D6A">
        <w:t xml:space="preserve"> </w:t>
      </w:r>
      <w:r w:rsidR="00B03777">
        <w:t>Then follow s</w:t>
      </w:r>
      <w:r w:rsidR="00ED1D6A">
        <w:t xml:space="preserve">ections </w:t>
      </w:r>
      <w:hyperlink w:anchor="_Good_practice_transfer" w:history="1">
        <w:r w:rsidR="00B03777" w:rsidRPr="001F2F89">
          <w:rPr>
            <w:rStyle w:val="Hyperlink"/>
            <w:i/>
            <w:color w:val="000000" w:themeColor="text1"/>
            <w:sz w:val="18"/>
            <w:highlight w:val="lightGray"/>
          </w:rPr>
          <w:t>4</w:t>
        </w:r>
        <w:r w:rsidR="00ED1D6A" w:rsidRPr="001F2F89">
          <w:rPr>
            <w:rStyle w:val="Hyperlink"/>
            <w:i/>
            <w:color w:val="000000" w:themeColor="text1"/>
            <w:sz w:val="18"/>
            <w:highlight w:val="lightGray"/>
          </w:rPr>
          <w:t xml:space="preserve">. </w:t>
        </w:r>
        <w:r w:rsidR="00ED1D6A" w:rsidRPr="001F2F89">
          <w:rPr>
            <w:rStyle w:val="Hyperlink"/>
            <w:i/>
            <w:color w:val="000000" w:themeColor="text1"/>
            <w:sz w:val="18"/>
            <w:highlight w:val="lightGray"/>
          </w:rPr>
          <w:t>Good practice transfer</w:t>
        </w:r>
      </w:hyperlink>
      <w:r w:rsidR="00ED1D6A">
        <w:t>,</w:t>
      </w:r>
      <w:r w:rsidR="005D54F9">
        <w:t xml:space="preserve"> </w:t>
      </w:r>
      <w:hyperlink w:anchor="_References" w:history="1">
        <w:r w:rsidR="005D54F9" w:rsidRPr="005D54F9">
          <w:rPr>
            <w:rStyle w:val="Hyperlink"/>
            <w:i/>
            <w:color w:val="000000" w:themeColor="text1"/>
            <w:sz w:val="18"/>
            <w:highlight w:val="lightGray"/>
          </w:rPr>
          <w:t>5. References</w:t>
        </w:r>
      </w:hyperlink>
      <w:r w:rsidR="005D54F9">
        <w:t xml:space="preserve"> </w:t>
      </w:r>
      <w:r w:rsidR="00B03777">
        <w:t xml:space="preserve">including </w:t>
      </w:r>
      <w:r w:rsidR="00C701E7" w:rsidRPr="005D54F9">
        <w:rPr>
          <w:i/>
        </w:rPr>
        <w:t>Some useful re</w:t>
      </w:r>
      <w:r w:rsidR="00B03777" w:rsidRPr="005D54F9">
        <w:rPr>
          <w:i/>
        </w:rPr>
        <w:t>adings, Good practice theme 1</w:t>
      </w:r>
      <w:r w:rsidR="00B03777">
        <w:t xml:space="preserve">, </w:t>
      </w:r>
      <w:r w:rsidR="00B03777" w:rsidRPr="005D54F9">
        <w:rPr>
          <w:i/>
        </w:rPr>
        <w:t>S</w:t>
      </w:r>
      <w:r w:rsidR="00C701E7" w:rsidRPr="005D54F9">
        <w:rPr>
          <w:i/>
        </w:rPr>
        <w:t>ome useful re</w:t>
      </w:r>
      <w:r w:rsidR="00B03777" w:rsidRPr="005D54F9">
        <w:rPr>
          <w:i/>
        </w:rPr>
        <w:t>adings, Good practice theme 2</w:t>
      </w:r>
      <w:r w:rsidR="00B03777">
        <w:t xml:space="preserve">, </w:t>
      </w:r>
      <w:r w:rsidR="00C701E7" w:rsidRPr="00264A50">
        <w:rPr>
          <w:i/>
        </w:rPr>
        <w:t>Some useful readings, Good practice theme 3</w:t>
      </w:r>
      <w:r w:rsidR="00B03777">
        <w:t xml:space="preserve">, and </w:t>
      </w:r>
      <w:hyperlink w:anchor="_NOTES" w:history="1">
        <w:r w:rsidR="004C67AC">
          <w:rPr>
            <w:rStyle w:val="Hyperlink"/>
            <w:i/>
            <w:color w:val="000000" w:themeColor="text1"/>
            <w:sz w:val="18"/>
            <w:highlight w:val="lightGray"/>
          </w:rPr>
          <w:t>6</w:t>
        </w:r>
        <w:r w:rsidR="00C701E7" w:rsidRPr="00264A50">
          <w:rPr>
            <w:rStyle w:val="Hyperlink"/>
            <w:i/>
            <w:color w:val="000000" w:themeColor="text1"/>
            <w:sz w:val="18"/>
            <w:highlight w:val="lightGray"/>
          </w:rPr>
          <w:t>.</w:t>
        </w:r>
        <w:r w:rsidR="00B03777" w:rsidRPr="00264A50">
          <w:rPr>
            <w:rStyle w:val="Hyperlink"/>
            <w:i/>
            <w:color w:val="000000" w:themeColor="text1"/>
            <w:sz w:val="18"/>
            <w:highlight w:val="lightGray"/>
          </w:rPr>
          <w:t xml:space="preserve"> Notes</w:t>
        </w:r>
      </w:hyperlink>
      <w:r w:rsidR="00264A50">
        <w:t>.</w:t>
      </w:r>
      <w:r w:rsidR="00B03777">
        <w:t xml:space="preserve"> </w:t>
      </w:r>
    </w:p>
    <w:p w14:paraId="6C338860" w14:textId="77777777" w:rsidR="00C701E7" w:rsidRPr="00956ACD" w:rsidRDefault="00C701E7" w:rsidP="00956ACD">
      <w:bookmarkStart w:id="17" w:name="_GoBack"/>
      <w:bookmarkEnd w:id="17"/>
    </w:p>
    <w:p w14:paraId="3D2D00E4" w14:textId="49ED0387" w:rsidR="00D316FB" w:rsidRPr="00E14342" w:rsidRDefault="00FC0DA1" w:rsidP="00C701E7">
      <w:pPr>
        <w:pStyle w:val="Heading1"/>
      </w:pPr>
      <w:bookmarkStart w:id="18" w:name="_Toc502477964"/>
      <w:bookmarkStart w:id="19" w:name="_Toc353104262"/>
      <w:bookmarkStart w:id="20" w:name="_Toc354519050"/>
      <w:bookmarkStart w:id="21" w:name="_Toc368210673"/>
      <w:bookmarkStart w:id="22" w:name="_Ref368211539"/>
      <w:bookmarkStart w:id="23" w:name="_Toc526583507"/>
      <w:bookmarkStart w:id="24" w:name="_Thematic_discussion"/>
      <w:bookmarkStart w:id="25" w:name="_Toc526586510"/>
      <w:bookmarkEnd w:id="24"/>
      <w:r>
        <w:t xml:space="preserve">Thematic </w:t>
      </w:r>
      <w:r w:rsidR="00D316FB" w:rsidRPr="00E14342">
        <w:t>discussion</w:t>
      </w:r>
      <w:bookmarkEnd w:id="18"/>
      <w:bookmarkEnd w:id="23"/>
      <w:bookmarkEnd w:id="25"/>
    </w:p>
    <w:p w14:paraId="40927E23" w14:textId="36F707FE" w:rsidR="00817E9E" w:rsidRPr="00F53DA7" w:rsidRDefault="00D316FB" w:rsidP="0071392B">
      <w:pPr>
        <w:pStyle w:val="Heading2"/>
      </w:pPr>
      <w:bookmarkStart w:id="26" w:name="_Toc502477965"/>
      <w:bookmarkStart w:id="27" w:name="_Toc526583508"/>
      <w:bookmarkStart w:id="28" w:name="_Toc526586511"/>
      <w:r w:rsidRPr="00F53DA7">
        <w:t xml:space="preserve">GP </w:t>
      </w:r>
      <w:r w:rsidR="00817E9E" w:rsidRPr="00F53DA7">
        <w:t>theme 1 Industry-led centres of competence as RIS3 innovation infrastructures</w:t>
      </w:r>
      <w:bookmarkEnd w:id="19"/>
      <w:bookmarkEnd w:id="20"/>
      <w:bookmarkEnd w:id="21"/>
      <w:bookmarkEnd w:id="22"/>
      <w:bookmarkEnd w:id="26"/>
      <w:bookmarkEnd w:id="27"/>
      <w:bookmarkEnd w:id="28"/>
    </w:p>
    <w:p w14:paraId="1FC2F9D4" w14:textId="5F5B3430" w:rsidR="00AC4254" w:rsidRPr="00E14342" w:rsidRDefault="00A60FDD" w:rsidP="000F381C">
      <w:r w:rsidRPr="00E14342">
        <w:t xml:space="preserve">The objective of </w:t>
      </w:r>
      <w:r w:rsidR="00E25E86" w:rsidRPr="00E14342">
        <w:t xml:space="preserve">GP theme 1 is to collect, </w:t>
      </w:r>
      <w:r w:rsidR="00A97C7B" w:rsidRPr="00E14342">
        <w:t>analyse</w:t>
      </w:r>
      <w:r w:rsidR="00E25E86" w:rsidRPr="00E14342">
        <w:t xml:space="preserve"> and tra</w:t>
      </w:r>
      <w:r w:rsidRPr="00E14342">
        <w:t xml:space="preserve">nsfer good practices improving </w:t>
      </w:r>
      <w:r w:rsidR="00E25E86" w:rsidRPr="00E14342">
        <w:t xml:space="preserve">innovation infrastructures related to RIS3 </w:t>
      </w:r>
      <w:r w:rsidR="00A97C7B" w:rsidRPr="00E14342">
        <w:t>implementation</w:t>
      </w:r>
      <w:r w:rsidRPr="00E14342">
        <w:t xml:space="preserve">. The term adopted </w:t>
      </w:r>
      <w:r w:rsidR="00E25E86" w:rsidRPr="00E14342">
        <w:t xml:space="preserve">is </w:t>
      </w:r>
      <w:r w:rsidR="00E25E86" w:rsidRPr="00E14342">
        <w:rPr>
          <w:i/>
        </w:rPr>
        <w:t xml:space="preserve">industry led centres of competence </w:t>
      </w:r>
      <w:r w:rsidR="00C47BE3" w:rsidRPr="00E14342">
        <w:t>-CC</w:t>
      </w:r>
      <w:r w:rsidR="00E25E86" w:rsidRPr="00E14342">
        <w:t>:s for short</w:t>
      </w:r>
      <w:r w:rsidR="00E25E86" w:rsidRPr="00E14342">
        <w:rPr>
          <w:i/>
        </w:rPr>
        <w:t xml:space="preserve">. </w:t>
      </w:r>
      <w:r w:rsidR="00AC4254" w:rsidRPr="00E14342">
        <w:t xml:space="preserve">CCs are explored from organisational, operational, tactical and competence points of view; these issues are first introduced through </w:t>
      </w:r>
      <w:r w:rsidR="00C47BE3" w:rsidRPr="00E14342">
        <w:t xml:space="preserve">a </w:t>
      </w:r>
      <w:r w:rsidR="00AC4254" w:rsidRPr="00E14342">
        <w:t xml:space="preserve">thematic workshop (sem2), </w:t>
      </w:r>
      <w:r w:rsidR="00C47BE3" w:rsidRPr="00E14342">
        <w:t xml:space="preserve">and then </w:t>
      </w:r>
      <w:r w:rsidR="00AC4254" w:rsidRPr="00E14342">
        <w:t>in the GPs cont</w:t>
      </w:r>
      <w:r w:rsidR="00C47BE3" w:rsidRPr="00E14342">
        <w:t xml:space="preserve">ributed &amp; </w:t>
      </w:r>
      <w:r w:rsidR="00AC4254" w:rsidRPr="00E14342">
        <w:t>site visit</w:t>
      </w:r>
      <w:r w:rsidR="00C47BE3" w:rsidRPr="00E14342">
        <w:t>s</w:t>
      </w:r>
      <w:r w:rsidR="00AC4254" w:rsidRPr="00E14342">
        <w:t>. As improvement of innovation infrastructure is the heart of the project, an interregional workgroup</w:t>
      </w:r>
      <w:r w:rsidR="00C47BE3" w:rsidRPr="00E14342">
        <w:t xml:space="preserve"> (IWG1)</w:t>
      </w:r>
      <w:r w:rsidR="00AC4254" w:rsidRPr="00E14342">
        <w:t xml:space="preserve"> is dedicated accordingly, to </w:t>
      </w:r>
      <w:r w:rsidR="00C47BE3" w:rsidRPr="00E14342">
        <w:t>this issue, ensuring</w:t>
      </w:r>
      <w:r w:rsidR="00AC4254" w:rsidRPr="00E14342">
        <w:t xml:space="preserve"> deeper insights</w:t>
      </w:r>
      <w:r w:rsidR="00C47BE3" w:rsidRPr="00E14342">
        <w:t>, GP analysis, selection and transfer</w:t>
      </w:r>
      <w:r w:rsidR="00AC4254" w:rsidRPr="00E14342">
        <w:t xml:space="preserve"> among </w:t>
      </w:r>
      <w:r w:rsidR="00C47BE3" w:rsidRPr="00E14342">
        <w:t xml:space="preserve">the partners. </w:t>
      </w:r>
    </w:p>
    <w:p w14:paraId="4EFDE140" w14:textId="77777777" w:rsidR="00817E9E" w:rsidRPr="00F53DA7" w:rsidRDefault="00817E9E" w:rsidP="003676F1">
      <w:pPr>
        <w:pStyle w:val="Title"/>
      </w:pPr>
      <w:bookmarkStart w:id="29" w:name="_Toc354519051"/>
      <w:bookmarkStart w:id="30" w:name="_Toc368210674"/>
      <w:bookmarkStart w:id="31" w:name="_Toc502477966"/>
      <w:r w:rsidRPr="00F53DA7">
        <w:lastRenderedPageBreak/>
        <w:t>Background</w:t>
      </w:r>
      <w:bookmarkEnd w:id="29"/>
      <w:bookmarkEnd w:id="30"/>
      <w:bookmarkEnd w:id="31"/>
    </w:p>
    <w:p w14:paraId="434A5761" w14:textId="4980F00A" w:rsidR="00C9758C" w:rsidRPr="00E14342" w:rsidRDefault="00C9758C" w:rsidP="000F381C">
      <w:r w:rsidRPr="00E14342">
        <w:t xml:space="preserve">The problem GP theme 1 discusses is through what types of </w:t>
      </w:r>
      <w:r w:rsidR="00A97C7B" w:rsidRPr="00E14342">
        <w:t>structures</w:t>
      </w:r>
      <w:r w:rsidRPr="00E14342">
        <w:t xml:space="preserve"> and functions excellence will become accessible to the economy and to business applications.</w:t>
      </w:r>
    </w:p>
    <w:p w14:paraId="7CB73A99" w14:textId="68F697A3" w:rsidR="00817E9E" w:rsidRPr="00E14342" w:rsidRDefault="00817E9E" w:rsidP="000F381C">
      <w:r w:rsidRPr="00E14342">
        <w:t xml:space="preserve">An industry-led centre of competence (CCI) is a business intermediary dealing with industry-related growth and innovation priorities, set by an industry or a number of businesses under the said industry. Knowledge creation and knowledge </w:t>
      </w:r>
      <w:r w:rsidR="00A97C7B" w:rsidRPr="00E14342">
        <w:t>transfer</w:t>
      </w:r>
      <w:r w:rsidRPr="00E14342">
        <w:t xml:space="preserve"> between academia and industry are their key characteristics. Thus, CCI:s are project –based activities</w:t>
      </w:r>
      <w:r w:rsidRPr="00E14342">
        <w:rPr>
          <w:rStyle w:val="FootnoteReference"/>
        </w:rPr>
        <w:footnoteReference w:id="5"/>
      </w:r>
      <w:r w:rsidRPr="00E14342">
        <w:t xml:space="preserve">  and maybe hosted in own premises of a partner organisation or in an innovation intermediary infrastructure. During the last 25 years the concept has received considerable attention, and there are interesting implementation approaches, for example through the Swedish Centres of </w:t>
      </w:r>
      <w:r w:rsidR="00A97C7B" w:rsidRPr="00E14342">
        <w:t>Competence</w:t>
      </w:r>
      <w:r w:rsidRPr="00E14342">
        <w:t xml:space="preserve"> and the Finnish Programme of Centres of Expertise</w:t>
      </w:r>
      <w:r w:rsidRPr="00E14342">
        <w:rPr>
          <w:rStyle w:val="FootnoteReference"/>
        </w:rPr>
        <w:footnoteReference w:id="6"/>
      </w:r>
      <w:r w:rsidRPr="00E14342">
        <w:t>.</w:t>
      </w:r>
    </w:p>
    <w:p w14:paraId="2D7A03B5" w14:textId="7BA22111" w:rsidR="00D316FB" w:rsidRPr="00E14342" w:rsidRDefault="00817E9E" w:rsidP="000F381C">
      <w:r w:rsidRPr="00E14342">
        <w:t xml:space="preserve">In 2004, the EC set up the </w:t>
      </w:r>
      <w:r w:rsidRPr="00E14342">
        <w:rPr>
          <w:i/>
        </w:rPr>
        <w:t xml:space="preserve">European </w:t>
      </w:r>
      <w:r w:rsidR="00B02A88" w:rsidRPr="00E14342">
        <w:rPr>
          <w:i/>
        </w:rPr>
        <w:t xml:space="preserve">Union Scientific and Technical </w:t>
      </w:r>
      <w:r w:rsidRPr="00E14342">
        <w:rPr>
          <w:i/>
        </w:rPr>
        <w:t xml:space="preserve">Research Committee </w:t>
      </w:r>
      <w:r w:rsidRPr="00E14342">
        <w:t xml:space="preserve">– CREST, with the purpose to work on recommendations for best approaches to innovation generation and diffusion. </w:t>
      </w:r>
    </w:p>
    <w:p w14:paraId="4A1A4A0E" w14:textId="225DD447" w:rsidR="007C5773" w:rsidRDefault="00817E9E" w:rsidP="000F381C">
      <w:pPr>
        <w:rPr>
          <w:snapToGrid w:val="0"/>
        </w:rPr>
      </w:pPr>
      <w:r w:rsidRPr="00E14342">
        <w:t>In the 2008 document</w:t>
      </w:r>
      <w:r w:rsidRPr="00E14342">
        <w:rPr>
          <w:rStyle w:val="FootnoteReference"/>
        </w:rPr>
        <w:footnoteReference w:id="7"/>
      </w:r>
      <w:r w:rsidRPr="00E14342">
        <w:t xml:space="preserve">, CREST indicates that “Competence Centres are public-private research Centres of excellence that connect industry to research performing organisations in a sophisticated way so as to increase the generation and availability of new, industrially relevant knowledge potential. Companies need to employ new technologies effectively to ensure a competitive advantage, to boost innovative potential, to reduce costs and to bring new products and services to the market”; while in terms of ‘Industry-Led’ it was concluded that Member States had established different forms of Competence Centres with a common intention that </w:t>
      </w:r>
      <w:r w:rsidRPr="00E14342">
        <w:lastRenderedPageBreak/>
        <w:t xml:space="preserve">they all be Industry-Led in the sense that “their impact was to be felt directly through their impact on innovation and (economic) value creation”. </w:t>
      </w:r>
      <w:r w:rsidR="007C5773" w:rsidRPr="00E14342">
        <w:rPr>
          <w:snapToGrid w:val="0"/>
        </w:rPr>
        <w:t>The list of key activities of Centres of Competence (CC), indicated in the CREST report, reveal that they are meant as levers of regional modernisation and renewal</w:t>
      </w:r>
      <w:r w:rsidR="007C5773" w:rsidRPr="00E14342">
        <w:rPr>
          <w:rStyle w:val="FootnoteReference"/>
        </w:rPr>
        <w:footnoteReference w:id="8"/>
      </w:r>
      <w:r w:rsidR="007C5773" w:rsidRPr="00E14342">
        <w:rPr>
          <w:snapToGrid w:val="0"/>
        </w:rPr>
        <w:t xml:space="preserve"> for example “A very strong focus/ethos of generating and assisting industry in exploiting new knowledge as their primary objectives; A multidisciplinary research team covering the range of disciplines required to deliver on the problem focused research agenda; A research agenda which is directly relevant to the to the future needs of the industrial partners – more medium term market focused than technology driven, as witnessed by the clear commitment of the industry p</w:t>
      </w:r>
      <w:r w:rsidR="00207EC0">
        <w:rPr>
          <w:snapToGrid w:val="0"/>
        </w:rPr>
        <w:t>artners</w:t>
      </w:r>
      <w:r w:rsidR="007C5773" w:rsidRPr="00E14342">
        <w:rPr>
          <w:snapToGrid w:val="0"/>
        </w:rPr>
        <w:t>.</w:t>
      </w:r>
    </w:p>
    <w:p w14:paraId="5B2BE3E1" w14:textId="36E46791" w:rsidR="007A2E46" w:rsidRPr="006559BC" w:rsidRDefault="007A2E46" w:rsidP="007A2E46">
      <w:pPr>
        <w:pStyle w:val="Caption"/>
      </w:pPr>
      <w:bookmarkStart w:id="32" w:name="_Toc501915698"/>
      <w:bookmarkStart w:id="33" w:name="_Toc353827559"/>
      <w:bookmarkStart w:id="34" w:name="_Toc353827605"/>
      <w:bookmarkStart w:id="35" w:name="_Ref363926103"/>
      <w:r w:rsidRPr="006559BC">
        <w:t xml:space="preserve">Figure </w:t>
      </w:r>
      <w:r>
        <w:fldChar w:fldCharType="begin"/>
      </w:r>
      <w:r>
        <w:instrText xml:space="preserve"> SEQ Figure \* ARABIC </w:instrText>
      </w:r>
      <w:r>
        <w:fldChar w:fldCharType="separate"/>
      </w:r>
      <w:r>
        <w:rPr>
          <w:noProof/>
        </w:rPr>
        <w:t>2</w:t>
      </w:r>
      <w:r>
        <w:rPr>
          <w:noProof/>
        </w:rPr>
        <w:fldChar w:fldCharType="end"/>
      </w:r>
      <w:r w:rsidRPr="006559BC">
        <w:t xml:space="preserve"> Positioning and the dynamic of Competence Centres</w:t>
      </w:r>
      <w:bookmarkEnd w:id="32"/>
      <w:r>
        <w:rPr>
          <w:rStyle w:val="FootnoteReference"/>
        </w:rPr>
        <w:footnoteReference w:id="9"/>
      </w:r>
      <w:r w:rsidRPr="006559BC">
        <w:t xml:space="preserve"> </w:t>
      </w:r>
    </w:p>
    <w:bookmarkEnd w:id="33"/>
    <w:bookmarkEnd w:id="34"/>
    <w:bookmarkEnd w:id="35"/>
    <w:p w14:paraId="531BA220" w14:textId="3CD1D195" w:rsidR="00D316FB" w:rsidRPr="00E14342" w:rsidRDefault="007B793C" w:rsidP="000F381C">
      <w:pPr>
        <w:rPr>
          <w:snapToGrid w:val="0"/>
        </w:rPr>
      </w:pPr>
      <w:r w:rsidRPr="00E14342">
        <w:rPr>
          <w:noProof/>
          <w:lang w:eastAsia="en-GB"/>
        </w:rPr>
        <w:drawing>
          <wp:inline distT="0" distB="0" distL="0" distR="0" wp14:anchorId="644E1333" wp14:editId="6573EE7E">
            <wp:extent cx="4969142" cy="3412902"/>
            <wp:effectExtent l="0" t="0" r="0" b="3810"/>
            <wp:docPr id="14"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8691" cy="3426329"/>
                    </a:xfrm>
                    <a:prstGeom prst="rect">
                      <a:avLst/>
                    </a:prstGeom>
                    <a:noFill/>
                    <a:ln>
                      <a:noFill/>
                    </a:ln>
                  </pic:spPr>
                </pic:pic>
              </a:graphicData>
            </a:graphic>
          </wp:inline>
        </w:drawing>
      </w:r>
    </w:p>
    <w:p w14:paraId="464669A8" w14:textId="20E1FD42" w:rsidR="00817E9E" w:rsidRPr="00E14342" w:rsidRDefault="00817E9E" w:rsidP="000F381C">
      <w:pPr>
        <w:rPr>
          <w:snapToGrid w:val="0"/>
        </w:rPr>
      </w:pPr>
      <w:r w:rsidRPr="00E14342">
        <w:rPr>
          <w:snapToGrid w:val="0"/>
        </w:rPr>
        <w:t xml:space="preserve">The recommendations of the CREST group relating to Industry – led </w:t>
      </w:r>
      <w:r w:rsidR="00A97C7B" w:rsidRPr="00E14342">
        <w:rPr>
          <w:snapToGrid w:val="0"/>
        </w:rPr>
        <w:t>Centres</w:t>
      </w:r>
      <w:r w:rsidRPr="00E14342">
        <w:rPr>
          <w:snapToGrid w:val="0"/>
        </w:rPr>
        <w:t xml:space="preserve"> of Competence (CCI) were taken up by Horizon2020, (for example ERA projects, WIDESPREAD/TEAMING projects,…) and by some member states e.g. Austria (</w:t>
      </w:r>
      <w:hyperlink w:anchor="_FFG-Austrian_Research_Promotion" w:history="1">
        <w:r w:rsidRPr="00E14342">
          <w:rPr>
            <w:rStyle w:val="Hyperlink"/>
            <w:snapToGrid w:val="0"/>
            <w:sz w:val="20"/>
          </w:rPr>
          <w:t>FFG</w:t>
        </w:r>
      </w:hyperlink>
      <w:r w:rsidRPr="00E14342">
        <w:rPr>
          <w:snapToGrid w:val="0"/>
        </w:rPr>
        <w:t xml:space="preserve"> 2014), Ireland (</w:t>
      </w:r>
      <w:hyperlink w:anchor="_Enterprise_Ireland,_Technology" w:history="1">
        <w:r w:rsidRPr="00E14342">
          <w:rPr>
            <w:rStyle w:val="Hyperlink"/>
            <w:snapToGrid w:val="0"/>
            <w:sz w:val="20"/>
          </w:rPr>
          <w:t>Enterprise Ireland</w:t>
        </w:r>
      </w:hyperlink>
      <w:r w:rsidRPr="00E14342">
        <w:rPr>
          <w:snapToGrid w:val="0"/>
        </w:rPr>
        <w:t>), Netherlands, Sweden (</w:t>
      </w:r>
      <w:hyperlink w:anchor="Douglas Reeve et al, 2013.  Second Evaluation of VINN Excellence Centres - BiMaC Innovation, BIOMATCELL, CESC, Chase, ECO2, Faste, FunMat, GigaHertz, HELIX, Hero-m, iPACK, Mobile Life, ProNova, SAMOT, SuMo &amp; Wingquist , VINNOVA - Swedish Gove..." w:history="1">
        <w:r w:rsidRPr="00E14342">
          <w:rPr>
            <w:rStyle w:val="Hyperlink"/>
            <w:snapToGrid w:val="0"/>
            <w:sz w:val="20"/>
          </w:rPr>
          <w:t xml:space="preserve">Vinnova </w:t>
        </w:r>
        <w:r w:rsidRPr="00E14342">
          <w:rPr>
            <w:rStyle w:val="Hyperlink"/>
            <w:snapToGrid w:val="0"/>
            <w:sz w:val="20"/>
          </w:rPr>
          <w:lastRenderedPageBreak/>
          <w:t>2013a</w:t>
        </w:r>
      </w:hyperlink>
      <w:r w:rsidRPr="00E14342">
        <w:rPr>
          <w:snapToGrid w:val="0"/>
        </w:rPr>
        <w:t xml:space="preserve"> and </w:t>
      </w:r>
      <w:hyperlink w:anchor="_Peter_Stern,_Erik" w:history="1">
        <w:r w:rsidRPr="00E14342">
          <w:rPr>
            <w:rStyle w:val="Hyperlink"/>
            <w:snapToGrid w:val="0"/>
            <w:sz w:val="20"/>
          </w:rPr>
          <w:t>Vinnova 2013b</w:t>
        </w:r>
      </w:hyperlink>
      <w:r w:rsidRPr="00E14342">
        <w:rPr>
          <w:snapToGrid w:val="0"/>
        </w:rPr>
        <w:t>) and others; while the recommendations for more transnational cooperation (</w:t>
      </w:r>
      <w:hyperlink w:anchor="_CREST,_Increasing_the" w:history="1">
        <w:r w:rsidRPr="00E14342">
          <w:rPr>
            <w:rStyle w:val="Hyperlink"/>
            <w:snapToGrid w:val="0"/>
            <w:sz w:val="20"/>
          </w:rPr>
          <w:t>Increasing the impact of national research programmes through transnational cooperation and opening</w:t>
        </w:r>
        <w:r w:rsidRPr="00E14342">
          <w:rPr>
            <w:rStyle w:val="Hyperlink"/>
            <w:snapToGrid w:val="0"/>
            <w:sz w:val="22"/>
          </w:rPr>
          <w:t xml:space="preserve"> </w:t>
        </w:r>
      </w:hyperlink>
      <w:r w:rsidRPr="00E14342">
        <w:rPr>
          <w:snapToGrid w:val="0"/>
        </w:rPr>
        <w:t>) are reflected also in the new regulation of the ESIF allowing options for transnational cooperation beyond the programme area and territorial cooperation projects</w:t>
      </w:r>
      <w:r w:rsidRPr="00E14342">
        <w:rPr>
          <w:rStyle w:val="FootnoteReference"/>
          <w:snapToGrid w:val="0"/>
        </w:rPr>
        <w:footnoteReference w:id="10"/>
      </w:r>
      <w:r w:rsidRPr="00E14342">
        <w:rPr>
          <w:snapToGrid w:val="0"/>
        </w:rPr>
        <w:t>.</w:t>
      </w:r>
    </w:p>
    <w:p w14:paraId="16501F5C" w14:textId="617A69E2" w:rsidR="00817E9E" w:rsidRPr="00F53DA7" w:rsidRDefault="007A6AA9" w:rsidP="003676F1">
      <w:pPr>
        <w:pStyle w:val="Title"/>
      </w:pPr>
      <w:bookmarkStart w:id="36" w:name="_Toc502477967"/>
      <w:bookmarkStart w:id="37" w:name="_Toc353104264"/>
      <w:bookmarkStart w:id="38" w:name="_Toc354519052"/>
      <w:bookmarkStart w:id="39" w:name="_Toc368210675"/>
      <w:r w:rsidRPr="00F53DA7">
        <w:t xml:space="preserve">Interpretation of the </w:t>
      </w:r>
      <w:r w:rsidR="00F15416" w:rsidRPr="00F53DA7">
        <w:t xml:space="preserve">GP theme 1 </w:t>
      </w:r>
      <w:r w:rsidRPr="00F53DA7">
        <w:t xml:space="preserve">concept for the purposes of </w:t>
      </w:r>
      <w:r w:rsidR="00E14342" w:rsidRPr="00F53DA7">
        <w:t xml:space="preserve">the BRIDGES </w:t>
      </w:r>
      <w:r w:rsidRPr="00F53DA7">
        <w:t>project</w:t>
      </w:r>
      <w:bookmarkEnd w:id="36"/>
      <w:r w:rsidRPr="00F53DA7">
        <w:t xml:space="preserve"> </w:t>
      </w:r>
      <w:bookmarkEnd w:id="37"/>
      <w:bookmarkEnd w:id="38"/>
      <w:bookmarkEnd w:id="39"/>
    </w:p>
    <w:p w14:paraId="6353C18D" w14:textId="110983EF" w:rsidR="00013DAC" w:rsidRPr="00E14342" w:rsidRDefault="00817E9E" w:rsidP="000F381C">
      <w:r w:rsidRPr="00E14342">
        <w:t xml:space="preserve">In </w:t>
      </w:r>
      <w:r w:rsidR="007A6AA9" w:rsidRPr="00E14342">
        <w:t xml:space="preserve">the </w:t>
      </w:r>
      <w:r w:rsidRPr="00E14342">
        <w:t xml:space="preserve">BRIDGES project, </w:t>
      </w:r>
      <w:r w:rsidR="007A6AA9" w:rsidRPr="00E14342">
        <w:t xml:space="preserve">we first analysed </w:t>
      </w:r>
      <w:r w:rsidRPr="00E14342">
        <w:t>the state of play in the regions based on the information provided in the innovation maps and the numerous online exchanges with the partners</w:t>
      </w:r>
      <w:r w:rsidR="009F530B" w:rsidRPr="00E14342">
        <w:t xml:space="preserve">. We </w:t>
      </w:r>
      <w:r w:rsidRPr="00E14342">
        <w:t>understood that the “function” of CCI:s needs to be supported by parallel activities usually found in innovation intermediary infrastructures</w:t>
      </w:r>
      <w:r w:rsidR="009F530B" w:rsidRPr="00E14342">
        <w:t xml:space="preserve"> (often called </w:t>
      </w:r>
      <w:r w:rsidR="009F530B" w:rsidRPr="00E14342">
        <w:rPr>
          <w:i/>
        </w:rPr>
        <w:t>innovation agencies</w:t>
      </w:r>
      <w:r w:rsidR="009F530B" w:rsidRPr="00E14342">
        <w:t>)</w:t>
      </w:r>
      <w:r w:rsidR="00853714" w:rsidRPr="00E14342">
        <w:t xml:space="preserve">. I.e., it </w:t>
      </w:r>
      <w:r w:rsidR="00AF5212" w:rsidRPr="00E14342">
        <w:t>was necessary to relax</w:t>
      </w:r>
      <w:r w:rsidRPr="00E14342">
        <w:t xml:space="preserve"> the reference base of the GP to maxim</w:t>
      </w:r>
      <w:r w:rsidR="00AF5212" w:rsidRPr="00E14342">
        <w:t>ise its benefit to the regions (Figure 2).</w:t>
      </w:r>
      <w:r w:rsidR="00013DAC" w:rsidRPr="00E14342">
        <w:t xml:space="preserve"> Thus, it was decided to seek GPs 1) corresponding to the CCI concept as stated in the CREST group report; and / or 2) innovation intermediary infrastructure functions supporting</w:t>
      </w:r>
      <w:r w:rsidR="000C5C5F" w:rsidRPr="00E14342">
        <w:t xml:space="preserve"> industrial specialisation and </w:t>
      </w:r>
      <w:r w:rsidR="00013DAC" w:rsidRPr="00E14342">
        <w:t>explicitly building on collaborative research. It was expected that CCIs would be hosted and integrated for the long run into individual innovation infrastructures, parts of the regional innovation environment, innovation agencies, regional development companies or even university–based technology transfer offices. Examples of centres of excellence, if connected to CCIs</w:t>
      </w:r>
      <w:r w:rsidR="00013DAC" w:rsidRPr="00E14342">
        <w:rPr>
          <w:rStyle w:val="FootnoteReference"/>
        </w:rPr>
        <w:footnoteReference w:id="11"/>
      </w:r>
      <w:r w:rsidR="00013DAC" w:rsidRPr="00E14342">
        <w:t xml:space="preserve"> were not excluded. </w:t>
      </w:r>
    </w:p>
    <w:p w14:paraId="313EE95B" w14:textId="2D5176B0" w:rsidR="00B2500C" w:rsidRDefault="001C21B1" w:rsidP="000F381C">
      <w:r w:rsidRPr="00E14342">
        <w:t>I</w:t>
      </w:r>
      <w:r w:rsidR="00817E9E" w:rsidRPr="00E14342">
        <w:t xml:space="preserve">n this way, </w:t>
      </w:r>
      <w:r w:rsidRPr="00E14342">
        <w:t xml:space="preserve">covering both functional and institutional issues, </w:t>
      </w:r>
      <w:r w:rsidR="00817E9E" w:rsidRPr="00E14342">
        <w:t>better integration (</w:t>
      </w:r>
      <w:hyperlink w:anchor="_JEAN-ALAIN_HEÉRAUD,_2010." w:history="1">
        <w:r w:rsidR="00817E9E" w:rsidRPr="00E14342">
          <w:rPr>
            <w:rStyle w:val="Hyperlink"/>
          </w:rPr>
          <w:t>HÉRAUD, 2010</w:t>
        </w:r>
      </w:hyperlink>
      <w:r w:rsidR="00817E9E" w:rsidRPr="00E14342">
        <w:t>) of the less advanced regions in terms of u</w:t>
      </w:r>
      <w:r w:rsidR="00ED0639" w:rsidRPr="00E14342">
        <w:t>niversity/research-to-industry</w:t>
      </w:r>
      <w:r w:rsidR="008F79C0" w:rsidRPr="00E14342">
        <w:t xml:space="preserve"> </w:t>
      </w:r>
      <w:r w:rsidR="00817E9E" w:rsidRPr="00E14342">
        <w:t>interactions bo</w:t>
      </w:r>
      <w:r w:rsidR="008F79C0" w:rsidRPr="00E14342">
        <w:t xml:space="preserve">th </w:t>
      </w:r>
      <w:r w:rsidR="0094681E" w:rsidRPr="00E14342">
        <w:t>wi</w:t>
      </w:r>
      <w:r w:rsidR="0079624A" w:rsidRPr="00E14342">
        <w:t xml:space="preserve">thin and beyond the region, is </w:t>
      </w:r>
      <w:r w:rsidR="008F79C0" w:rsidRPr="00E14342">
        <w:t>achieved. I</w:t>
      </w:r>
      <w:r w:rsidR="00817E9E" w:rsidRPr="00E14342">
        <w:t>deally</w:t>
      </w:r>
      <w:r w:rsidR="008F79C0" w:rsidRPr="00E14342">
        <w:t>, the action plan</w:t>
      </w:r>
      <w:r w:rsidR="0094681E" w:rsidRPr="00E14342">
        <w:t>, through concrete projects</w:t>
      </w:r>
      <w:r w:rsidR="00817E9E" w:rsidRPr="00E14342">
        <w:t xml:space="preserve">, </w:t>
      </w:r>
      <w:r w:rsidR="0094681E" w:rsidRPr="00E14342">
        <w:t xml:space="preserve">will end </w:t>
      </w:r>
      <w:r w:rsidR="00817E9E" w:rsidRPr="00E14342">
        <w:t>in internalising (through regular interactions) external knowledge resources</w:t>
      </w:r>
      <w:r w:rsidR="0094681E" w:rsidRPr="00E14342">
        <w:t xml:space="preserve"> and interactions with local businesses</w:t>
      </w:r>
      <w:r w:rsidR="0052429E" w:rsidRPr="00E14342">
        <w:rPr>
          <w:rStyle w:val="FootnoteReference"/>
        </w:rPr>
        <w:footnoteReference w:id="12"/>
      </w:r>
      <w:r w:rsidR="00750D3A" w:rsidRPr="00E14342">
        <w:t>.</w:t>
      </w:r>
      <w:r w:rsidR="0079624A" w:rsidRPr="00E14342">
        <w:t xml:space="preserve"> </w:t>
      </w:r>
    </w:p>
    <w:p w14:paraId="29430652" w14:textId="31421B9D" w:rsidR="00095949" w:rsidRDefault="00095949" w:rsidP="000F381C"/>
    <w:p w14:paraId="502A2070" w14:textId="0AA0D896" w:rsidR="00095949" w:rsidRDefault="00095949" w:rsidP="000F381C"/>
    <w:p w14:paraId="57A1BC12" w14:textId="77777777" w:rsidR="00095949" w:rsidRPr="00E14342" w:rsidRDefault="00095949" w:rsidP="000F381C"/>
    <w:p w14:paraId="24E278DE" w14:textId="402BF522" w:rsidR="00FC0DA1" w:rsidRPr="006559BC" w:rsidRDefault="00FC0DA1" w:rsidP="00FC0DA1">
      <w:pPr>
        <w:pStyle w:val="Caption"/>
      </w:pPr>
      <w:bookmarkStart w:id="40" w:name="_Toc501915699"/>
      <w:r w:rsidRPr="00FC0DA1">
        <w:lastRenderedPageBreak/>
        <w:t xml:space="preserve">Figure </w:t>
      </w:r>
      <w:r w:rsidRPr="00FC0DA1">
        <w:fldChar w:fldCharType="begin"/>
      </w:r>
      <w:r w:rsidRPr="00FC0DA1">
        <w:instrText xml:space="preserve"> SEQ Figure \* ARABIC </w:instrText>
      </w:r>
      <w:r w:rsidRPr="00FC0DA1">
        <w:fldChar w:fldCharType="separate"/>
      </w:r>
      <w:r w:rsidRPr="00FC0DA1">
        <w:t>3</w:t>
      </w:r>
      <w:r w:rsidRPr="00FC0DA1">
        <w:fldChar w:fldCharType="end"/>
      </w:r>
      <w:r w:rsidRPr="00FC0DA1">
        <w:t xml:space="preserve"> The concept of the industry-led centre of competence interpreted for the</w:t>
      </w:r>
      <w:r w:rsidRPr="006559BC">
        <w:t xml:space="preserve"> BRIDGES GPs</w:t>
      </w:r>
      <w:r w:rsidR="007A2E46">
        <w:rPr>
          <w:rStyle w:val="FootnoteReference"/>
        </w:rPr>
        <w:footnoteReference w:id="13"/>
      </w:r>
      <w:r w:rsidRPr="006559BC">
        <w:t>.</w:t>
      </w:r>
      <w:bookmarkEnd w:id="40"/>
    </w:p>
    <w:p w14:paraId="1308201B" w14:textId="29D6BC55" w:rsidR="00B2500C" w:rsidRPr="00E14342" w:rsidRDefault="00B2500C" w:rsidP="000F381C">
      <w:r w:rsidRPr="00E14342">
        <w:rPr>
          <w:noProof/>
          <w:lang w:eastAsia="en-GB"/>
        </w:rPr>
        <w:drawing>
          <wp:inline distT="0" distB="0" distL="0" distR="0" wp14:anchorId="2E03C460" wp14:editId="47EAA91E">
            <wp:extent cx="4597757" cy="2974358"/>
            <wp:effectExtent l="0" t="0" r="0" b="0"/>
            <wp:docPr id="4"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6035" cy="2986183"/>
                    </a:xfrm>
                    <a:prstGeom prst="rect">
                      <a:avLst/>
                    </a:prstGeom>
                    <a:noFill/>
                    <a:ln>
                      <a:noFill/>
                    </a:ln>
                  </pic:spPr>
                </pic:pic>
              </a:graphicData>
            </a:graphic>
          </wp:inline>
        </w:drawing>
      </w:r>
    </w:p>
    <w:p w14:paraId="03632263" w14:textId="328D8E77" w:rsidR="00817E9E" w:rsidRPr="00E14342" w:rsidRDefault="00817E9E" w:rsidP="000F381C">
      <w:r w:rsidRPr="00E14342">
        <w:t xml:space="preserve">Win-win arrangements between advanced and less advanced regions, based on the interests of both are required. The results of integration will be on growth (investments) for all regions, increasing the </w:t>
      </w:r>
      <w:r w:rsidR="00A97C7B" w:rsidRPr="00E14342">
        <w:t>endogenous</w:t>
      </w:r>
      <w:r w:rsidRPr="00E14342">
        <w:t xml:space="preserve"> growth potential of the less advanced</w:t>
      </w:r>
      <w:r w:rsidR="007E2BFD" w:rsidRPr="00E14342">
        <w:t xml:space="preserve"> </w:t>
      </w:r>
      <w:r w:rsidRPr="00E14342">
        <w:t xml:space="preserve">regions, i.e. internalisation of exogenous factors </w:t>
      </w:r>
      <w:r w:rsidRPr="00E14342">
        <w:rPr>
          <w:rStyle w:val="Hyperlink"/>
        </w:rPr>
        <w:t>(</w:t>
      </w:r>
      <w:hyperlink w:anchor="_Andrea_Ascani,_Riccardo" w:history="1">
        <w:r w:rsidRPr="00E14342">
          <w:rPr>
            <w:rStyle w:val="Hyperlink"/>
          </w:rPr>
          <w:t>Ascani 2012</w:t>
        </w:r>
      </w:hyperlink>
      <w:r w:rsidRPr="00E14342">
        <w:rPr>
          <w:rStyle w:val="Hyperlink"/>
        </w:rPr>
        <w:t>,</w:t>
      </w:r>
      <w:hyperlink r:id="rId11" w:anchor="Gülhan BİLEN, 2007. Reviewing the Incisive Influences of the Theories on Regional Economics, Annual International Conference of Regional Studies Association " w:history="1">
        <w:r w:rsidRPr="00E14342">
          <w:rPr>
            <w:rStyle w:val="Hyperlink"/>
          </w:rPr>
          <w:t>Bilen 2007</w:t>
        </w:r>
      </w:hyperlink>
      <w:r w:rsidRPr="00E14342">
        <w:rPr>
          <w:rStyle w:val="FootnoteReference"/>
        </w:rPr>
        <w:footnoteReference w:id="14"/>
      </w:r>
      <w:r w:rsidRPr="00E14342">
        <w:t>), and diversification &amp; increased commercialisation of research for the advanced regions.</w:t>
      </w:r>
    </w:p>
    <w:p w14:paraId="113A8760" w14:textId="766CA439" w:rsidR="00817E9E" w:rsidRPr="00E14342" w:rsidRDefault="00817E9E" w:rsidP="003676F1">
      <w:pPr>
        <w:pStyle w:val="Title"/>
      </w:pPr>
      <w:bookmarkStart w:id="41" w:name="_Toc502477968"/>
      <w:r w:rsidRPr="00E14342">
        <w:t>GP</w:t>
      </w:r>
      <w:r w:rsidR="00B1736D" w:rsidRPr="00E14342">
        <w:t xml:space="preserve"> theme 1</w:t>
      </w:r>
      <w:r w:rsidRPr="00E14342">
        <w:t xml:space="preserve"> contributions</w:t>
      </w:r>
      <w:bookmarkEnd w:id="41"/>
      <w:r w:rsidRPr="00E14342">
        <w:t xml:space="preserve"> </w:t>
      </w:r>
    </w:p>
    <w:p w14:paraId="0D681E0F" w14:textId="77777777" w:rsidR="00817E9E" w:rsidRPr="00E14342" w:rsidRDefault="00817E9E" w:rsidP="00400DE1">
      <w:pPr>
        <w:pStyle w:val="ListNumber2"/>
      </w:pPr>
      <w:r w:rsidRPr="00E14342">
        <w:t>European Business and Innovation Centre of Burgos (CEEI-Burgos), Spain, Contributing partner: PP8 CEEI-Burgos</w:t>
      </w:r>
    </w:p>
    <w:p w14:paraId="6E55D10E" w14:textId="77777777" w:rsidR="00817E9E" w:rsidRPr="00E14342" w:rsidRDefault="00817E9E" w:rsidP="00400DE1">
      <w:pPr>
        <w:pStyle w:val="ListNumber2"/>
      </w:pPr>
      <w:r w:rsidRPr="00E14342">
        <w:t>Swiss Federal Institute of Technology (ETH – Zurich) Competence Centres, Switzerland, Contributing partner: PP8 CEEI-Burgos</w:t>
      </w:r>
    </w:p>
    <w:p w14:paraId="6D41FB59" w14:textId="66F7C336" w:rsidR="00817E9E" w:rsidRPr="00E14342" w:rsidRDefault="00817E9E" w:rsidP="00400DE1">
      <w:pPr>
        <w:pStyle w:val="ListNumber2"/>
      </w:pPr>
      <w:r w:rsidRPr="00E14342">
        <w:t xml:space="preserve">The </w:t>
      </w:r>
      <w:r w:rsidR="00A97C7B" w:rsidRPr="00E14342">
        <w:t>Bio</w:t>
      </w:r>
      <w:r w:rsidR="00B02A88" w:rsidRPr="00E14342">
        <w:t>-</w:t>
      </w:r>
      <w:r w:rsidR="00A97C7B" w:rsidRPr="00E14342">
        <w:t>economy</w:t>
      </w:r>
      <w:r w:rsidRPr="00E14342">
        <w:t xml:space="preserve"> Science </w:t>
      </w:r>
      <w:r w:rsidR="00571D9B" w:rsidRPr="00E14342">
        <w:t>Centre</w:t>
      </w:r>
      <w:r w:rsidRPr="00E14342">
        <w:t xml:space="preserve"> (BioSC), Germany; Contributing partner: PP8 CEEI-Burgos</w:t>
      </w:r>
    </w:p>
    <w:p w14:paraId="17546984" w14:textId="77777777" w:rsidR="00817E9E" w:rsidRPr="00E14342" w:rsidRDefault="00817E9E" w:rsidP="00400DE1">
      <w:pPr>
        <w:pStyle w:val="ListNumber2"/>
      </w:pPr>
      <w:r w:rsidRPr="00E14342">
        <w:t>Synthetic Biology Engineering Research Centre (Synberc), USA; Contributing partner: PP8 CEEI-Burgos</w:t>
      </w:r>
    </w:p>
    <w:p w14:paraId="1C609AE3" w14:textId="7FBC86F1" w:rsidR="00817E9E" w:rsidRPr="00E14342" w:rsidRDefault="00817E9E" w:rsidP="00400DE1">
      <w:pPr>
        <w:pStyle w:val="ListNumber2"/>
      </w:pPr>
      <w:r w:rsidRPr="00E14342">
        <w:t xml:space="preserve">Centre of Expertise </w:t>
      </w:r>
      <w:r w:rsidR="00571D9B" w:rsidRPr="00E14342">
        <w:t>Bio based</w:t>
      </w:r>
      <w:r w:rsidRPr="00E14342">
        <w:t xml:space="preserve"> Economy (COEBBE), The Netherlands; Contributing partner: PP10 Alterra (withdrew).</w:t>
      </w:r>
    </w:p>
    <w:p w14:paraId="4122B734" w14:textId="5057C725" w:rsidR="00817E9E" w:rsidRPr="00E14342" w:rsidRDefault="00B02A88" w:rsidP="00400DE1">
      <w:pPr>
        <w:pStyle w:val="ListNumber2"/>
      </w:pPr>
      <w:r w:rsidRPr="00E14342">
        <w:lastRenderedPageBreak/>
        <w:t>Commercialis</w:t>
      </w:r>
      <w:r w:rsidR="00817E9E" w:rsidRPr="00E14342">
        <w:t>ation services for research to business, Finland, Contributing partner: PP4   Helsinki-Uusimaa Regional Council</w:t>
      </w:r>
    </w:p>
    <w:p w14:paraId="6BDB1D54" w14:textId="6DE19928" w:rsidR="00817E9E" w:rsidRPr="00E14342" w:rsidRDefault="00817E9E" w:rsidP="00400DE1">
      <w:pPr>
        <w:pStyle w:val="ListNumber2"/>
      </w:pPr>
      <w:r w:rsidRPr="00E14342">
        <w:t xml:space="preserve">Competence centres, </w:t>
      </w:r>
      <w:r w:rsidR="00A97C7B" w:rsidRPr="00E14342">
        <w:t>Slovenia; Contributing</w:t>
      </w:r>
      <w:r w:rsidRPr="00E14342">
        <w:t xml:space="preserve"> partner: PP6 Soča valley development centre.</w:t>
      </w:r>
    </w:p>
    <w:p w14:paraId="50011EBE" w14:textId="7B712592" w:rsidR="00817E9E" w:rsidRPr="00E14342" w:rsidRDefault="00817E9E" w:rsidP="00400DE1">
      <w:pPr>
        <w:pStyle w:val="ListNumber2"/>
      </w:pPr>
      <w:r w:rsidRPr="00E14342">
        <w:t>Kantola Industrial Estate and Woodpolis, Finland; Contributing partner: PP2 Regional Council of Kainuu.</w:t>
      </w:r>
    </w:p>
    <w:p w14:paraId="7317FA8F" w14:textId="449B3C75" w:rsidR="00817E9E" w:rsidRPr="00E14342" w:rsidRDefault="00F537CD" w:rsidP="00400DE1">
      <w:pPr>
        <w:pStyle w:val="ListNumber2"/>
      </w:pPr>
      <w:r w:rsidRPr="00E14342">
        <w:t>CEMIS (Centre for Measurement and Information Systems), Finland; Contributing partner: PP2 Regional Council of Kainuu.</w:t>
      </w:r>
    </w:p>
    <w:p w14:paraId="6332D949" w14:textId="6EE3EB9B" w:rsidR="00817E9E" w:rsidRPr="00E14342" w:rsidRDefault="00871A56" w:rsidP="003676F1">
      <w:pPr>
        <w:pStyle w:val="Title"/>
      </w:pPr>
      <w:bookmarkStart w:id="42" w:name="_Toc502477969"/>
      <w:r w:rsidRPr="00E14342">
        <w:t xml:space="preserve">GP theme 1 </w:t>
      </w:r>
      <w:bookmarkEnd w:id="42"/>
      <w:r w:rsidR="00A723FC">
        <w:t xml:space="preserve">insights </w:t>
      </w:r>
    </w:p>
    <w:p w14:paraId="30C6A248" w14:textId="705CE612" w:rsidR="00817E9E" w:rsidRPr="00E14342" w:rsidRDefault="00817E9E" w:rsidP="008547BE">
      <w:pPr>
        <w:pStyle w:val="ListNumber"/>
        <w:numPr>
          <w:ilvl w:val="0"/>
          <w:numId w:val="39"/>
        </w:numPr>
      </w:pPr>
      <w:r w:rsidRPr="00E14342">
        <w:t>Funding is a challenge to all CCIs &amp; innovation agencies that assume knowledge intensive development tas</w:t>
      </w:r>
      <w:r w:rsidR="0035324D" w:rsidRPr="00E14342">
        <w:t xml:space="preserve">ks.  The criteria for advanced </w:t>
      </w:r>
      <w:r w:rsidRPr="00E14342">
        <w:t xml:space="preserve">knowledge transfer should be </w:t>
      </w:r>
      <w:r w:rsidR="00A97C7B" w:rsidRPr="00E14342">
        <w:t>discussed</w:t>
      </w:r>
      <w:r w:rsidRPr="00E14342">
        <w:t xml:space="preserve"> in IWG:s 1 and 2 and some recommendations need to be made for the action plan, to take this aspect into account as well.</w:t>
      </w:r>
    </w:p>
    <w:p w14:paraId="43CCB9D8" w14:textId="75E8500A" w:rsidR="00817E9E" w:rsidRPr="00E14342" w:rsidRDefault="00A475C6" w:rsidP="008547BE">
      <w:pPr>
        <w:pStyle w:val="ListNumber"/>
        <w:numPr>
          <w:ilvl w:val="0"/>
          <w:numId w:val="39"/>
        </w:numPr>
      </w:pPr>
      <w:r w:rsidRPr="00E14342">
        <w:t xml:space="preserve">The GPs </w:t>
      </w:r>
      <w:r w:rsidR="00817E9E" w:rsidRPr="00E14342">
        <w:t>are useful to innovation infrastructures as well as to university-linked technology transfer</w:t>
      </w:r>
      <w:r w:rsidRPr="00E14342">
        <w:t xml:space="preserve"> </w:t>
      </w:r>
      <w:r w:rsidR="00817E9E" w:rsidRPr="00E14342">
        <w:t>offices.</w:t>
      </w:r>
      <w:r w:rsidRPr="00E14342">
        <w:t xml:space="preserve"> </w:t>
      </w:r>
      <w:r w:rsidR="00817E9E" w:rsidRPr="00E14342">
        <w:t xml:space="preserve">A pattern emerges of </w:t>
      </w:r>
      <w:r w:rsidR="0035324D" w:rsidRPr="00E14342">
        <w:t xml:space="preserve">linking innovation agencies to </w:t>
      </w:r>
      <w:r w:rsidR="00817E9E" w:rsidRPr="00E14342">
        <w:t xml:space="preserve">centres of competence </w:t>
      </w:r>
      <w:r w:rsidR="00925C92" w:rsidRPr="00E14342">
        <w:t>and technolog</w:t>
      </w:r>
      <w:r w:rsidR="00B2500C" w:rsidRPr="00E14342">
        <w:t xml:space="preserve">y transfer offices through the </w:t>
      </w:r>
      <w:r w:rsidR="00925C92" w:rsidRPr="00E14342">
        <w:t>research-to</w:t>
      </w:r>
      <w:r w:rsidR="00A97C7B" w:rsidRPr="00E14342">
        <w:t>-busin</w:t>
      </w:r>
      <w:r w:rsidR="00925C92" w:rsidRPr="00E14342">
        <w:t>ess services and functions of the CCs.</w:t>
      </w:r>
    </w:p>
    <w:p w14:paraId="2002704F" w14:textId="77777777" w:rsidR="00817E9E" w:rsidRPr="00E14342" w:rsidRDefault="00817E9E" w:rsidP="008547BE">
      <w:pPr>
        <w:pStyle w:val="ListNumber"/>
        <w:numPr>
          <w:ilvl w:val="0"/>
          <w:numId w:val="39"/>
        </w:numPr>
      </w:pPr>
      <w:r w:rsidRPr="00E14342">
        <w:t>Certification of innovation agencies is recommended.</w:t>
      </w:r>
    </w:p>
    <w:p w14:paraId="189B3C33" w14:textId="7178CB78" w:rsidR="00817E9E" w:rsidRPr="00E14342" w:rsidRDefault="00E33DA7" w:rsidP="008547BE">
      <w:pPr>
        <w:pStyle w:val="ListNumber"/>
        <w:numPr>
          <w:ilvl w:val="0"/>
          <w:numId w:val="39"/>
        </w:numPr>
      </w:pPr>
      <w:r w:rsidRPr="00E14342">
        <w:t xml:space="preserve">Addressing </w:t>
      </w:r>
      <w:r w:rsidR="00817E9E" w:rsidRPr="00E14342">
        <w:t xml:space="preserve">societal challenges as a way for </w:t>
      </w:r>
      <w:r w:rsidR="003B4EC6" w:rsidRPr="00E14342">
        <w:t>strategic development of resear</w:t>
      </w:r>
      <w:r w:rsidR="00817E9E" w:rsidRPr="00E14342">
        <w:t>c</w:t>
      </w:r>
      <w:r w:rsidR="003B4EC6" w:rsidRPr="00E14342">
        <w:t>h</w:t>
      </w:r>
      <w:r w:rsidR="00817E9E" w:rsidRPr="00E14342">
        <w:t xml:space="preserve"> to business partnerships works.</w:t>
      </w:r>
    </w:p>
    <w:p w14:paraId="16613E88" w14:textId="7DDAFF48" w:rsidR="00817E9E" w:rsidRPr="00E14342" w:rsidRDefault="00207EC0" w:rsidP="008547BE">
      <w:pPr>
        <w:pStyle w:val="ListNumber"/>
        <w:numPr>
          <w:ilvl w:val="0"/>
          <w:numId w:val="39"/>
        </w:numPr>
      </w:pPr>
      <w:r>
        <w:t>Linking CC</w:t>
      </w:r>
      <w:r w:rsidR="00817E9E" w:rsidRPr="00E14342">
        <w:t xml:space="preserve">s </w:t>
      </w:r>
      <w:r w:rsidR="00F26573" w:rsidRPr="00E14342">
        <w:t>to university to spe</w:t>
      </w:r>
      <w:r w:rsidR="00B2500C" w:rsidRPr="00E14342">
        <w:t xml:space="preserve">ed up the </w:t>
      </w:r>
      <w:r w:rsidR="00817E9E" w:rsidRPr="00E14342">
        <w:t>uptake of new skills.</w:t>
      </w:r>
    </w:p>
    <w:p w14:paraId="2BA89E41" w14:textId="414C0411" w:rsidR="00817E9E" w:rsidRPr="00E14342" w:rsidRDefault="00817E9E" w:rsidP="008547BE">
      <w:pPr>
        <w:pStyle w:val="ListNumber"/>
        <w:numPr>
          <w:ilvl w:val="0"/>
          <w:numId w:val="39"/>
        </w:numPr>
      </w:pPr>
      <w:r w:rsidRPr="00E14342">
        <w:t>Programme-based research to business partnerships through CCIs, leading to industria</w:t>
      </w:r>
      <w:bookmarkStart w:id="43" w:name="_Toc353104268"/>
      <w:r w:rsidR="00A97C7B" w:rsidRPr="00E14342">
        <w:t xml:space="preserve">l renewal is recommended, </w:t>
      </w:r>
      <w:r w:rsidRPr="00E14342">
        <w:t>GP Theme 2 Research –to-business innovation partnerships</w:t>
      </w:r>
      <w:bookmarkEnd w:id="43"/>
      <w:r w:rsidRPr="00E14342">
        <w:t xml:space="preserve">. </w:t>
      </w:r>
    </w:p>
    <w:p w14:paraId="1B65295B" w14:textId="77777777" w:rsidR="00F53DA7" w:rsidRDefault="00F53DA7" w:rsidP="0071392B">
      <w:pPr>
        <w:pStyle w:val="Heading2"/>
      </w:pPr>
      <w:bookmarkStart w:id="44" w:name="_Toc354494980"/>
      <w:bookmarkStart w:id="45" w:name="_Toc354519056"/>
      <w:bookmarkStart w:id="46" w:name="_Toc368210679"/>
      <w:bookmarkStart w:id="47" w:name="_Ref368211575"/>
      <w:bookmarkStart w:id="48" w:name="_Toc502477970"/>
      <w:bookmarkStart w:id="49" w:name="_Toc353104269"/>
      <w:bookmarkStart w:id="50" w:name="_Toc352313905"/>
    </w:p>
    <w:p w14:paraId="5856C6AC" w14:textId="029EA679" w:rsidR="00817E9E" w:rsidRPr="00E14342" w:rsidRDefault="00817E9E" w:rsidP="0071392B">
      <w:pPr>
        <w:pStyle w:val="Heading2"/>
      </w:pPr>
      <w:bookmarkStart w:id="51" w:name="_Toc526583509"/>
      <w:bookmarkStart w:id="52" w:name="_Toc526586512"/>
      <w:r w:rsidRPr="0046067F">
        <w:t>Good practice theme 2 Research</w:t>
      </w:r>
      <w:r w:rsidR="00D908AA" w:rsidRPr="0046067F">
        <w:t xml:space="preserve"> to business innovat</w:t>
      </w:r>
      <w:r w:rsidRPr="0046067F">
        <w:t>ion</w:t>
      </w:r>
      <w:r w:rsidRPr="00E14342">
        <w:t xml:space="preserve"> partnerships</w:t>
      </w:r>
      <w:bookmarkEnd w:id="44"/>
      <w:bookmarkEnd w:id="45"/>
      <w:bookmarkEnd w:id="46"/>
      <w:bookmarkEnd w:id="47"/>
      <w:bookmarkEnd w:id="48"/>
      <w:bookmarkEnd w:id="51"/>
      <w:bookmarkEnd w:id="52"/>
    </w:p>
    <w:p w14:paraId="123D4D1F" w14:textId="19A8E784" w:rsidR="0085248A" w:rsidRDefault="00D27D1C" w:rsidP="000F381C">
      <w:bookmarkStart w:id="53" w:name="_Toc354494981"/>
      <w:bookmarkStart w:id="54" w:name="_Toc354519057"/>
      <w:bookmarkStart w:id="55" w:name="_Toc368210680"/>
      <w:r w:rsidRPr="00E14342">
        <w:t xml:space="preserve">The purpose of </w:t>
      </w:r>
      <w:r w:rsidR="0085248A" w:rsidRPr="00E14342">
        <w:t xml:space="preserve">GP </w:t>
      </w:r>
      <w:r w:rsidRPr="00E14342">
        <w:t>theme 2</w:t>
      </w:r>
      <w:r w:rsidR="0085248A" w:rsidRPr="00E14342">
        <w:t xml:space="preserve"> Research</w:t>
      </w:r>
      <w:r w:rsidRPr="00E14342">
        <w:t>-to-</w:t>
      </w:r>
      <w:r w:rsidR="0085248A" w:rsidRPr="00E14342">
        <w:t xml:space="preserve">industry partnerships </w:t>
      </w:r>
      <w:r w:rsidR="00D908AA" w:rsidRPr="00E14342">
        <w:t>is exploring types</w:t>
      </w:r>
      <w:r w:rsidR="00791B15" w:rsidRPr="00E14342">
        <w:t>, paradigms</w:t>
      </w:r>
      <w:r w:rsidR="00D908AA" w:rsidRPr="00E14342">
        <w:t xml:space="preserve"> and </w:t>
      </w:r>
      <w:r w:rsidR="00D444D1" w:rsidRPr="00E14342">
        <w:t>tools demonstrating</w:t>
      </w:r>
      <w:r w:rsidR="00D908AA" w:rsidRPr="00E14342">
        <w:t xml:space="preserve"> the </w:t>
      </w:r>
      <w:r w:rsidR="00D444D1" w:rsidRPr="00E14342">
        <w:t>actual business</w:t>
      </w:r>
      <w:r w:rsidR="00D908AA" w:rsidRPr="00E14342">
        <w:t xml:space="preserve"> &amp; industry benefits </w:t>
      </w:r>
      <w:r w:rsidR="00D444D1" w:rsidRPr="00E14342">
        <w:t>from such</w:t>
      </w:r>
      <w:r w:rsidR="00D908AA" w:rsidRPr="00E14342">
        <w:t xml:space="preserve"> </w:t>
      </w:r>
      <w:r w:rsidR="00D444D1" w:rsidRPr="00E14342">
        <w:t>cooperation schemes</w:t>
      </w:r>
      <w:r w:rsidR="00D908AA" w:rsidRPr="00E14342">
        <w:t xml:space="preserve">, </w:t>
      </w:r>
      <w:r w:rsidR="00D444D1" w:rsidRPr="00E14342">
        <w:t>the cooperation</w:t>
      </w:r>
      <w:r w:rsidR="00D908AA" w:rsidRPr="00E14342">
        <w:t xml:space="preserve"> patterns and the </w:t>
      </w:r>
      <w:r w:rsidR="0085248A" w:rsidRPr="00E14342">
        <w:t xml:space="preserve">steps </w:t>
      </w:r>
      <w:r w:rsidR="00791B15" w:rsidRPr="00E14342">
        <w:t>involved</w:t>
      </w:r>
      <w:r w:rsidR="00405069">
        <w:t xml:space="preserve">. In terms of content, </w:t>
      </w:r>
      <w:r w:rsidR="00D908AA" w:rsidRPr="00E14342">
        <w:t xml:space="preserve">we wish to find out </w:t>
      </w:r>
      <w:r w:rsidR="00B67C72" w:rsidRPr="00E14342">
        <w:t xml:space="preserve">what kind of </w:t>
      </w:r>
      <w:r w:rsidR="0085248A" w:rsidRPr="00E14342">
        <w:t xml:space="preserve">demand-led research solutions can be absorbed by RIS3 place-based entrepreneurial &amp; business opportunities' discovery &amp; exploitation (new/improved products), including flow of cooperation, &amp; support for this process in the long run. This theme bridges </w:t>
      </w:r>
      <w:r w:rsidR="00D444D1" w:rsidRPr="00E14342">
        <w:t>Bio economy</w:t>
      </w:r>
      <w:r w:rsidR="0085248A" w:rsidRPr="00E14342">
        <w:t xml:space="preserve"> research-excellence with RIS3 place-based productive base; the approach will be modelled, practiced through new projects (the ‘RIS3 paths</w:t>
      </w:r>
      <w:r w:rsidR="00133C00" w:rsidRPr="00E14342">
        <w:t>’), &amp; integrated into the CC op</w:t>
      </w:r>
      <w:r w:rsidR="0085248A" w:rsidRPr="00E14342">
        <w:t>erations.</w:t>
      </w:r>
    </w:p>
    <w:p w14:paraId="7FC65F9B" w14:textId="2C60EBB0" w:rsidR="00095949" w:rsidRDefault="00095949" w:rsidP="000F381C"/>
    <w:p w14:paraId="1D3E8DEA" w14:textId="77777777" w:rsidR="00095949" w:rsidRPr="00E14342" w:rsidRDefault="00095949" w:rsidP="000F381C"/>
    <w:p w14:paraId="14109991" w14:textId="77777777" w:rsidR="00817E9E" w:rsidRPr="00E14342" w:rsidRDefault="00817E9E" w:rsidP="003676F1">
      <w:pPr>
        <w:pStyle w:val="Title"/>
      </w:pPr>
      <w:bookmarkStart w:id="56" w:name="_Toc502477971"/>
      <w:r w:rsidRPr="00E14342">
        <w:lastRenderedPageBreak/>
        <w:t>Background</w:t>
      </w:r>
      <w:bookmarkEnd w:id="49"/>
      <w:bookmarkEnd w:id="53"/>
      <w:bookmarkEnd w:id="54"/>
      <w:bookmarkEnd w:id="55"/>
      <w:bookmarkEnd w:id="56"/>
    </w:p>
    <w:p w14:paraId="2E9EE5D1" w14:textId="4AD4D96D" w:rsidR="00B45402" w:rsidRPr="00E14342" w:rsidRDefault="00DD7B68" w:rsidP="000F381C">
      <w:r w:rsidRPr="00E14342">
        <w:t>G</w:t>
      </w:r>
      <w:r w:rsidR="007E45A2" w:rsidRPr="00E14342">
        <w:t>P theme 2 discu</w:t>
      </w:r>
      <w:r w:rsidR="00046192" w:rsidRPr="00E14342">
        <w:t>sses</w:t>
      </w:r>
      <w:r w:rsidR="00AA1B89">
        <w:t xml:space="preserve"> options for</w:t>
      </w:r>
      <w:r w:rsidR="00046192" w:rsidRPr="00E14342">
        <w:t xml:space="preserve"> strengthening</w:t>
      </w:r>
      <w:r w:rsidR="007E45A2" w:rsidRPr="00E14342">
        <w:t xml:space="preserve"> the partner regions bio-based economies through research-to-business tools and initiatives </w:t>
      </w:r>
      <w:r w:rsidR="00046192" w:rsidRPr="00E14342">
        <w:t>and thus generating upscale</w:t>
      </w:r>
      <w:r w:rsidR="00133C00" w:rsidRPr="00E14342">
        <w:t>,</w:t>
      </w:r>
      <w:r w:rsidR="00046192" w:rsidRPr="00E14342">
        <w:t xml:space="preserve"> specialised growth. GP </w:t>
      </w:r>
      <w:r w:rsidR="00D444D1" w:rsidRPr="00E14342">
        <w:t>theme 2 proposes</w:t>
      </w:r>
      <w:r w:rsidR="00BE2737" w:rsidRPr="00E14342">
        <w:t xml:space="preserve"> actions </w:t>
      </w:r>
      <w:r w:rsidR="00D444D1" w:rsidRPr="00E14342">
        <w:t>complementary</w:t>
      </w:r>
      <w:r w:rsidR="00BE2737" w:rsidRPr="00E14342">
        <w:t xml:space="preserve"> to the well-</w:t>
      </w:r>
      <w:r w:rsidR="00133C00" w:rsidRPr="00E14342">
        <w:t>known and -</w:t>
      </w:r>
      <w:r w:rsidR="00D444D1" w:rsidRPr="00E14342">
        <w:t>applied</w:t>
      </w:r>
      <w:r w:rsidR="00046192" w:rsidRPr="00E14342">
        <w:t xml:space="preserve"> path of business-to-research </w:t>
      </w:r>
      <w:r w:rsidR="00D444D1" w:rsidRPr="00E14342">
        <w:t>cooperation</w:t>
      </w:r>
      <w:r w:rsidR="00046192" w:rsidRPr="00E14342">
        <w:t>, i.e. the problem</w:t>
      </w:r>
      <w:r w:rsidR="00E33DA7" w:rsidRPr="00E14342">
        <w:t>-</w:t>
      </w:r>
      <w:r w:rsidR="00046192" w:rsidRPr="00E14342">
        <w:t xml:space="preserve">solving approaches that usually benefit (but </w:t>
      </w:r>
      <w:r w:rsidR="00133C00" w:rsidRPr="00E14342">
        <w:t xml:space="preserve">are </w:t>
      </w:r>
      <w:r w:rsidR="00046192" w:rsidRPr="00E14342">
        <w:t>also generated by) medium and larger businesses.</w:t>
      </w:r>
      <w:r w:rsidR="00133C00" w:rsidRPr="00E14342">
        <w:t xml:space="preserve"> </w:t>
      </w:r>
      <w:r w:rsidR="00D444D1" w:rsidRPr="00E14342">
        <w:t>Success</w:t>
      </w:r>
      <w:r w:rsidR="00133C00" w:rsidRPr="00E14342">
        <w:t xml:space="preserve"> of GP</w:t>
      </w:r>
      <w:r w:rsidR="007E683C" w:rsidRPr="00E14342">
        <w:t xml:space="preserve"> theme 2 solutions and transfers </w:t>
      </w:r>
      <w:r w:rsidR="00133C00" w:rsidRPr="00E14342">
        <w:t xml:space="preserve">would </w:t>
      </w:r>
      <w:r w:rsidR="00D444D1" w:rsidRPr="00E14342">
        <w:t>imply</w:t>
      </w:r>
      <w:r w:rsidR="00133C00" w:rsidRPr="00E14342">
        <w:t xml:space="preserve"> an overall strengthening </w:t>
      </w:r>
      <w:r w:rsidR="007E683C" w:rsidRPr="00E14342">
        <w:t>and deeper specialisations</w:t>
      </w:r>
      <w:r w:rsidR="00B45402" w:rsidRPr="00E14342">
        <w:t xml:space="preserve"> of the partners’ regional economies.</w:t>
      </w:r>
    </w:p>
    <w:p w14:paraId="5BE0046D" w14:textId="0DDBB801" w:rsidR="00817E9E" w:rsidRPr="00E14342" w:rsidRDefault="00817E9E" w:rsidP="000F381C">
      <w:r w:rsidRPr="00E14342">
        <w:t xml:space="preserve">The creation of a Regional Bio-based economy is to be seen as transition. Drivers behind the </w:t>
      </w:r>
      <w:r w:rsidR="00D444D1" w:rsidRPr="00E14342">
        <w:t>bio economy</w:t>
      </w:r>
      <w:r w:rsidRPr="00E14342">
        <w:t xml:space="preserve"> are: the search for alternative resources for fossil fuels, the response to climate warming by reducing CO2, the industrial demand for new functionalities offered by </w:t>
      </w:r>
      <w:r w:rsidR="00D444D1" w:rsidRPr="00E14342">
        <w:t>bio based</w:t>
      </w:r>
      <w:r w:rsidRPr="00E14342">
        <w:t xml:space="preserve"> materials and chemicals and the consumer demand for </w:t>
      </w:r>
      <w:r w:rsidR="00D444D1" w:rsidRPr="00E14342">
        <w:t>bio based</w:t>
      </w:r>
      <w:r w:rsidRPr="00E14342">
        <w:t xml:space="preserve"> end-products that can compete with their fossil-based counterparts.</w:t>
      </w:r>
    </w:p>
    <w:p w14:paraId="780E1269" w14:textId="2252459E" w:rsidR="008547BE" w:rsidRDefault="00817E9E" w:rsidP="000F381C">
      <w:r w:rsidRPr="00E14342">
        <w:t xml:space="preserve">Bio-based economy will change the regional economy by providing promising sustainable opportunities for creating new added value within a region, using the regional characteristics (natural, economy, cultural). The objective is to discover the regional potential and to utilise it optimally. Biomass production, using waste and rest streams within existing and new industries and so creating new value chains and sustainable and competitive products will be key challenge. The creation of new value chains within or between regions is to be seen as a complex problem. New connections between biomass producers and processing industries should be made. Processors need specific volumes, qualities and supply on certain moments. Producers need to be prepared to deliver. Processors have technological </w:t>
      </w:r>
      <w:r w:rsidR="00D444D1" w:rsidRPr="00E14342">
        <w:t>problems;</w:t>
      </w:r>
      <w:r w:rsidRPr="00E14342">
        <w:t xml:space="preserve"> they are still actively searching for extracting the values, developing </w:t>
      </w:r>
      <w:r w:rsidR="00D444D1" w:rsidRPr="00E14342">
        <w:t>bio refinery</w:t>
      </w:r>
      <w:r w:rsidRPr="00E14342">
        <w:t xml:space="preserve"> techniques to optimally use all biomass components etc. There is not yet a large demand from the market, </w:t>
      </w:r>
      <w:r w:rsidR="00D444D1" w:rsidRPr="00E14342">
        <w:t>bio based</w:t>
      </w:r>
      <w:r w:rsidRPr="00E14342">
        <w:t xml:space="preserve"> products have to compete with fossil based products, which have actually lower production costs due to the oil prices. Environmental and climate benefits have not made manifest for most of the </w:t>
      </w:r>
      <w:r w:rsidR="00D444D1" w:rsidRPr="00E14342">
        <w:t>bio based</w:t>
      </w:r>
      <w:r w:rsidRPr="00E14342">
        <w:t xml:space="preserve"> products and regulations are not yet in favour for </w:t>
      </w:r>
      <w:r w:rsidR="00D444D1" w:rsidRPr="00E14342">
        <w:t>up scaling</w:t>
      </w:r>
      <w:r w:rsidRPr="00E14342">
        <w:t xml:space="preserve"> the </w:t>
      </w:r>
      <w:r w:rsidR="00D444D1" w:rsidRPr="00E14342">
        <w:t>bio based</w:t>
      </w:r>
      <w:r w:rsidRPr="00E14342">
        <w:t xml:space="preserve"> production.  Within </w:t>
      </w:r>
      <w:r w:rsidR="008547BE">
        <w:t xml:space="preserve">their </w:t>
      </w:r>
      <w:r w:rsidRPr="00E14342">
        <w:t xml:space="preserve">RIS3 strategy regions should explore their potentials. </w:t>
      </w:r>
    </w:p>
    <w:p w14:paraId="734DB7C8" w14:textId="1032156C" w:rsidR="00606FC5" w:rsidRPr="00E14342" w:rsidRDefault="00606FC5" w:rsidP="003676F1">
      <w:pPr>
        <w:pStyle w:val="Title"/>
      </w:pPr>
      <w:bookmarkStart w:id="57" w:name="_Toc502477972"/>
      <w:bookmarkStart w:id="58" w:name="_Toc354494982"/>
      <w:bookmarkStart w:id="59" w:name="_Toc354519058"/>
      <w:bookmarkStart w:id="60" w:name="_Toc368210681"/>
      <w:r w:rsidRPr="00E14342">
        <w:t xml:space="preserve">Interpretation of the </w:t>
      </w:r>
      <w:r w:rsidR="00F15416" w:rsidRPr="00E14342">
        <w:t xml:space="preserve">GP theme 2 </w:t>
      </w:r>
      <w:r w:rsidRPr="00E14342">
        <w:t>concept for the purposes of the BRIDGES project</w:t>
      </w:r>
      <w:bookmarkEnd w:id="57"/>
    </w:p>
    <w:bookmarkEnd w:id="58"/>
    <w:bookmarkEnd w:id="59"/>
    <w:bookmarkEnd w:id="60"/>
    <w:p w14:paraId="0FC877E6" w14:textId="42EB0C9A" w:rsidR="00B75417" w:rsidRPr="00E14342" w:rsidRDefault="00817E9E" w:rsidP="000F381C">
      <w:r w:rsidRPr="00E14342">
        <w:t xml:space="preserve">Good practice theme 2 </w:t>
      </w:r>
      <w:r w:rsidR="00D444D1" w:rsidRPr="00E14342">
        <w:t>Research</w:t>
      </w:r>
      <w:r w:rsidR="002B396B" w:rsidRPr="00E14342">
        <w:t xml:space="preserve">-to-business </w:t>
      </w:r>
      <w:r w:rsidRPr="00E14342">
        <w:t>partnerships addresses the innovation processes in which the innovation is developed and brought further in collaboration between research and businesses, to come to deployment of the regional bio-economies. There are thr</w:t>
      </w:r>
      <w:r w:rsidR="002B396B" w:rsidRPr="00E14342">
        <w:t>ee relevant sub-processes, focu</w:t>
      </w:r>
      <w:r w:rsidRPr="00E14342">
        <w:t>sing on networks, innovation and finance. All three sub processes are relevant for regional innovations</w:t>
      </w:r>
      <w:r w:rsidR="00EC3180" w:rsidRPr="00E14342">
        <w:t>;</w:t>
      </w:r>
      <w:r w:rsidR="00B75417" w:rsidRPr="00E14342">
        <w:t xml:space="preserve"> </w:t>
      </w:r>
      <w:r w:rsidR="00D444D1" w:rsidRPr="00E14342">
        <w:t>however</w:t>
      </w:r>
      <w:r w:rsidR="00EC3180" w:rsidRPr="00E14342">
        <w:t>,</w:t>
      </w:r>
      <w:r w:rsidR="00B75417" w:rsidRPr="00E14342">
        <w:t xml:space="preserve"> the </w:t>
      </w:r>
      <w:r w:rsidR="00D444D1" w:rsidRPr="00E14342">
        <w:t>third category</w:t>
      </w:r>
      <w:r w:rsidR="00B75417" w:rsidRPr="00E14342">
        <w:t xml:space="preserve"> </w:t>
      </w:r>
      <w:r w:rsidR="00D444D1" w:rsidRPr="00E14342">
        <w:t>is considered</w:t>
      </w:r>
      <w:r w:rsidR="00B75417" w:rsidRPr="00E14342">
        <w:t xml:space="preserve"> under GP </w:t>
      </w:r>
      <w:r w:rsidR="00D444D1" w:rsidRPr="00E14342">
        <w:t>theme</w:t>
      </w:r>
      <w:r w:rsidR="00B75417" w:rsidRPr="00E14342">
        <w:t xml:space="preserve"> 3. In the </w:t>
      </w:r>
      <w:r w:rsidR="00D444D1" w:rsidRPr="00E14342">
        <w:t>BRIDGES</w:t>
      </w:r>
      <w:r w:rsidR="00B75417" w:rsidRPr="00E14342">
        <w:t xml:space="preserve"> </w:t>
      </w:r>
      <w:r w:rsidR="00D444D1" w:rsidRPr="00E14342">
        <w:t>project</w:t>
      </w:r>
      <w:r w:rsidR="00B75417" w:rsidRPr="00E14342">
        <w:t xml:space="preserve">, the types of GPs </w:t>
      </w:r>
      <w:r w:rsidR="00D444D1" w:rsidRPr="00E14342">
        <w:t>we sought could</w:t>
      </w:r>
      <w:r w:rsidR="00B75417" w:rsidRPr="00E14342">
        <w:t xml:space="preserve"> be summarised as follows:</w:t>
      </w:r>
    </w:p>
    <w:p w14:paraId="51FB22A0" w14:textId="170339B7" w:rsidR="00817E9E" w:rsidRPr="00E14342" w:rsidRDefault="00B75417" w:rsidP="000F381C">
      <w:r w:rsidRPr="00E14342">
        <w:t>The GP…</w:t>
      </w:r>
      <w:r w:rsidR="00817E9E" w:rsidRPr="00E14342">
        <w:t xml:space="preserve"> </w:t>
      </w:r>
    </w:p>
    <w:p w14:paraId="6732E293" w14:textId="222F6A40" w:rsidR="00B75417" w:rsidRPr="00E14342" w:rsidRDefault="00B71682" w:rsidP="007B7116">
      <w:pPr>
        <w:pStyle w:val="ListNumber"/>
        <w:numPr>
          <w:ilvl w:val="0"/>
          <w:numId w:val="39"/>
        </w:numPr>
      </w:pPr>
      <w:r w:rsidRPr="00E14342">
        <w:t>D</w:t>
      </w:r>
      <w:r w:rsidR="00FD0F1F" w:rsidRPr="00E14342">
        <w:t xml:space="preserve">emonstrates </w:t>
      </w:r>
      <w:r w:rsidR="00B75417" w:rsidRPr="00E14342">
        <w:t>multi</w:t>
      </w:r>
      <w:r w:rsidR="00EC3180" w:rsidRPr="00E14342">
        <w:t xml:space="preserve"> actor innovation partnerships </w:t>
      </w:r>
      <w:r w:rsidR="00B75417" w:rsidRPr="00E14342">
        <w:t>(i.e. involves research and busi</w:t>
      </w:r>
      <w:r w:rsidR="009601BC" w:rsidRPr="00E14342">
        <w:t>n</w:t>
      </w:r>
      <w:r w:rsidR="00B75417" w:rsidRPr="00E14342">
        <w:t>esses)</w:t>
      </w:r>
    </w:p>
    <w:p w14:paraId="415CCFD9" w14:textId="2DA9E866" w:rsidR="00B75417" w:rsidRPr="00E14342" w:rsidRDefault="00E055B6" w:rsidP="007B7116">
      <w:pPr>
        <w:pStyle w:val="ListNumber"/>
        <w:numPr>
          <w:ilvl w:val="0"/>
          <w:numId w:val="39"/>
        </w:numPr>
      </w:pPr>
      <w:r w:rsidRPr="00E14342">
        <w:lastRenderedPageBreak/>
        <w:t>P</w:t>
      </w:r>
      <w:r w:rsidR="00B75417" w:rsidRPr="00E14342">
        <w:t>roposes systematic access to research models</w:t>
      </w:r>
    </w:p>
    <w:p w14:paraId="2A6C3083" w14:textId="041FC4FF" w:rsidR="00817E9E" w:rsidRPr="00E14342" w:rsidRDefault="00E055B6" w:rsidP="007B7116">
      <w:pPr>
        <w:pStyle w:val="ListNumber"/>
        <w:numPr>
          <w:ilvl w:val="0"/>
          <w:numId w:val="39"/>
        </w:numPr>
      </w:pPr>
      <w:r w:rsidRPr="00E14342">
        <w:t>P</w:t>
      </w:r>
      <w:r w:rsidR="00817E9E" w:rsidRPr="00E14342">
        <w:t>roposes models of industrial modernisation</w:t>
      </w:r>
    </w:p>
    <w:p w14:paraId="138DEA02" w14:textId="787DE9DE" w:rsidR="00817E9E" w:rsidRPr="00E14342" w:rsidRDefault="00E055B6" w:rsidP="007B7116">
      <w:pPr>
        <w:pStyle w:val="ListNumber"/>
        <w:numPr>
          <w:ilvl w:val="0"/>
          <w:numId w:val="39"/>
        </w:numPr>
      </w:pPr>
      <w:r w:rsidRPr="00E14342">
        <w:t>P</w:t>
      </w:r>
      <w:r w:rsidR="00817E9E" w:rsidRPr="00E14342">
        <w:t>roposes direct research-to-business solutions</w:t>
      </w:r>
    </w:p>
    <w:p w14:paraId="14EAC052" w14:textId="659E4F50" w:rsidR="00817E9E" w:rsidRPr="00E14342" w:rsidRDefault="00D444D1" w:rsidP="007B7116">
      <w:pPr>
        <w:pStyle w:val="ListNumber"/>
        <w:numPr>
          <w:ilvl w:val="0"/>
          <w:numId w:val="39"/>
        </w:numPr>
      </w:pPr>
      <w:r w:rsidRPr="00E14342">
        <w:t>Includes</w:t>
      </w:r>
      <w:r w:rsidR="00817E9E" w:rsidRPr="00E14342">
        <w:t> interregiona</w:t>
      </w:r>
      <w:r w:rsidR="009601BC" w:rsidRPr="00E14342">
        <w:t>l innovation partnerships for</w:t>
      </w:r>
      <w:r w:rsidR="00817E9E" w:rsidRPr="00E14342">
        <w:t> individual businesses</w:t>
      </w:r>
      <w:r w:rsidR="009601BC" w:rsidRPr="00E14342">
        <w:t xml:space="preserve"> (</w:t>
      </w:r>
      <w:r w:rsidRPr="00E14342">
        <w:t>e.g.</w:t>
      </w:r>
      <w:r w:rsidR="009601BC" w:rsidRPr="00E14342">
        <w:t xml:space="preserve"> interregional innovation vouchers)</w:t>
      </w:r>
    </w:p>
    <w:p w14:paraId="5076E429" w14:textId="77777777" w:rsidR="008547BE" w:rsidRDefault="000F53E1" w:rsidP="007B7116">
      <w:pPr>
        <w:pStyle w:val="ListNumber"/>
        <w:numPr>
          <w:ilvl w:val="0"/>
          <w:numId w:val="39"/>
        </w:numPr>
      </w:pPr>
      <w:r w:rsidRPr="00E14342">
        <w:t>A</w:t>
      </w:r>
      <w:r w:rsidR="00E055B6" w:rsidRPr="00E14342">
        <w:t xml:space="preserve">ddresses state of the art </w:t>
      </w:r>
      <w:r w:rsidR="009601BC" w:rsidRPr="00E14342">
        <w:t>research service needs for industrial renewal such as KET applications and TRL assessments and certifications.</w:t>
      </w:r>
      <w:r w:rsidR="008547BE">
        <w:t xml:space="preserve"> </w:t>
      </w:r>
    </w:p>
    <w:p w14:paraId="32DA7DE8" w14:textId="75E43FF7" w:rsidR="008547BE" w:rsidRPr="00E14342" w:rsidRDefault="008547BE" w:rsidP="007B7116">
      <w:pPr>
        <w:pStyle w:val="ListNumber"/>
        <w:numPr>
          <w:ilvl w:val="0"/>
          <w:numId w:val="39"/>
        </w:numPr>
      </w:pPr>
      <w:r w:rsidRPr="00E14342">
        <w:t>Cluster management, triple helix cooperation</w:t>
      </w:r>
      <w:r w:rsidRPr="007B7116">
        <w:rPr>
          <w:b/>
        </w:rPr>
        <w:footnoteReference w:id="15"/>
      </w:r>
    </w:p>
    <w:p w14:paraId="184473AA" w14:textId="35F2915E" w:rsidR="009601BC" w:rsidRPr="00E14342" w:rsidRDefault="009601BC" w:rsidP="007B7116">
      <w:pPr>
        <w:pStyle w:val="ListNumber"/>
        <w:numPr>
          <w:ilvl w:val="0"/>
          <w:numId w:val="39"/>
        </w:numPr>
      </w:pPr>
      <w:r w:rsidRPr="00E14342">
        <w:t xml:space="preserve">… and in </w:t>
      </w:r>
      <w:r w:rsidR="001272EE" w:rsidRPr="00E14342">
        <w:t>general,</w:t>
      </w:r>
      <w:r w:rsidRPr="00E14342">
        <w:t xml:space="preserve"> strengthens and deepens research –to-business collaborations in the region.</w:t>
      </w:r>
    </w:p>
    <w:p w14:paraId="3B35E903" w14:textId="3EEF4418" w:rsidR="00817E9E" w:rsidRPr="00E14342" w:rsidRDefault="00817E9E" w:rsidP="003676F1">
      <w:pPr>
        <w:pStyle w:val="Title"/>
      </w:pPr>
      <w:bookmarkStart w:id="61" w:name="_Toc502477973"/>
      <w:bookmarkEnd w:id="50"/>
      <w:r w:rsidRPr="00E14342">
        <w:t>GP theme 2 contributions</w:t>
      </w:r>
      <w:bookmarkEnd w:id="61"/>
      <w:r w:rsidR="003B0D04">
        <w:rPr>
          <w:rStyle w:val="FootnoteReference"/>
        </w:rPr>
        <w:footnoteReference w:id="16"/>
      </w:r>
      <w:r w:rsidR="003B0D04">
        <w:t xml:space="preserve"> </w:t>
      </w:r>
    </w:p>
    <w:p w14:paraId="1E38E7D1" w14:textId="77777777" w:rsidR="00817E9E" w:rsidRPr="004F4317" w:rsidRDefault="00817E9E" w:rsidP="003B0D04">
      <w:pPr>
        <w:pStyle w:val="ListNumber2"/>
      </w:pPr>
      <w:r w:rsidRPr="004F4317">
        <w:t>Large research infrastructure services for SMEs, Finland; contributor: PP1 KE.</w:t>
      </w:r>
    </w:p>
    <w:p w14:paraId="0821FA98" w14:textId="456C1628" w:rsidR="00817E9E" w:rsidRPr="004F4317" w:rsidRDefault="00817E9E" w:rsidP="003B0D04">
      <w:pPr>
        <w:pStyle w:val="ListNumber2"/>
      </w:pPr>
      <w:r w:rsidRPr="004F4317">
        <w:t>Online precise irrigation scheduling / OpIris, Greece</w:t>
      </w:r>
      <w:r w:rsidR="00D444D1" w:rsidRPr="004F4317">
        <w:t>; contributor</w:t>
      </w:r>
      <w:r w:rsidRPr="004F4317">
        <w:t>: PP9 CERTH.</w:t>
      </w:r>
    </w:p>
    <w:p w14:paraId="15106ADF" w14:textId="54A8EDC9" w:rsidR="008B06B1" w:rsidRPr="004F4317" w:rsidRDefault="008B06B1" w:rsidP="003B0D04">
      <w:pPr>
        <w:pStyle w:val="ListNumber2"/>
      </w:pPr>
      <w:r w:rsidRPr="004F4317">
        <w:t xml:space="preserve">Amsterdam </w:t>
      </w:r>
      <w:r w:rsidR="00D444D1" w:rsidRPr="004F4317">
        <w:t>Institute</w:t>
      </w:r>
      <w:r w:rsidRPr="004F4317">
        <w:t xml:space="preserve"> for Advanced Metropolitan Solutions (AMS), The Netherlands; contributor PP10 Alterra (withdrew).</w:t>
      </w:r>
    </w:p>
    <w:p w14:paraId="3C3799E0" w14:textId="6B725E04" w:rsidR="00817E9E" w:rsidRPr="004F4317" w:rsidRDefault="00817E9E" w:rsidP="003B0D04">
      <w:pPr>
        <w:pStyle w:val="ListNumber2"/>
      </w:pPr>
      <w:r w:rsidRPr="004F4317">
        <w:t xml:space="preserve">Sustainable Urban Models Toolkit / SUMO Toolkit, Greece; </w:t>
      </w:r>
      <w:r w:rsidR="00D444D1" w:rsidRPr="004F4317">
        <w:t>contributor</w:t>
      </w:r>
      <w:r w:rsidRPr="004F4317">
        <w:t>: PP9 CERTH.</w:t>
      </w:r>
    </w:p>
    <w:p w14:paraId="40077E69" w14:textId="77777777" w:rsidR="00F441C7" w:rsidRPr="004F4317" w:rsidRDefault="00817E9E" w:rsidP="003B0D04">
      <w:pPr>
        <w:pStyle w:val="ListNumber2"/>
      </w:pPr>
      <w:r w:rsidRPr="004F4317">
        <w:t>Saffronomics, Greece; contributor: PP5 ANKO. </w:t>
      </w:r>
    </w:p>
    <w:p w14:paraId="715C7AD9" w14:textId="7A895DA1" w:rsidR="005E0EEF" w:rsidRPr="004F4317" w:rsidRDefault="005E0EEF" w:rsidP="003B0D04">
      <w:pPr>
        <w:pStyle w:val="ListNumber2"/>
      </w:pPr>
      <w:r w:rsidRPr="004F4317">
        <w:t xml:space="preserve">Steinbeis network, Germany; contributor: PP7 PBN. </w:t>
      </w:r>
      <w:r w:rsidR="00E20C96" w:rsidRPr="004F4317">
        <w:t>The GP was identified in the Interreg Europe project UpGradeSME (PGI00115).</w:t>
      </w:r>
    </w:p>
    <w:p w14:paraId="4067390C" w14:textId="432EB04A" w:rsidR="003C60CC" w:rsidRPr="004F4317" w:rsidRDefault="003C60CC" w:rsidP="003B0D04">
      <w:pPr>
        <w:pStyle w:val="ListNumber2"/>
      </w:pPr>
      <w:r w:rsidRPr="004F4317">
        <w:t xml:space="preserve">Scale-up Denmark; contributor PP4 UL. The GP was identified in the Interreg Europe project </w:t>
      </w:r>
      <w:r w:rsidR="00850EA1" w:rsidRPr="004F4317">
        <w:t>iEER (PGI00111)</w:t>
      </w:r>
      <w:r w:rsidRPr="004F4317">
        <w:t>.</w:t>
      </w:r>
    </w:p>
    <w:p w14:paraId="53045F2B" w14:textId="0840E8D0" w:rsidR="003C60CC" w:rsidRPr="004F4317" w:rsidRDefault="003C60CC" w:rsidP="003B0D04">
      <w:pPr>
        <w:pStyle w:val="ListNumber2"/>
      </w:pPr>
      <w:r w:rsidRPr="004F4317">
        <w:t>Patents bank</w:t>
      </w:r>
      <w:r w:rsidR="00E20C96" w:rsidRPr="004F4317">
        <w:t>, Spain</w:t>
      </w:r>
      <w:r w:rsidRPr="004F4317">
        <w:t xml:space="preserve">; contributor PP4 UL. The GP was identified in the Interreg Europe project </w:t>
      </w:r>
      <w:r w:rsidR="00850EA1" w:rsidRPr="004F4317">
        <w:t>iEER (PGI00111)</w:t>
      </w:r>
      <w:r w:rsidRPr="004F4317">
        <w:t>.</w:t>
      </w:r>
    </w:p>
    <w:p w14:paraId="44E78914" w14:textId="69A15242" w:rsidR="003C60CC" w:rsidRPr="004F4317" w:rsidRDefault="003C60CC" w:rsidP="003B0D04">
      <w:pPr>
        <w:pStyle w:val="ListNumber2"/>
      </w:pPr>
      <w:r w:rsidRPr="004F4317">
        <w:t>MITY</w:t>
      </w:r>
      <w:r w:rsidR="00E20C96" w:rsidRPr="004F4317">
        <w:t>, Finland</w:t>
      </w:r>
      <w:r w:rsidRPr="004F4317">
        <w:t>; contributors PP2 RCK &amp; PP1 KE</w:t>
      </w:r>
      <w:r w:rsidR="00EA28D5" w:rsidRPr="004F4317">
        <w:t>.</w:t>
      </w:r>
    </w:p>
    <w:p w14:paraId="22BC70A0" w14:textId="5CDCBCF4" w:rsidR="00EA28D5" w:rsidRPr="004F4317" w:rsidRDefault="00046683" w:rsidP="003B0D04">
      <w:pPr>
        <w:pStyle w:val="ListNumber2"/>
      </w:pPr>
      <w:r w:rsidRPr="004F4317">
        <w:t xml:space="preserve">Novel product in dairy and </w:t>
      </w:r>
      <w:r w:rsidR="00D444D1" w:rsidRPr="004F4317">
        <w:t>wineries</w:t>
      </w:r>
      <w:r w:rsidRPr="004F4317">
        <w:t xml:space="preserve"> using herbs</w:t>
      </w:r>
      <w:r w:rsidR="00E20C96" w:rsidRPr="004F4317">
        <w:t>, Greece</w:t>
      </w:r>
      <w:r w:rsidRPr="004F4317">
        <w:t>; contributor PP5 ANKO.</w:t>
      </w:r>
    </w:p>
    <w:p w14:paraId="50334F71" w14:textId="35BF91D3" w:rsidR="00046683" w:rsidRPr="004F4317" w:rsidRDefault="00F441C7" w:rsidP="003B0D04">
      <w:pPr>
        <w:pStyle w:val="ListNumber2"/>
      </w:pPr>
      <w:r w:rsidRPr="004F4317">
        <w:t>«DIOFARM» - PROMIXTURE OF FEED ADDITIVES: R2B &amp; B2B collaboration between Dioscurides and Greek Honey “Attiki -Pittas”, Greece; contributor</w:t>
      </w:r>
      <w:r w:rsidR="00687E06" w:rsidRPr="004F4317">
        <w:t xml:space="preserve"> PP5 ANKO.</w:t>
      </w:r>
    </w:p>
    <w:p w14:paraId="0DAA0489" w14:textId="5124095F" w:rsidR="00687E06" w:rsidRPr="004F4317" w:rsidRDefault="00687E06" w:rsidP="003B0D04">
      <w:pPr>
        <w:pStyle w:val="ListNumber2"/>
      </w:pPr>
      <w:r w:rsidRPr="004F4317">
        <w:lastRenderedPageBreak/>
        <w:t xml:space="preserve">INTOA LEAN BUSINESS, Finland; contributor </w:t>
      </w:r>
      <w:r w:rsidR="0046067F" w:rsidRPr="004F4317">
        <w:t xml:space="preserve">University of Turku through </w:t>
      </w:r>
      <w:r w:rsidRPr="004F4317">
        <w:t xml:space="preserve">PP1 KE. The GP was identified in the Interreg Europe project ecoRIS3 (PGI 02229). </w:t>
      </w:r>
    </w:p>
    <w:p w14:paraId="6B152527" w14:textId="1EC967AB" w:rsidR="00687E06" w:rsidRPr="004F4317" w:rsidRDefault="00687E06" w:rsidP="003B0D04">
      <w:pPr>
        <w:pStyle w:val="ListNumber2"/>
      </w:pPr>
      <w:r w:rsidRPr="004F4317">
        <w:t>Hellenic Photonics Cluster with applications in the agro food sector, Greece; contributor PP9 CERTH.</w:t>
      </w:r>
    </w:p>
    <w:p w14:paraId="14C53FC7" w14:textId="55328365" w:rsidR="009A5EB6" w:rsidRPr="004F4317" w:rsidRDefault="0046067F" w:rsidP="003B0D04">
      <w:pPr>
        <w:pStyle w:val="ListNumber2"/>
      </w:pPr>
      <w:r w:rsidRPr="004F4317">
        <w:t>Auto</w:t>
      </w:r>
      <w:r w:rsidR="00D444D1" w:rsidRPr="004F4317">
        <w:t>diagnostic</w:t>
      </w:r>
      <w:r w:rsidRPr="004F4317">
        <w:t xml:space="preserve"> tool for agri-food businesses</w:t>
      </w:r>
      <w:r w:rsidR="009A5EB6" w:rsidRPr="004F4317">
        <w:t>, Greece; contributor PP9 CERTH.</w:t>
      </w:r>
    </w:p>
    <w:p w14:paraId="59C385BB" w14:textId="2128DEF9" w:rsidR="00817E9E" w:rsidRPr="00E14342" w:rsidRDefault="00237E4E" w:rsidP="003676F1">
      <w:pPr>
        <w:pStyle w:val="Title"/>
      </w:pPr>
      <w:bookmarkStart w:id="62" w:name="_Toc502477974"/>
      <w:r w:rsidRPr="00E14342">
        <w:t xml:space="preserve">GP theme 2 </w:t>
      </w:r>
      <w:bookmarkEnd w:id="62"/>
      <w:r w:rsidR="007F09AC">
        <w:t>insights</w:t>
      </w:r>
    </w:p>
    <w:p w14:paraId="04BD57E1" w14:textId="2560C9B2" w:rsidR="004D7D77" w:rsidRPr="00E14342" w:rsidRDefault="00A60258" w:rsidP="000F381C">
      <w:r w:rsidRPr="00E14342">
        <w:t>T</w:t>
      </w:r>
      <w:r w:rsidR="00551C5A" w:rsidRPr="00E14342">
        <w:t>he GP theme 2 contributions</w:t>
      </w:r>
      <w:r w:rsidR="002C1ACF" w:rsidRPr="00E14342">
        <w:t>…</w:t>
      </w:r>
      <w:r w:rsidR="00551C5A" w:rsidRPr="00E14342">
        <w:t xml:space="preserve">  </w:t>
      </w:r>
    </w:p>
    <w:p w14:paraId="6EF8CE01" w14:textId="031BAB3B" w:rsidR="004D7D77" w:rsidRPr="00E14342" w:rsidRDefault="00551C5A" w:rsidP="007B7116">
      <w:pPr>
        <w:pStyle w:val="ListNumber"/>
        <w:numPr>
          <w:ilvl w:val="0"/>
          <w:numId w:val="39"/>
        </w:numPr>
      </w:pPr>
      <w:r w:rsidRPr="00E14342">
        <w:t>form a good</w:t>
      </w:r>
      <w:r w:rsidR="00A60258" w:rsidRPr="00E14342">
        <w:t>, practically comprehensive base for g</w:t>
      </w:r>
      <w:r w:rsidR="00E2691D" w:rsidRPr="00E14342">
        <w:t>ood practice exchange and trans</w:t>
      </w:r>
      <w:r w:rsidR="00A60258" w:rsidRPr="00E14342">
        <w:t>f</w:t>
      </w:r>
      <w:r w:rsidR="00E2691D" w:rsidRPr="00E14342">
        <w:t>e</w:t>
      </w:r>
      <w:r w:rsidR="00A60258" w:rsidRPr="00E14342">
        <w:t>r amon</w:t>
      </w:r>
      <w:r w:rsidR="00557772" w:rsidRPr="00E14342">
        <w:t>g the BRIDGES project regions</w:t>
      </w:r>
    </w:p>
    <w:p w14:paraId="7B2E43BF" w14:textId="77777777" w:rsidR="00557772" w:rsidRPr="00E14342" w:rsidRDefault="00557772" w:rsidP="007B7116">
      <w:pPr>
        <w:pStyle w:val="ListNumber"/>
        <w:numPr>
          <w:ilvl w:val="0"/>
          <w:numId w:val="39"/>
        </w:numPr>
      </w:pPr>
      <w:r w:rsidRPr="00E14342">
        <w:t>all GPs show strong specialisation potential</w:t>
      </w:r>
    </w:p>
    <w:p w14:paraId="5D99F821" w14:textId="6C815242" w:rsidR="004D6F66" w:rsidRPr="00E14342" w:rsidRDefault="00831512" w:rsidP="007B7116">
      <w:pPr>
        <w:pStyle w:val="ListNumber"/>
        <w:numPr>
          <w:ilvl w:val="0"/>
          <w:numId w:val="39"/>
        </w:numPr>
      </w:pPr>
      <w:r w:rsidRPr="00E14342">
        <w:t xml:space="preserve">all </w:t>
      </w:r>
      <w:r w:rsidR="004D6F66" w:rsidRPr="00E14342">
        <w:t xml:space="preserve">GPs </w:t>
      </w:r>
      <w:r w:rsidR="00A60258" w:rsidRPr="00E14342">
        <w:t>are complemen</w:t>
      </w:r>
      <w:r w:rsidR="004D6F66" w:rsidRPr="00E14342">
        <w:t xml:space="preserve">tary to GP theme 1 through the </w:t>
      </w:r>
      <w:r w:rsidR="00A60258" w:rsidRPr="00E14342">
        <w:t>access-to-research function</w:t>
      </w:r>
    </w:p>
    <w:p w14:paraId="6DB7D556" w14:textId="2E5CFF51" w:rsidR="00557772" w:rsidRPr="00E14342" w:rsidRDefault="00557772" w:rsidP="007B7116">
      <w:pPr>
        <w:pStyle w:val="ListNumber"/>
        <w:numPr>
          <w:ilvl w:val="0"/>
          <w:numId w:val="39"/>
        </w:numPr>
      </w:pPr>
      <w:r w:rsidRPr="00E14342">
        <w:t xml:space="preserve">three GPs lead to macro-regional </w:t>
      </w:r>
      <w:r w:rsidR="00831512" w:rsidRPr="00E14342">
        <w:t xml:space="preserve">&amp; even international solutions, in the quest for </w:t>
      </w:r>
      <w:r w:rsidR="008466A4">
        <w:t xml:space="preserve">access to </w:t>
      </w:r>
      <w:r w:rsidRPr="00E14342">
        <w:t>research excel</w:t>
      </w:r>
      <w:r w:rsidR="00831512" w:rsidRPr="00E14342">
        <w:t xml:space="preserve">lence and  business </w:t>
      </w:r>
      <w:r w:rsidRPr="00E14342">
        <w:t xml:space="preserve">competitiveness </w:t>
      </w:r>
    </w:p>
    <w:p w14:paraId="202F52A0" w14:textId="199E9A93" w:rsidR="004D6F66" w:rsidRPr="00E14342" w:rsidRDefault="004D6F66" w:rsidP="007B7116">
      <w:pPr>
        <w:pStyle w:val="ListNumber"/>
        <w:numPr>
          <w:ilvl w:val="0"/>
          <w:numId w:val="39"/>
        </w:numPr>
      </w:pPr>
      <w:r w:rsidRPr="00E14342">
        <w:t>two GPs show clea</w:t>
      </w:r>
      <w:r w:rsidR="00557772" w:rsidRPr="00E14342">
        <w:t>r industrial mode</w:t>
      </w:r>
      <w:r w:rsidR="00E2691D" w:rsidRPr="00E14342">
        <w:t>r</w:t>
      </w:r>
      <w:r w:rsidR="00557772" w:rsidRPr="00E14342">
        <w:t>n</w:t>
      </w:r>
      <w:r w:rsidR="00E2691D" w:rsidRPr="00E14342">
        <w:t>isation pote</w:t>
      </w:r>
      <w:r w:rsidRPr="00E14342">
        <w:t>ntial, i.e.</w:t>
      </w:r>
      <w:r w:rsidR="007A4FD3" w:rsidRPr="00E14342">
        <w:t xml:space="preserve"> </w:t>
      </w:r>
      <w:r w:rsidRPr="00E14342">
        <w:t xml:space="preserve">dealing with renewal </w:t>
      </w:r>
      <w:r w:rsidR="00E2691D" w:rsidRPr="00E14342">
        <w:t xml:space="preserve">actions at industrial scale; </w:t>
      </w:r>
    </w:p>
    <w:p w14:paraId="72B427F5" w14:textId="77777777" w:rsidR="004D6F66" w:rsidRPr="00E14342" w:rsidRDefault="00E2691D" w:rsidP="007B7116">
      <w:pPr>
        <w:pStyle w:val="ListNumber"/>
        <w:numPr>
          <w:ilvl w:val="0"/>
          <w:numId w:val="39"/>
        </w:numPr>
      </w:pPr>
      <w:r w:rsidRPr="00E14342">
        <w:t xml:space="preserve">all </w:t>
      </w:r>
      <w:r w:rsidR="004D6F66" w:rsidRPr="00E14342">
        <w:t xml:space="preserve">GPs </w:t>
      </w:r>
      <w:r w:rsidRPr="00E14342">
        <w:t>show strong specialisation potential</w:t>
      </w:r>
    </w:p>
    <w:p w14:paraId="0A3B2164" w14:textId="0114D3DF" w:rsidR="00817E9E" w:rsidRPr="00E14342" w:rsidRDefault="00E2691D" w:rsidP="007B7116">
      <w:pPr>
        <w:pStyle w:val="ListNumber"/>
        <w:numPr>
          <w:ilvl w:val="0"/>
          <w:numId w:val="39"/>
        </w:numPr>
      </w:pPr>
      <w:r w:rsidRPr="00E14342">
        <w:t xml:space="preserve">two </w:t>
      </w:r>
      <w:r w:rsidR="00C65DE7" w:rsidRPr="00E14342">
        <w:t>GPs de</w:t>
      </w:r>
      <w:r w:rsidR="004D6F66" w:rsidRPr="00E14342">
        <w:t xml:space="preserve">monstrate </w:t>
      </w:r>
      <w:r w:rsidRPr="00E14342">
        <w:t xml:space="preserve">the potential of </w:t>
      </w:r>
      <w:r w:rsidR="00C65DE7" w:rsidRPr="00E14342">
        <w:t xml:space="preserve">how </w:t>
      </w:r>
      <w:r w:rsidRPr="00E14342">
        <w:t xml:space="preserve">research </w:t>
      </w:r>
      <w:r w:rsidR="00611CFE" w:rsidRPr="00E14342">
        <w:t>excellence</w:t>
      </w:r>
      <w:r w:rsidR="00C65DE7" w:rsidRPr="00E14342">
        <w:t xml:space="preserve"> </w:t>
      </w:r>
      <w:r w:rsidRPr="00E14342">
        <w:t xml:space="preserve">and performing businesses </w:t>
      </w:r>
      <w:r w:rsidR="00C65DE7" w:rsidRPr="00E14342">
        <w:t xml:space="preserve">can collaborate </w:t>
      </w:r>
      <w:r w:rsidRPr="00E14342">
        <w:t xml:space="preserve">even in </w:t>
      </w:r>
      <w:r w:rsidR="004D7D77" w:rsidRPr="00E14342">
        <w:t>l</w:t>
      </w:r>
      <w:r w:rsidR="004D6F66" w:rsidRPr="00E14342">
        <w:t>ess-advanced contexts</w:t>
      </w:r>
      <w:r w:rsidR="004D7D77" w:rsidRPr="00E14342">
        <w:t>. Th</w:t>
      </w:r>
      <w:r w:rsidR="00611CFE" w:rsidRPr="00E14342">
        <w:t>is confirms the project assum</w:t>
      </w:r>
      <w:r w:rsidR="004D7D77" w:rsidRPr="00E14342">
        <w:t>ption that research-to-business partnerships are one possible and probable key for ind</w:t>
      </w:r>
      <w:r w:rsidR="004D6F66" w:rsidRPr="00E14342">
        <w:t>u</w:t>
      </w:r>
      <w:r w:rsidR="00611CFE" w:rsidRPr="00E14342">
        <w:t>s</w:t>
      </w:r>
      <w:r w:rsidR="004D6F66" w:rsidRPr="00E14342">
        <w:t>trial renewal and RIS3 impa</w:t>
      </w:r>
      <w:r w:rsidR="00C65DE7" w:rsidRPr="00E14342">
        <w:t>ct.</w:t>
      </w:r>
    </w:p>
    <w:p w14:paraId="471F8696" w14:textId="768F298C" w:rsidR="00CA726F" w:rsidRDefault="00CA726F" w:rsidP="0071392B">
      <w:pPr>
        <w:pStyle w:val="Heading2"/>
      </w:pPr>
      <w:bookmarkStart w:id="63" w:name="_Toc353104278"/>
      <w:bookmarkStart w:id="64" w:name="_Toc354494986"/>
      <w:bookmarkStart w:id="65" w:name="_Toc354519062"/>
      <w:bookmarkStart w:id="66" w:name="_Toc368210685"/>
      <w:bookmarkStart w:id="67" w:name="_Ref368211610"/>
      <w:bookmarkStart w:id="68" w:name="_Ref368293030"/>
      <w:bookmarkStart w:id="69" w:name="_Toc502477975"/>
    </w:p>
    <w:p w14:paraId="6D39E322" w14:textId="77777777" w:rsidR="008454CB" w:rsidRDefault="008454CB" w:rsidP="0071392B">
      <w:pPr>
        <w:pStyle w:val="Heading2"/>
      </w:pPr>
    </w:p>
    <w:p w14:paraId="66A8203B" w14:textId="050E055D" w:rsidR="00817E9E" w:rsidRPr="00E14342" w:rsidRDefault="00817E9E" w:rsidP="0071392B">
      <w:pPr>
        <w:pStyle w:val="Heading2"/>
      </w:pPr>
      <w:bookmarkStart w:id="70" w:name="_Toc526583510"/>
      <w:bookmarkStart w:id="71" w:name="_Toc526586513"/>
      <w:r w:rsidRPr="00E14342">
        <w:t>G</w:t>
      </w:r>
      <w:r w:rsidR="007E6437" w:rsidRPr="00E14342">
        <w:t>ood practic</w:t>
      </w:r>
      <w:r w:rsidRPr="00E14342">
        <w:t xml:space="preserve">e theme 3 </w:t>
      </w:r>
      <w:r w:rsidR="00B96C9B" w:rsidRPr="00E14342">
        <w:t>Multi-level</w:t>
      </w:r>
      <w:r w:rsidRPr="00E14342">
        <w:t xml:space="preserve"> synergies</w:t>
      </w:r>
      <w:bookmarkEnd w:id="63"/>
      <w:bookmarkEnd w:id="64"/>
      <w:bookmarkEnd w:id="65"/>
      <w:bookmarkEnd w:id="66"/>
      <w:bookmarkEnd w:id="67"/>
      <w:bookmarkEnd w:id="68"/>
      <w:bookmarkEnd w:id="69"/>
      <w:bookmarkEnd w:id="70"/>
      <w:bookmarkEnd w:id="71"/>
    </w:p>
    <w:p w14:paraId="48EE7E28" w14:textId="77777777" w:rsidR="00353302" w:rsidRPr="00E14342" w:rsidRDefault="00353302" w:rsidP="003676F1">
      <w:pPr>
        <w:pStyle w:val="Title"/>
      </w:pPr>
      <w:bookmarkStart w:id="72" w:name="_Toc502477976"/>
      <w:bookmarkStart w:id="73" w:name="_Toc353104279"/>
      <w:bookmarkStart w:id="74" w:name="_Toc354494987"/>
      <w:bookmarkStart w:id="75" w:name="_Toc354519063"/>
      <w:bookmarkStart w:id="76" w:name="_Toc368210686"/>
      <w:r w:rsidRPr="00E14342">
        <w:t>Background</w:t>
      </w:r>
      <w:bookmarkEnd w:id="72"/>
    </w:p>
    <w:p w14:paraId="31B6FBF2" w14:textId="078D1874" w:rsidR="00C92B09" w:rsidRPr="00E14342" w:rsidRDefault="005A51C9" w:rsidP="000F381C">
      <w:r w:rsidRPr="00E14342">
        <w:t xml:space="preserve">GP theme 3 </w:t>
      </w:r>
      <w:r w:rsidR="0092185C" w:rsidRPr="00E14342">
        <w:t>Multi-le</w:t>
      </w:r>
      <w:r w:rsidRPr="00E14342">
        <w:t xml:space="preserve">vel synergies, </w:t>
      </w:r>
      <w:r w:rsidR="000009DE" w:rsidRPr="00E14342">
        <w:t>refers mainly to two fields: GPs demonstrating combination of innovation resources e.g. beyond the</w:t>
      </w:r>
      <w:r w:rsidR="00A7266D" w:rsidRPr="00E14342">
        <w:t xml:space="preserve"> structural &amp; </w:t>
      </w:r>
      <w:r w:rsidR="0092185C" w:rsidRPr="00E14342">
        <w:t>inve</w:t>
      </w:r>
      <w:r w:rsidR="00353302" w:rsidRPr="00E14342">
        <w:t>s</w:t>
      </w:r>
      <w:r w:rsidR="0092185C" w:rsidRPr="00E14342">
        <w:t>tment funds (ESIF) &amp; combination of different levels of admin</w:t>
      </w:r>
      <w:r w:rsidR="00A7266D" w:rsidRPr="00E14342">
        <w:t>istration towards strengthening regional innovation system</w:t>
      </w:r>
      <w:r w:rsidR="000E3200" w:rsidRPr="00E14342">
        <w:t xml:space="preserve">s. </w:t>
      </w:r>
    </w:p>
    <w:p w14:paraId="718172C6" w14:textId="06FD99C5" w:rsidR="00B645D1" w:rsidRPr="00E14342" w:rsidRDefault="006A12CC" w:rsidP="000F381C">
      <w:r w:rsidRPr="00E14342">
        <w:t xml:space="preserve">GP theme 3 </w:t>
      </w:r>
      <w:r w:rsidR="008F22E6" w:rsidRPr="00E14342">
        <w:t>answers the</w:t>
      </w:r>
      <w:r w:rsidR="00B645D1" w:rsidRPr="00E14342">
        <w:t xml:space="preserve"> question: </w:t>
      </w:r>
      <w:r w:rsidR="00645040" w:rsidRPr="00E14342">
        <w:t xml:space="preserve">what kind of tools </w:t>
      </w:r>
      <w:r w:rsidR="008F22E6" w:rsidRPr="00E14342">
        <w:t>regions have</w:t>
      </w:r>
      <w:r w:rsidR="00992CDE" w:rsidRPr="00E14342">
        <w:t xml:space="preserve"> and use</w:t>
      </w:r>
      <w:r w:rsidR="008F22E6" w:rsidRPr="00E14342">
        <w:t xml:space="preserve"> to overcome structural challenges such as mismatches between their economic and research bases? </w:t>
      </w:r>
      <w:bookmarkEnd w:id="73"/>
      <w:bookmarkEnd w:id="74"/>
      <w:bookmarkEnd w:id="75"/>
      <w:bookmarkEnd w:id="76"/>
      <w:r w:rsidR="00992CDE" w:rsidRPr="00E14342">
        <w:t xml:space="preserve">Are </w:t>
      </w:r>
      <w:r w:rsidR="00C36F24" w:rsidRPr="00E14342">
        <w:t xml:space="preserve">these tools utilised </w:t>
      </w:r>
      <w:r w:rsidR="00992CDE" w:rsidRPr="00E14342">
        <w:t xml:space="preserve">as ad hoc solutions </w:t>
      </w:r>
      <w:r w:rsidR="00992CDE" w:rsidRPr="00E14342">
        <w:lastRenderedPageBreak/>
        <w:t xml:space="preserve">or </w:t>
      </w:r>
      <w:r w:rsidR="00C36F24" w:rsidRPr="00E14342">
        <w:t xml:space="preserve">do they also </w:t>
      </w:r>
      <w:r w:rsidR="00992CDE" w:rsidRPr="00E14342">
        <w:t xml:space="preserve">lead to </w:t>
      </w:r>
      <w:r w:rsidR="00976577" w:rsidRPr="00E14342">
        <w:t>long-term</w:t>
      </w:r>
      <w:r w:rsidR="00992CDE" w:rsidRPr="00E14342">
        <w:t xml:space="preserve"> networks and exchanges?</w:t>
      </w:r>
      <w:r w:rsidR="00C36F24" w:rsidRPr="00E14342">
        <w:t xml:space="preserve"> </w:t>
      </w:r>
      <w:r w:rsidR="00164E16" w:rsidRPr="00E14342">
        <w:t>Has the region deve</w:t>
      </w:r>
      <w:r w:rsidR="00611CFE" w:rsidRPr="00E14342">
        <w:t>l</w:t>
      </w:r>
      <w:r w:rsidR="00164E16" w:rsidRPr="00E14342">
        <w:t>oped a system of relational rath</w:t>
      </w:r>
      <w:r w:rsidR="00611CFE" w:rsidRPr="00E14342">
        <w:t>e</w:t>
      </w:r>
      <w:r w:rsidR="00164E16" w:rsidRPr="00E14342">
        <w:t xml:space="preserve">r than </w:t>
      </w:r>
      <w:r w:rsidR="00976577" w:rsidRPr="00E14342">
        <w:t>geographic</w:t>
      </w:r>
      <w:r w:rsidR="00164E16" w:rsidRPr="00E14342">
        <w:t xml:space="preserve"> knowledge proximities</w:t>
      </w:r>
      <w:r w:rsidR="00164E16" w:rsidRPr="00E14342">
        <w:rPr>
          <w:rStyle w:val="FootnoteReference"/>
        </w:rPr>
        <w:footnoteReference w:id="17"/>
      </w:r>
      <w:r w:rsidR="00164E16" w:rsidRPr="00E14342">
        <w:t>?</w:t>
      </w:r>
    </w:p>
    <w:p w14:paraId="03C51DEF" w14:textId="2AFF83F1" w:rsidR="00AA677B" w:rsidRPr="00E14342" w:rsidRDefault="004740A2" w:rsidP="000F381C">
      <w:r w:rsidRPr="00E14342">
        <w:t>T</w:t>
      </w:r>
      <w:r w:rsidR="00FF3D5C" w:rsidRPr="00E14342">
        <w:t xml:space="preserve">he multilevel synergies GP theme is about ways to activate &amp; implement technological connectivity beyond regional administration. </w:t>
      </w:r>
      <w:r w:rsidR="00AA677B" w:rsidRPr="00E14342">
        <w:t xml:space="preserve">One type of </w:t>
      </w:r>
      <w:r w:rsidR="00B96C9B" w:rsidRPr="00E14342">
        <w:t>multi-level</w:t>
      </w:r>
      <w:r w:rsidR="00AA677B" w:rsidRPr="00E14342">
        <w:t xml:space="preserve"> partnerships are those recently promoted schemes of multi</w:t>
      </w:r>
      <w:r w:rsidR="00B96C9B" w:rsidRPr="00E14342">
        <w:t>-</w:t>
      </w:r>
      <w:r w:rsidR="00AA677B" w:rsidRPr="00E14342">
        <w:t>level governance</w:t>
      </w:r>
      <w:r w:rsidR="00FF3D5C" w:rsidRPr="00E14342">
        <w:t xml:space="preserve"> (=</w:t>
      </w:r>
      <w:r w:rsidR="00976577" w:rsidRPr="00E14342">
        <w:t>multilevel</w:t>
      </w:r>
      <w:r w:rsidR="00FF3D5C" w:rsidRPr="00E14342">
        <w:t xml:space="preserve"> partner</w:t>
      </w:r>
      <w:r w:rsidR="00AA677B" w:rsidRPr="00E14342">
        <w:t>s</w:t>
      </w:r>
      <w:r w:rsidR="00FF3D5C" w:rsidRPr="00E14342">
        <w:t>h</w:t>
      </w:r>
      <w:r w:rsidR="00AA677B" w:rsidRPr="00E14342">
        <w:t>ip) within the EU (CoR 2011)</w:t>
      </w:r>
      <w:r w:rsidR="00AA677B" w:rsidRPr="00E14342">
        <w:rPr>
          <w:rStyle w:val="FootnoteReference"/>
        </w:rPr>
        <w:footnoteReference w:id="18"/>
      </w:r>
      <w:r w:rsidR="00AA677B" w:rsidRPr="00E14342">
        <w:t xml:space="preserve">. </w:t>
      </w:r>
    </w:p>
    <w:p w14:paraId="4E8DBE53" w14:textId="77777777" w:rsidR="005642EF" w:rsidRPr="00E14342" w:rsidRDefault="005642EF" w:rsidP="003676F1">
      <w:pPr>
        <w:pStyle w:val="Title"/>
      </w:pPr>
      <w:bookmarkStart w:id="77" w:name="_Toc502477977"/>
      <w:r w:rsidRPr="00E14342">
        <w:t>Interpretation of the GP theme 3 concept for the purposes of the BRIDGES project</w:t>
      </w:r>
      <w:bookmarkEnd w:id="77"/>
    </w:p>
    <w:p w14:paraId="4A4B5491" w14:textId="7D88516B" w:rsidR="00817E9E" w:rsidRPr="00E14342" w:rsidRDefault="00817E9E" w:rsidP="00F34BAE">
      <w:pPr>
        <w:pStyle w:val="ListNumber"/>
      </w:pPr>
      <w:r w:rsidRPr="00E14342">
        <w:t>The GP discussion will take into account:</w:t>
      </w:r>
    </w:p>
    <w:p w14:paraId="46F8130C" w14:textId="294A2ECF" w:rsidR="00817E9E" w:rsidRPr="00E14342" w:rsidRDefault="00D8334D" w:rsidP="007B7116">
      <w:pPr>
        <w:pStyle w:val="ListNumber"/>
        <w:numPr>
          <w:ilvl w:val="0"/>
          <w:numId w:val="39"/>
        </w:numPr>
      </w:pPr>
      <w:r w:rsidRPr="00E14342">
        <w:t>What does the GP demonstrate</w:t>
      </w:r>
      <w:r w:rsidR="00817E9E" w:rsidRPr="00E14342">
        <w:t xml:space="preserve"> in terms of </w:t>
      </w:r>
      <w:r w:rsidR="00B96C9B" w:rsidRPr="00E14342">
        <w:t>multi-level</w:t>
      </w:r>
      <w:r w:rsidR="00817E9E" w:rsidRPr="00E14342">
        <w:t xml:space="preserve"> synergies? </w:t>
      </w:r>
    </w:p>
    <w:p w14:paraId="35FF7B11" w14:textId="7DC9A736" w:rsidR="00817E9E" w:rsidRPr="00E14342" w:rsidRDefault="00817E9E" w:rsidP="007B7116">
      <w:pPr>
        <w:pStyle w:val="ListNumber"/>
        <w:numPr>
          <w:ilvl w:val="0"/>
          <w:numId w:val="39"/>
        </w:numPr>
      </w:pPr>
      <w:r w:rsidRPr="00E14342">
        <w:t>Does it address and how mismatches between RIS3 productive &amp; RDI bases?</w:t>
      </w:r>
    </w:p>
    <w:p w14:paraId="25210E7F" w14:textId="3693963F" w:rsidR="00817E9E" w:rsidRPr="00E14342" w:rsidRDefault="008301B1" w:rsidP="007B7116">
      <w:pPr>
        <w:pStyle w:val="ListNumber"/>
        <w:numPr>
          <w:ilvl w:val="0"/>
          <w:numId w:val="39"/>
        </w:numPr>
      </w:pPr>
      <w:r w:rsidRPr="00E14342">
        <w:t>Does the GP encourage interregional</w:t>
      </w:r>
      <w:r w:rsidR="009B3AA3" w:rsidRPr="00E14342">
        <w:t xml:space="preserve"> solutions</w:t>
      </w:r>
      <w:r w:rsidRPr="00E14342">
        <w:t>? And</w:t>
      </w:r>
      <w:r w:rsidR="00C64AA5" w:rsidRPr="00E14342">
        <w:t xml:space="preserve"> if so, is there any st</w:t>
      </w:r>
      <w:r w:rsidRPr="00E14342">
        <w:t>r</w:t>
      </w:r>
      <w:r w:rsidR="00C64AA5" w:rsidRPr="00E14342">
        <w:t>ategic quality towards netwo</w:t>
      </w:r>
      <w:r w:rsidRPr="00E14342">
        <w:t>r</w:t>
      </w:r>
      <w:r w:rsidR="00C64AA5" w:rsidRPr="00E14342">
        <w:t>k</w:t>
      </w:r>
      <w:r w:rsidRPr="00E14342">
        <w:t xml:space="preserve"> building, relational proximity…?</w:t>
      </w:r>
    </w:p>
    <w:p w14:paraId="0035F761" w14:textId="77777777" w:rsidR="00817E9E" w:rsidRPr="00E14342" w:rsidRDefault="00817E9E" w:rsidP="007B7116">
      <w:pPr>
        <w:pStyle w:val="ListNumber"/>
        <w:numPr>
          <w:ilvl w:val="0"/>
          <w:numId w:val="39"/>
        </w:numPr>
      </w:pPr>
      <w:r w:rsidRPr="00E14342">
        <w:t>National level of governance (institutions and actors across the national level; corresponding funding)</w:t>
      </w:r>
    </w:p>
    <w:p w14:paraId="31600487" w14:textId="77777777" w:rsidR="00817E9E" w:rsidRPr="00E14342" w:rsidRDefault="00817E9E" w:rsidP="007B7116">
      <w:pPr>
        <w:pStyle w:val="ListNumber"/>
        <w:numPr>
          <w:ilvl w:val="0"/>
          <w:numId w:val="39"/>
        </w:numPr>
      </w:pPr>
      <w:r w:rsidRPr="00E14342">
        <w:t>Combination of funds at regional, national or interregional/international levels?</w:t>
      </w:r>
    </w:p>
    <w:p w14:paraId="4B9A830A" w14:textId="77777777" w:rsidR="00817E9E" w:rsidRPr="00E14342" w:rsidRDefault="00817E9E" w:rsidP="007B7116">
      <w:pPr>
        <w:pStyle w:val="ListNumber"/>
        <w:numPr>
          <w:ilvl w:val="0"/>
          <w:numId w:val="39"/>
        </w:numPr>
      </w:pPr>
      <w:r w:rsidRPr="00E14342">
        <w:t xml:space="preserve">How effective was / is the good practice? What ensured its effectiveness or what hindered, how accessible to the recipients to be pointed out? </w:t>
      </w:r>
    </w:p>
    <w:p w14:paraId="01A1F040" w14:textId="77777777" w:rsidR="00817E9E" w:rsidRPr="00E14342" w:rsidRDefault="00817E9E" w:rsidP="007B7116">
      <w:pPr>
        <w:pStyle w:val="ListNumber"/>
        <w:numPr>
          <w:ilvl w:val="0"/>
          <w:numId w:val="39"/>
        </w:numPr>
      </w:pPr>
      <w:r w:rsidRPr="00E14342">
        <w:t>How widely has the GP been accepted / adapted in the region and, if not, why not?</w:t>
      </w:r>
    </w:p>
    <w:p w14:paraId="3C8A8404" w14:textId="77777777" w:rsidR="00817E9E" w:rsidRPr="00E14342" w:rsidRDefault="00817E9E" w:rsidP="007B7116">
      <w:pPr>
        <w:pStyle w:val="ListNumber"/>
        <w:numPr>
          <w:ilvl w:val="0"/>
          <w:numId w:val="39"/>
        </w:numPr>
      </w:pPr>
      <w:r w:rsidRPr="00E14342">
        <w:t>What are the results, short term and long term that they really brought?</w:t>
      </w:r>
    </w:p>
    <w:p w14:paraId="380B90D2" w14:textId="3056DCB6" w:rsidR="00817E9E" w:rsidRPr="00E14342" w:rsidRDefault="00817E9E" w:rsidP="00487E7B">
      <w:pPr>
        <w:pStyle w:val="ListBullet4"/>
        <w:ind w:left="851"/>
      </w:pPr>
      <w:r w:rsidRPr="00E14342">
        <w:t xml:space="preserve">Lessons learnt from the good practice and ideas for improvement / differentiation / </w:t>
      </w:r>
      <w:r w:rsidR="00976577" w:rsidRPr="00E14342">
        <w:t>sustainability</w:t>
      </w:r>
      <w:r w:rsidRPr="00E14342">
        <w:t xml:space="preserve"> of the GP?</w:t>
      </w:r>
    </w:p>
    <w:p w14:paraId="0A54DAAC" w14:textId="7C3BA069" w:rsidR="00817E9E" w:rsidRPr="00E14342" w:rsidRDefault="00684B09" w:rsidP="003676F1">
      <w:pPr>
        <w:pStyle w:val="Title"/>
      </w:pPr>
      <w:bookmarkStart w:id="78" w:name="_Toc502477978"/>
      <w:r w:rsidRPr="00E14342">
        <w:t>GP theme 3 contributions</w:t>
      </w:r>
      <w:bookmarkEnd w:id="78"/>
      <w:r w:rsidR="008454CB">
        <w:rPr>
          <w:rStyle w:val="FootnoteReference"/>
        </w:rPr>
        <w:footnoteReference w:id="19"/>
      </w:r>
    </w:p>
    <w:p w14:paraId="4F69308E" w14:textId="77777777" w:rsidR="001F5A39" w:rsidRPr="00E14342" w:rsidRDefault="001F5A39" w:rsidP="008454CB">
      <w:pPr>
        <w:pStyle w:val="ListNumber2"/>
      </w:pPr>
      <w:r w:rsidRPr="00E14342">
        <w:t>Voucher for Innovation, Poland; contributor: PP3 LuVo.</w:t>
      </w:r>
    </w:p>
    <w:p w14:paraId="277ACD7B" w14:textId="455C610C" w:rsidR="00817E9E" w:rsidRPr="00E14342" w:rsidRDefault="00B96C9B" w:rsidP="008454CB">
      <w:pPr>
        <w:pStyle w:val="ListNumber2"/>
      </w:pPr>
      <w:r w:rsidRPr="00E14342">
        <w:t>CENTROPE</w:t>
      </w:r>
      <w:r w:rsidR="00817E9E" w:rsidRPr="00E14342">
        <w:t xml:space="preserve"> innovation voucher, Hungary; contributor: PP7 PBN</w:t>
      </w:r>
    </w:p>
    <w:p w14:paraId="2D299DC9" w14:textId="77777777" w:rsidR="00817E9E" w:rsidRPr="00E14342" w:rsidRDefault="00817E9E" w:rsidP="008454CB">
      <w:pPr>
        <w:pStyle w:val="ListNumber2"/>
      </w:pPr>
      <w:r w:rsidRPr="00E14342">
        <w:lastRenderedPageBreak/>
        <w:t>Innocsekk Plusz 2008 innovation voucher, Hungary; contributor: PP7 PBN</w:t>
      </w:r>
    </w:p>
    <w:p w14:paraId="3096E10B" w14:textId="22B489BD" w:rsidR="00817E9E" w:rsidRPr="00E14342" w:rsidRDefault="00B96C9B" w:rsidP="008454CB">
      <w:pPr>
        <w:pStyle w:val="ListNumber2"/>
      </w:pPr>
      <w:r w:rsidRPr="00E14342">
        <w:t>Targeted research </w:t>
      </w:r>
      <w:r w:rsidR="00817E9E" w:rsidRPr="00E14342">
        <w:t>- 1.2 action in</w:t>
      </w:r>
      <w:r w:rsidR="00976577" w:rsidRPr="00E14342">
        <w:t xml:space="preserve"> the </w:t>
      </w:r>
      <w:r w:rsidR="00817E9E" w:rsidRPr="00E14342">
        <w:t>Regional Operational Programme of Lubelskie Voivodship, Poland; contributor: PP3 LuVo.</w:t>
      </w:r>
    </w:p>
    <w:p w14:paraId="7B6F427F" w14:textId="77777777" w:rsidR="00817E9E" w:rsidRPr="00E14342" w:rsidRDefault="00817E9E" w:rsidP="008454CB">
      <w:pPr>
        <w:pStyle w:val="ListNumber2"/>
      </w:pPr>
      <w:r w:rsidRPr="00E14342">
        <w:t>HURC RIS3 coordination, Finland; contributor: PP4 HURC.</w:t>
      </w:r>
    </w:p>
    <w:p w14:paraId="62A30438" w14:textId="0C50C88B" w:rsidR="0018707E" w:rsidRPr="00E14342" w:rsidRDefault="0018707E" w:rsidP="008454CB">
      <w:pPr>
        <w:pStyle w:val="ListNumber2"/>
      </w:pPr>
      <w:r w:rsidRPr="00E14342">
        <w:t>High technology farming platform, Greece (on behalf of many regions); contributor:</w:t>
      </w:r>
      <w:r w:rsidR="00E17E1C">
        <w:t xml:space="preserve"> Region of Central Macedonia, GR (mediation </w:t>
      </w:r>
      <w:r w:rsidRPr="00E14342">
        <w:t>PP9 CERTH</w:t>
      </w:r>
      <w:r w:rsidR="00E17E1C">
        <w:t>)</w:t>
      </w:r>
      <w:r w:rsidRPr="00E14342">
        <w:t>.</w:t>
      </w:r>
    </w:p>
    <w:p w14:paraId="51B8D655" w14:textId="77777777" w:rsidR="007C720D" w:rsidRDefault="0018707E" w:rsidP="008454CB">
      <w:pPr>
        <w:pStyle w:val="ListNumber2"/>
      </w:pPr>
      <w:r w:rsidRPr="00E14342">
        <w:t>Big data traceability</w:t>
      </w:r>
      <w:r w:rsidR="007C720D" w:rsidRPr="00E14342">
        <w:t>, Greece (on behalf of many regions); contributor: PP9 CERTH.</w:t>
      </w:r>
    </w:p>
    <w:p w14:paraId="726CD1A2" w14:textId="239F6CCC" w:rsidR="00817E9E" w:rsidRPr="00E14342" w:rsidRDefault="0034550D" w:rsidP="003676F1">
      <w:pPr>
        <w:pStyle w:val="Title"/>
      </w:pPr>
      <w:bookmarkStart w:id="79" w:name="_Toc353104283"/>
      <w:bookmarkStart w:id="80" w:name="_Toc354494991"/>
      <w:bookmarkStart w:id="81" w:name="_Toc354519067"/>
      <w:bookmarkStart w:id="82" w:name="_Toc502477979"/>
      <w:r w:rsidRPr="00E14342">
        <w:t xml:space="preserve">GP theme 3 </w:t>
      </w:r>
      <w:bookmarkEnd w:id="79"/>
      <w:bookmarkEnd w:id="80"/>
      <w:bookmarkEnd w:id="81"/>
      <w:bookmarkEnd w:id="82"/>
      <w:r w:rsidR="007F09AC">
        <w:t>insights</w:t>
      </w:r>
    </w:p>
    <w:p w14:paraId="78268826" w14:textId="3C814DFF" w:rsidR="00A82054" w:rsidRPr="008454CB" w:rsidRDefault="008B7875" w:rsidP="007B7116">
      <w:pPr>
        <w:pStyle w:val="ListNumber"/>
        <w:numPr>
          <w:ilvl w:val="0"/>
          <w:numId w:val="39"/>
        </w:numPr>
      </w:pPr>
      <w:bookmarkStart w:id="83" w:name="_Toc353104284"/>
      <w:r w:rsidRPr="008454CB">
        <w:t>The most common of the mu</w:t>
      </w:r>
      <w:r w:rsidR="00C8594F" w:rsidRPr="008454CB">
        <w:t>lti-level synergy tools are innova</w:t>
      </w:r>
      <w:r w:rsidRPr="008454CB">
        <w:t>t</w:t>
      </w:r>
      <w:r w:rsidR="00C8594F" w:rsidRPr="008454CB">
        <w:t>i</w:t>
      </w:r>
      <w:r w:rsidRPr="008454CB">
        <w:t>on vouchers linking businesses to research services usually at nationa</w:t>
      </w:r>
      <w:r w:rsidR="00C8594F" w:rsidRPr="008454CB">
        <w:t>l level</w:t>
      </w:r>
      <w:r w:rsidRPr="008454CB">
        <w:t xml:space="preserve">. </w:t>
      </w:r>
      <w:r w:rsidR="006B1F6C" w:rsidRPr="008454CB">
        <w:t>Thus, research-upon-deman</w:t>
      </w:r>
      <w:r w:rsidR="007B7116">
        <w:rPr>
          <w:rStyle w:val="FootnoteReference"/>
        </w:rPr>
        <w:footnoteReference w:id="20"/>
      </w:r>
      <w:r w:rsidR="00ED41B3">
        <w:t xml:space="preserve"> </w:t>
      </w:r>
      <w:r w:rsidR="006B1F6C" w:rsidRPr="008454CB">
        <w:t xml:space="preserve">and </w:t>
      </w:r>
      <w:r w:rsidR="00A82054" w:rsidRPr="008454CB">
        <w:t xml:space="preserve">technological connectivity in terms of access </w:t>
      </w:r>
      <w:r w:rsidR="009E1BF9" w:rsidRPr="008454CB">
        <w:t xml:space="preserve">of businesses </w:t>
      </w:r>
      <w:r w:rsidR="00A82054" w:rsidRPr="008454CB">
        <w:t xml:space="preserve">to research services </w:t>
      </w:r>
      <w:r w:rsidR="009E1BF9" w:rsidRPr="008454CB">
        <w:t>and associated funding is acknowledged actually in</w:t>
      </w:r>
      <w:r w:rsidR="00A82054" w:rsidRPr="008454CB">
        <w:t xml:space="preserve"> </w:t>
      </w:r>
      <w:r w:rsidR="006B1F6C" w:rsidRPr="008454CB">
        <w:t xml:space="preserve">all six (6) regions (also in Finland there is innovation voucher, but it </w:t>
      </w:r>
      <w:r w:rsidR="00571F98" w:rsidRPr="008454CB">
        <w:t xml:space="preserve">was too early to propose it as </w:t>
      </w:r>
      <w:r w:rsidR="006B1F6C" w:rsidRPr="008454CB">
        <w:t>GP)</w:t>
      </w:r>
      <w:r w:rsidR="00A82054" w:rsidRPr="008454CB">
        <w:t xml:space="preserve">, through innovation vouchers. </w:t>
      </w:r>
      <w:r w:rsidR="009E1BF9" w:rsidRPr="008454CB">
        <w:t xml:space="preserve">Interregional innovation vouchers exist as well, but are </w:t>
      </w:r>
      <w:r w:rsidR="003C4869" w:rsidRPr="008454CB">
        <w:t>usually</w:t>
      </w:r>
      <w:r w:rsidR="009E1BF9" w:rsidRPr="008454CB">
        <w:t xml:space="preserve"> </w:t>
      </w:r>
      <w:r w:rsidR="003C4869" w:rsidRPr="008454CB">
        <w:t>constrained</w:t>
      </w:r>
      <w:r w:rsidR="009E1BF9" w:rsidRPr="008454CB">
        <w:t xml:space="preserve"> by ETC project funding &amp; timetable.</w:t>
      </w:r>
      <w:r w:rsidR="00ED41B3">
        <w:t xml:space="preserve"> “Innovation services on demand” i.e. access to interregional solutions when </w:t>
      </w:r>
      <w:r w:rsidR="006B206D">
        <w:t>missing at regional / national levels were acknowledged b</w:t>
      </w:r>
      <w:r w:rsidR="008E5485">
        <w:t xml:space="preserve">y all 6 regions. The requirement to have access vs competed and time consumming projects (like H2020, or even cross-border Interreg) was also stressed. </w:t>
      </w:r>
      <w:r w:rsidR="00C40EBF">
        <w:t>The qu</w:t>
      </w:r>
      <w:r w:rsidR="00421F39">
        <w:t xml:space="preserve">estion was naturally posed during the interregional policy learning sessions, </w:t>
      </w:r>
      <w:r w:rsidR="00B12D50">
        <w:t xml:space="preserve">that </w:t>
      </w:r>
      <w:r w:rsidR="00421F39">
        <w:t xml:space="preserve">if this is the case, </w:t>
      </w:r>
      <w:r w:rsidR="00B12D50">
        <w:t>why article 70 of the CPR</w:t>
      </w:r>
      <w:r w:rsidR="00B12D50">
        <w:rPr>
          <w:rStyle w:val="FootnoteReference"/>
        </w:rPr>
        <w:footnoteReference w:id="21"/>
      </w:r>
      <w:r w:rsidR="00B12D50">
        <w:t xml:space="preserve"> is not activated. The conclusion was that there were two types of barriers: the range of needs needed better documentation, and the activation of </w:t>
      </w:r>
      <w:r w:rsidR="004A1A31">
        <w:t xml:space="preserve">article 70 was not </w:t>
      </w:r>
      <w:r w:rsidR="001269D1">
        <w:t>really addressed in any of the partner areas. These conclusions formed the base for the later on applied BRIDGES project pilot.</w:t>
      </w:r>
    </w:p>
    <w:p w14:paraId="1C1D57A1" w14:textId="4528FADB" w:rsidR="00817E9E" w:rsidRPr="008454CB" w:rsidRDefault="00817E9E" w:rsidP="007B7116">
      <w:pPr>
        <w:pStyle w:val="ListNumber"/>
        <w:numPr>
          <w:ilvl w:val="0"/>
          <w:numId w:val="39"/>
        </w:numPr>
      </w:pPr>
      <w:r w:rsidRPr="008454CB">
        <w:t xml:space="preserve">Provisions for cross border internationalisation of research </w:t>
      </w:r>
      <w:r w:rsidR="009E1BF9" w:rsidRPr="008454CB">
        <w:t xml:space="preserve">is </w:t>
      </w:r>
      <w:r w:rsidR="00907058" w:rsidRPr="008454CB">
        <w:t>addressed by three</w:t>
      </w:r>
      <w:r w:rsidRPr="008454CB">
        <w:t xml:space="preserve"> </w:t>
      </w:r>
      <w:r w:rsidR="009E1BF9" w:rsidRPr="008454CB">
        <w:t>GP</w:t>
      </w:r>
      <w:r w:rsidR="00907058" w:rsidRPr="008454CB">
        <w:t xml:space="preserve">s </w:t>
      </w:r>
      <w:r w:rsidR="0003758E" w:rsidRPr="008454CB">
        <w:t xml:space="preserve"> </w:t>
      </w:r>
      <w:r w:rsidR="00AC1C77" w:rsidRPr="008454CB">
        <w:t>(centrope</w:t>
      </w:r>
      <w:r w:rsidR="00907058" w:rsidRPr="008454CB">
        <w:t>, high technology farming, big data traceability</w:t>
      </w:r>
      <w:r w:rsidR="00AC1C77" w:rsidRPr="008454CB">
        <w:t>)</w:t>
      </w:r>
    </w:p>
    <w:p w14:paraId="28E68B3E" w14:textId="2D1D0A29" w:rsidR="00817E9E" w:rsidRPr="008454CB" w:rsidRDefault="00192F64" w:rsidP="007B7116">
      <w:pPr>
        <w:pStyle w:val="ListNumber"/>
        <w:numPr>
          <w:ilvl w:val="0"/>
          <w:numId w:val="39"/>
        </w:numPr>
      </w:pPr>
      <w:r w:rsidRPr="008454CB">
        <w:t>Multi</w:t>
      </w:r>
      <w:r w:rsidR="00817E9E" w:rsidRPr="008454CB">
        <w:t xml:space="preserve">level synergies linked to the coordination and implementation of RIS3 </w:t>
      </w:r>
      <w:r w:rsidR="00395A48" w:rsidRPr="008454CB">
        <w:t xml:space="preserve">is </w:t>
      </w:r>
      <w:r w:rsidR="00817E9E" w:rsidRPr="008454CB">
        <w:t>proposed by one partner, important strategic tool to promote technological connectivity.</w:t>
      </w:r>
    </w:p>
    <w:p w14:paraId="3FD0F535" w14:textId="7E97CF8C" w:rsidR="00BA1AF8" w:rsidRPr="008454CB" w:rsidRDefault="00BA1AF8" w:rsidP="007B7116">
      <w:pPr>
        <w:pStyle w:val="ListNumber"/>
        <w:numPr>
          <w:ilvl w:val="0"/>
          <w:numId w:val="39"/>
        </w:numPr>
      </w:pPr>
      <w:r w:rsidRPr="008454CB">
        <w:t>Multilevel synergies are policy too</w:t>
      </w:r>
      <w:r w:rsidR="00907058" w:rsidRPr="008454CB">
        <w:t xml:space="preserve">ls </w:t>
      </w:r>
      <w:r w:rsidR="00192F64" w:rsidRPr="008454CB">
        <w:t xml:space="preserve">embedded in a number of </w:t>
      </w:r>
      <w:r w:rsidRPr="008454CB">
        <w:t>ROPs 2014-2020, but not really utilised.</w:t>
      </w:r>
    </w:p>
    <w:p w14:paraId="7E2D96F6" w14:textId="27062ADA" w:rsidR="00192F64" w:rsidRPr="008454CB" w:rsidRDefault="00192F64" w:rsidP="007B7116">
      <w:pPr>
        <w:pStyle w:val="ListNumber"/>
        <w:numPr>
          <w:ilvl w:val="0"/>
          <w:numId w:val="39"/>
        </w:numPr>
      </w:pPr>
      <w:r w:rsidRPr="008454CB">
        <w:t xml:space="preserve">Finally, we have received two GPs on multi-level synergies describing two S3 platform- concepts. </w:t>
      </w:r>
    </w:p>
    <w:p w14:paraId="16DC1253" w14:textId="492196E0" w:rsidR="00A723FC" w:rsidRPr="00E14342" w:rsidRDefault="00483EA8" w:rsidP="00C701E7">
      <w:pPr>
        <w:pStyle w:val="Heading1"/>
      </w:pPr>
      <w:bookmarkStart w:id="84" w:name="_Toc502477980"/>
      <w:bookmarkStart w:id="85" w:name="_Toc526583511"/>
      <w:bookmarkStart w:id="86" w:name="_Good_practice_discussion"/>
      <w:bookmarkStart w:id="87" w:name="_Toc526586514"/>
      <w:bookmarkEnd w:id="86"/>
      <w:r>
        <w:lastRenderedPageBreak/>
        <w:t>Good practice discussion</w:t>
      </w:r>
      <w:bookmarkEnd w:id="85"/>
      <w:bookmarkEnd w:id="87"/>
      <w:r>
        <w:t xml:space="preserve"> </w:t>
      </w:r>
    </w:p>
    <w:p w14:paraId="13B7A5D7" w14:textId="65A8245E" w:rsidR="00A723FC" w:rsidRDefault="00A723FC" w:rsidP="000F381C">
      <w:r w:rsidRPr="00E14342">
        <w:t xml:space="preserve">The BRIDGES project partners </w:t>
      </w:r>
      <w:r>
        <w:t xml:space="preserve">collected and discussed </w:t>
      </w:r>
      <w:r w:rsidRPr="00E14342">
        <w:t>3</w:t>
      </w:r>
      <w:r>
        <w:t>3</w:t>
      </w:r>
      <w:r w:rsidRPr="00E14342">
        <w:t xml:space="preserve"> good practices (GP). </w:t>
      </w:r>
      <w:r>
        <w:t xml:space="preserve"> Following updated information and exchange</w:t>
      </w:r>
      <w:r w:rsidR="00A513B9">
        <w:t>s, 30</w:t>
      </w:r>
      <w:r>
        <w:t xml:space="preserve"> have been retained as conceptually relevant. Then, through further processing, i.e. the interregional exchanges and policy learning 17 have been identified as best and most transferable for further sharing. These 17 GPs have been uploaded to the  Policy Learning Platform (PLP) of the Interreg Europe (IE) Programme and evaluated by the PLP experts as follows: 13 have been approved for the IE GP data base and the project GP data base, 2 have been approved for the project GP data base, but not for the IE data base; 2 are being evaluated [4.10.2018]. Table 1 below summarises the retained 29 GPs and indicates also those that have been uploaded to the PLP, and also their GP theme classification.</w:t>
      </w:r>
    </w:p>
    <w:p w14:paraId="0761D89D" w14:textId="7D2491DB" w:rsidR="00A723FC" w:rsidRDefault="00A723FC" w:rsidP="00B57A8A">
      <w:pPr>
        <w:pStyle w:val="Caption"/>
      </w:pPr>
      <w:bookmarkStart w:id="88" w:name="_Toc526456801"/>
      <w:bookmarkStart w:id="89" w:name="_Ref526490533"/>
      <w:r w:rsidRPr="006559BC">
        <w:t xml:space="preserve">Table </w:t>
      </w:r>
      <w:r>
        <w:fldChar w:fldCharType="begin"/>
      </w:r>
      <w:r>
        <w:instrText xml:space="preserve"> SEQ Table \* ARABIC </w:instrText>
      </w:r>
      <w:r>
        <w:fldChar w:fldCharType="separate"/>
      </w:r>
      <w:r w:rsidR="004338EC">
        <w:rPr>
          <w:noProof/>
        </w:rPr>
        <w:t>1</w:t>
      </w:r>
      <w:r>
        <w:rPr>
          <w:noProof/>
        </w:rPr>
        <w:fldChar w:fldCharType="end"/>
      </w:r>
      <w:r w:rsidRPr="006559BC">
        <w:t xml:space="preserve"> </w:t>
      </w:r>
      <w:bookmarkStart w:id="90" w:name="_Ref502424347"/>
      <w:r w:rsidRPr="006559BC">
        <w:t>Summary of the BRIDGES project good practice contributions</w:t>
      </w:r>
      <w:bookmarkEnd w:id="88"/>
      <w:bookmarkEnd w:id="89"/>
      <w:bookmarkEnd w:id="90"/>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dotted" w:sz="4" w:space="0" w:color="A6A6A6" w:themeColor="background1" w:themeShade="A6"/>
          <w:insideV w:val="single" w:sz="4" w:space="0" w:color="A6A6A6" w:themeColor="background1" w:themeShade="A6"/>
        </w:tblBorders>
        <w:tblLook w:val="04A0" w:firstRow="1" w:lastRow="0" w:firstColumn="1" w:lastColumn="0" w:noHBand="0" w:noVBand="1"/>
      </w:tblPr>
      <w:tblGrid>
        <w:gridCol w:w="2022"/>
        <w:gridCol w:w="1190"/>
        <w:gridCol w:w="6013"/>
      </w:tblGrid>
      <w:tr w:rsidR="00A723FC" w:rsidRPr="00762F33" w14:paraId="7CCCC0C8" w14:textId="77777777" w:rsidTr="00F5402A">
        <w:trPr>
          <w:tblHeader/>
        </w:trPr>
        <w:tc>
          <w:tcPr>
            <w:tcW w:w="1096" w:type="pct"/>
            <w:shd w:val="clear" w:color="auto" w:fill="F2F2F2" w:themeFill="background1" w:themeFillShade="F2"/>
          </w:tcPr>
          <w:p w14:paraId="4FBFB8A8" w14:textId="77777777" w:rsidR="00A723FC" w:rsidRPr="000F381C" w:rsidRDefault="00A723FC" w:rsidP="000F381C">
            <w:pPr>
              <w:rPr>
                <w:b/>
              </w:rPr>
            </w:pPr>
            <w:r w:rsidRPr="000F381C">
              <w:rPr>
                <w:b/>
              </w:rPr>
              <w:t>GP name</w:t>
            </w:r>
          </w:p>
        </w:tc>
        <w:tc>
          <w:tcPr>
            <w:tcW w:w="645" w:type="pct"/>
            <w:shd w:val="clear" w:color="auto" w:fill="F2F2F2" w:themeFill="background1" w:themeFillShade="F2"/>
          </w:tcPr>
          <w:p w14:paraId="091BD2A9" w14:textId="77777777" w:rsidR="00A723FC" w:rsidRPr="000F381C" w:rsidRDefault="00A723FC" w:rsidP="003B6C3E">
            <w:pPr>
              <w:jc w:val="center"/>
              <w:rPr>
                <w:b/>
              </w:rPr>
            </w:pPr>
            <w:r w:rsidRPr="000F381C">
              <w:rPr>
                <w:b/>
              </w:rPr>
              <w:t>PP</w:t>
            </w:r>
          </w:p>
        </w:tc>
        <w:tc>
          <w:tcPr>
            <w:tcW w:w="3259" w:type="pct"/>
            <w:shd w:val="clear" w:color="auto" w:fill="F2F2F2" w:themeFill="background1" w:themeFillShade="F2"/>
          </w:tcPr>
          <w:p w14:paraId="0B6D57C4" w14:textId="77777777" w:rsidR="00A723FC" w:rsidRPr="000F381C" w:rsidRDefault="00A723FC" w:rsidP="000F381C">
            <w:pPr>
              <w:rPr>
                <w:b/>
              </w:rPr>
            </w:pPr>
            <w:r w:rsidRPr="000F381C">
              <w:rPr>
                <w:b/>
              </w:rPr>
              <w:t>Briefly</w:t>
            </w:r>
          </w:p>
        </w:tc>
      </w:tr>
      <w:tr w:rsidR="00A723FC" w:rsidRPr="00762F33" w14:paraId="2E16FC2D" w14:textId="77777777" w:rsidTr="00F5402A">
        <w:tc>
          <w:tcPr>
            <w:tcW w:w="1096" w:type="pct"/>
          </w:tcPr>
          <w:p w14:paraId="560CBCE7" w14:textId="77777777" w:rsidR="00A723FC" w:rsidRPr="008C0BE5" w:rsidRDefault="00A723FC" w:rsidP="003B6C3E">
            <w:pPr>
              <w:pStyle w:val="a-I-EUBodytextsingle"/>
              <w:rPr>
                <w:lang w:eastAsia="fi-FI"/>
              </w:rPr>
            </w:pPr>
            <w:r w:rsidRPr="008C0BE5">
              <w:rPr>
                <w:lang w:eastAsia="fi-FI"/>
              </w:rPr>
              <w:t>European Business and Innovation Centre of Burgos (CEEI-Burgos)</w:t>
            </w:r>
          </w:p>
        </w:tc>
        <w:tc>
          <w:tcPr>
            <w:tcW w:w="645" w:type="pct"/>
          </w:tcPr>
          <w:p w14:paraId="41B7DAAF" w14:textId="77777777" w:rsidR="00A723FC" w:rsidRPr="008C0BE5" w:rsidRDefault="00A723FC" w:rsidP="003B6C3E">
            <w:pPr>
              <w:pStyle w:val="a-I-EUBodytextsingle"/>
              <w:jc w:val="center"/>
              <w:rPr>
                <w:lang w:eastAsia="fi-FI"/>
              </w:rPr>
            </w:pPr>
            <w:r w:rsidRPr="008C0BE5">
              <w:rPr>
                <w:lang w:eastAsia="fi-FI"/>
              </w:rPr>
              <w:t>8</w:t>
            </w:r>
          </w:p>
        </w:tc>
        <w:tc>
          <w:tcPr>
            <w:tcW w:w="3259" w:type="pct"/>
          </w:tcPr>
          <w:p w14:paraId="454D5393" w14:textId="77777777" w:rsidR="00A723FC" w:rsidRDefault="00A723FC" w:rsidP="003B6C3E">
            <w:pPr>
              <w:pStyle w:val="a-I-EUBodytextsingle"/>
              <w:rPr>
                <w:lang w:eastAsia="fi-FI"/>
              </w:rPr>
            </w:pPr>
            <w:r w:rsidRPr="00E14342">
              <w:rPr>
                <w:lang w:eastAsia="fi-FI"/>
              </w:rPr>
              <w:t>Horizontal business and innovation centre located in Northern Spain within the framework of the European Business Network. Public – private partnership aiming at promoting entrepreneurship and innovation in its community, including bio-economy related sectors.</w:t>
            </w:r>
          </w:p>
          <w:p w14:paraId="428C0CBD" w14:textId="77777777" w:rsidR="00A723FC" w:rsidRDefault="00A723FC" w:rsidP="003B6C3E">
            <w:pPr>
              <w:pStyle w:val="a-I-EUBodytextsingle"/>
              <w:rPr>
                <w:lang w:eastAsia="fi-FI"/>
              </w:rPr>
            </w:pPr>
          </w:p>
          <w:p w14:paraId="11D17C70" w14:textId="77777777" w:rsidR="00A723FC" w:rsidRDefault="00A723FC" w:rsidP="003B6C3E">
            <w:pPr>
              <w:pStyle w:val="a-I-EUBodytextsingle"/>
              <w:rPr>
                <w:lang w:eastAsia="fi-FI"/>
              </w:rPr>
            </w:pPr>
            <w:r>
              <w:rPr>
                <w:lang w:eastAsia="fi-FI"/>
              </w:rPr>
              <w:t>GP theme 1</w:t>
            </w:r>
          </w:p>
          <w:p w14:paraId="2C9F9CFF" w14:textId="77777777" w:rsidR="00A723FC" w:rsidRDefault="00A723FC" w:rsidP="003B6C3E">
            <w:pPr>
              <w:pStyle w:val="a-I-EUBodytextsingle"/>
              <w:rPr>
                <w:lang w:eastAsia="fi-FI"/>
              </w:rPr>
            </w:pPr>
          </w:p>
          <w:p w14:paraId="0256A0FB" w14:textId="77777777" w:rsidR="00A723FC" w:rsidRDefault="00A723FC" w:rsidP="003B6C3E">
            <w:pPr>
              <w:pStyle w:val="a-I-EUBodytextsingle"/>
              <w:rPr>
                <w:lang w:eastAsia="fi-FI"/>
              </w:rPr>
            </w:pPr>
            <w:r>
              <w:rPr>
                <w:lang w:eastAsia="fi-FI"/>
              </w:rPr>
              <w:t>Transferability: transferable and also linked to self-sutianing economic status, important to innovation agencies.</w:t>
            </w:r>
          </w:p>
          <w:p w14:paraId="506A7574" w14:textId="77777777" w:rsidR="00A723FC" w:rsidRDefault="00A723FC" w:rsidP="003B6C3E">
            <w:pPr>
              <w:pStyle w:val="a-I-EUBodytextsingle"/>
              <w:rPr>
                <w:lang w:eastAsia="fi-FI"/>
              </w:rPr>
            </w:pPr>
          </w:p>
          <w:p w14:paraId="1F28CCCB" w14:textId="77777777" w:rsidR="00A723FC" w:rsidRPr="005B0D9B" w:rsidRDefault="00A723FC" w:rsidP="003B6C3E">
            <w:pPr>
              <w:pStyle w:val="a-I-EUBodytextsingle"/>
              <w:rPr>
                <w:rStyle w:val="Hyperlink"/>
              </w:rPr>
            </w:pPr>
            <w:r w:rsidRPr="008C0BE5">
              <w:rPr>
                <w:rFonts w:eastAsia="Times New Roman" w:cs="Tahoma"/>
                <w:color w:val="021B2B"/>
                <w:szCs w:val="16"/>
                <w:lang w:eastAsia="fi-FI"/>
              </w:rPr>
              <w:t xml:space="preserve">Available in the PLP: </w:t>
            </w:r>
            <w:r w:rsidRPr="005B0D9B">
              <w:rPr>
                <w:rStyle w:val="Hyperlink"/>
                <w:lang w:eastAsia="fi-FI"/>
              </w:rPr>
              <w:t>https://www.interregeurope.eu/</w:t>
            </w:r>
          </w:p>
          <w:p w14:paraId="7B455691" w14:textId="77777777" w:rsidR="00A723FC" w:rsidRPr="008C0BE5" w:rsidRDefault="00A723FC" w:rsidP="003B6C3E">
            <w:pPr>
              <w:pStyle w:val="a-I-EUBodytextsingle"/>
              <w:rPr>
                <w:rFonts w:eastAsia="Times New Roman" w:cs="Tahoma"/>
                <w:color w:val="021B2B"/>
                <w:szCs w:val="16"/>
                <w:lang w:eastAsia="fi-FI"/>
              </w:rPr>
            </w:pPr>
            <w:r w:rsidRPr="005B0D9B">
              <w:rPr>
                <w:rStyle w:val="Hyperlink"/>
                <w:lang w:eastAsia="fi-FI"/>
              </w:rPr>
              <w:t>policylearning/good-practices/item/94/european-business-and-innovation-centre-of-burgos-ceei-burgos/</w:t>
            </w:r>
          </w:p>
        </w:tc>
      </w:tr>
      <w:tr w:rsidR="00A723FC" w:rsidRPr="00762F33" w14:paraId="0CBB4DF6" w14:textId="77777777" w:rsidTr="00F5402A">
        <w:tc>
          <w:tcPr>
            <w:tcW w:w="1096" w:type="pct"/>
          </w:tcPr>
          <w:p w14:paraId="42D51BCB" w14:textId="77777777" w:rsidR="00A723FC" w:rsidRPr="008C0BE5" w:rsidRDefault="00A723FC" w:rsidP="003B6C3E">
            <w:pPr>
              <w:pStyle w:val="a-I-EUBodytextsingle"/>
              <w:rPr>
                <w:color w:val="021B2B"/>
                <w:lang w:eastAsia="fi-FI"/>
              </w:rPr>
            </w:pPr>
            <w:r w:rsidRPr="00E14342">
              <w:rPr>
                <w:lang w:eastAsia="fi-FI"/>
              </w:rPr>
              <w:t>Centre of Expertise Bio based Economy</w:t>
            </w:r>
            <w:r>
              <w:rPr>
                <w:lang w:eastAsia="fi-FI"/>
              </w:rPr>
              <w:t xml:space="preserve"> (COEBBE)</w:t>
            </w:r>
          </w:p>
        </w:tc>
        <w:tc>
          <w:tcPr>
            <w:tcW w:w="645" w:type="pct"/>
          </w:tcPr>
          <w:p w14:paraId="04982599" w14:textId="10E3A190" w:rsidR="00A723FC" w:rsidRPr="008C0BE5" w:rsidRDefault="00A723FC" w:rsidP="003B6C3E">
            <w:pPr>
              <w:pStyle w:val="a-I-EUBodytextsingle"/>
              <w:jc w:val="center"/>
              <w:rPr>
                <w:lang w:eastAsia="fi-FI"/>
              </w:rPr>
            </w:pPr>
            <w:r>
              <w:rPr>
                <w:lang w:eastAsia="fi-FI"/>
              </w:rPr>
              <w:t>10</w:t>
            </w:r>
            <w:r w:rsidR="00C61AA3">
              <w:rPr>
                <w:rStyle w:val="FootnoteReference"/>
                <w:lang w:eastAsia="fi-FI"/>
              </w:rPr>
              <w:footnoteReference w:id="22"/>
            </w:r>
          </w:p>
        </w:tc>
        <w:tc>
          <w:tcPr>
            <w:tcW w:w="3259" w:type="pct"/>
          </w:tcPr>
          <w:p w14:paraId="5BE712CE" w14:textId="77777777" w:rsidR="00A723FC" w:rsidRDefault="00A723FC" w:rsidP="003B6C3E">
            <w:pPr>
              <w:pStyle w:val="a-I-EUBodytextsingle"/>
              <w:rPr>
                <w:lang w:eastAsia="fi-FI"/>
              </w:rPr>
            </w:pPr>
            <w:r w:rsidRPr="00E14342">
              <w:rPr>
                <w:lang w:eastAsia="fi-FI"/>
              </w:rPr>
              <w:t>The Centre of Expertise Bio based Economy (COEBBE) is an initiative within the Bio based Delta, regional development strategy and network. COEBBE will connect education and business in South of the Netherlands. It will educate the next generation Bio based workers for the region. Next to that the initiative has been taken to improve the regional knowledge infrastructure and it will contribute to apply and valorise knowledge to the regional Bio based innovation initiatives.</w:t>
            </w:r>
          </w:p>
          <w:p w14:paraId="4AC959D4" w14:textId="77777777" w:rsidR="00A723FC" w:rsidRDefault="00A723FC" w:rsidP="003B6C3E">
            <w:pPr>
              <w:pStyle w:val="a-I-EUBodytextsingle"/>
              <w:rPr>
                <w:lang w:eastAsia="fi-FI"/>
              </w:rPr>
            </w:pPr>
          </w:p>
          <w:p w14:paraId="2987F08F" w14:textId="77777777" w:rsidR="00A723FC" w:rsidRDefault="00A723FC" w:rsidP="003B6C3E">
            <w:pPr>
              <w:pStyle w:val="a-I-EUBodytextsingle"/>
              <w:rPr>
                <w:lang w:eastAsia="fi-FI"/>
              </w:rPr>
            </w:pPr>
            <w:r>
              <w:rPr>
                <w:lang w:eastAsia="fi-FI"/>
              </w:rPr>
              <w:t>GP theme 1</w:t>
            </w:r>
          </w:p>
          <w:p w14:paraId="5F246FEB" w14:textId="77777777" w:rsidR="00A723FC" w:rsidRDefault="00A723FC" w:rsidP="003B6C3E">
            <w:pPr>
              <w:pStyle w:val="a-I-EUBodytextsingle"/>
              <w:rPr>
                <w:lang w:eastAsia="fi-FI"/>
              </w:rPr>
            </w:pPr>
          </w:p>
          <w:p w14:paraId="13E67FA3" w14:textId="77777777" w:rsidR="00A723FC" w:rsidRPr="008C0BE5" w:rsidRDefault="00A723FC" w:rsidP="003B6C3E">
            <w:pPr>
              <w:pStyle w:val="a-I-EUBodytextsingle"/>
              <w:rPr>
                <w:lang w:eastAsia="fi-FI"/>
              </w:rPr>
            </w:pPr>
            <w:r>
              <w:rPr>
                <w:lang w:eastAsia="fi-FI"/>
              </w:rPr>
              <w:t>Transferability: the methodology for connecting education to businesses; the funding model needs some more clarifications.</w:t>
            </w:r>
          </w:p>
        </w:tc>
      </w:tr>
      <w:tr w:rsidR="00A723FC" w:rsidRPr="00762F33" w14:paraId="0945B35B" w14:textId="77777777" w:rsidTr="00F5402A">
        <w:tc>
          <w:tcPr>
            <w:tcW w:w="1096" w:type="pct"/>
          </w:tcPr>
          <w:p w14:paraId="08AA7D42" w14:textId="77777777" w:rsidR="00A723FC" w:rsidRPr="008C0BE5" w:rsidRDefault="00A723FC" w:rsidP="003B6C3E">
            <w:pPr>
              <w:pStyle w:val="a-I-EUBodytextsingle"/>
              <w:rPr>
                <w:lang w:eastAsia="fi-FI"/>
              </w:rPr>
            </w:pPr>
            <w:r w:rsidRPr="008C0BE5">
              <w:rPr>
                <w:lang w:eastAsia="fi-FI"/>
              </w:rPr>
              <w:t>Synberc</w:t>
            </w:r>
          </w:p>
        </w:tc>
        <w:tc>
          <w:tcPr>
            <w:tcW w:w="645" w:type="pct"/>
          </w:tcPr>
          <w:p w14:paraId="0F940ADF" w14:textId="77777777" w:rsidR="00A723FC" w:rsidRPr="008C0BE5" w:rsidRDefault="00A723FC" w:rsidP="003B6C3E">
            <w:pPr>
              <w:pStyle w:val="a-I-EUBodytextsingle"/>
              <w:jc w:val="center"/>
              <w:rPr>
                <w:lang w:eastAsia="fi-FI"/>
              </w:rPr>
            </w:pPr>
            <w:r w:rsidRPr="008C0BE5">
              <w:rPr>
                <w:lang w:eastAsia="fi-FI"/>
              </w:rPr>
              <w:t>8</w:t>
            </w:r>
          </w:p>
        </w:tc>
        <w:tc>
          <w:tcPr>
            <w:tcW w:w="3259" w:type="pct"/>
          </w:tcPr>
          <w:p w14:paraId="3D71C1D6" w14:textId="77777777" w:rsidR="00A723FC" w:rsidRDefault="00A723FC" w:rsidP="003B6C3E">
            <w:pPr>
              <w:pStyle w:val="a-I-EUBodytextsingle"/>
              <w:rPr>
                <w:lang w:eastAsia="fi-FI"/>
              </w:rPr>
            </w:pPr>
            <w:r w:rsidRPr="008C0BE5">
              <w:rPr>
                <w:lang w:eastAsia="fi-FI"/>
              </w:rPr>
              <w:t>Centre of Expertise Bio based Economy</w:t>
            </w:r>
          </w:p>
          <w:p w14:paraId="50260AC1" w14:textId="77777777" w:rsidR="00A723FC" w:rsidRDefault="00A723FC" w:rsidP="003B6C3E">
            <w:pPr>
              <w:pStyle w:val="a-I-EUBodytextsingle"/>
              <w:rPr>
                <w:lang w:eastAsia="fi-FI"/>
              </w:rPr>
            </w:pPr>
            <w:r w:rsidRPr="00E14342">
              <w:rPr>
                <w:lang w:eastAsia="fi-FI"/>
              </w:rPr>
              <w:t>The Synthetic Biology Engineering Research Centre is a multi-institution research centre focused on the synthetic biology. It is placed and led by The University of Berkeley, Emerville, California.</w:t>
            </w:r>
          </w:p>
          <w:p w14:paraId="5E776A0C" w14:textId="77777777" w:rsidR="00A723FC" w:rsidRDefault="00A723FC" w:rsidP="003B6C3E">
            <w:pPr>
              <w:pStyle w:val="a-I-EUBodytextsingle"/>
              <w:rPr>
                <w:lang w:eastAsia="fi-FI"/>
              </w:rPr>
            </w:pPr>
          </w:p>
          <w:p w14:paraId="262C49B1" w14:textId="77777777" w:rsidR="00A723FC" w:rsidRDefault="00A723FC" w:rsidP="003B6C3E">
            <w:pPr>
              <w:pStyle w:val="a-I-EUBodytextsingle"/>
              <w:rPr>
                <w:lang w:eastAsia="fi-FI"/>
              </w:rPr>
            </w:pPr>
            <w:r>
              <w:rPr>
                <w:lang w:eastAsia="fi-FI"/>
              </w:rPr>
              <w:t>GP theme 1</w:t>
            </w:r>
          </w:p>
          <w:p w14:paraId="0C13E465" w14:textId="77777777" w:rsidR="00A723FC" w:rsidRDefault="00A723FC" w:rsidP="003B6C3E">
            <w:pPr>
              <w:pStyle w:val="a-I-EUBodytextsingle"/>
              <w:rPr>
                <w:lang w:eastAsia="fi-FI"/>
              </w:rPr>
            </w:pPr>
          </w:p>
          <w:p w14:paraId="5CBAE73B" w14:textId="728B6D3C" w:rsidR="00A723FC" w:rsidRPr="00E14342" w:rsidRDefault="00A723FC" w:rsidP="003B6C3E">
            <w:pPr>
              <w:pStyle w:val="a-I-EUBodytextsingle"/>
              <w:rPr>
                <w:lang w:eastAsia="fi-FI"/>
              </w:rPr>
            </w:pPr>
            <w:r>
              <w:rPr>
                <w:lang w:eastAsia="fi-FI"/>
              </w:rPr>
              <w:t>Transferability: too large</w:t>
            </w:r>
          </w:p>
        </w:tc>
      </w:tr>
      <w:tr w:rsidR="00A723FC" w:rsidRPr="00762F33" w14:paraId="03442E59" w14:textId="77777777" w:rsidTr="00F5402A">
        <w:tc>
          <w:tcPr>
            <w:tcW w:w="1096" w:type="pct"/>
          </w:tcPr>
          <w:p w14:paraId="51FE5345" w14:textId="77777777" w:rsidR="00A723FC" w:rsidRPr="008C0BE5" w:rsidRDefault="00A723FC" w:rsidP="003B6C3E">
            <w:pPr>
              <w:pStyle w:val="a-I-EUBodytextsingle"/>
              <w:rPr>
                <w:lang w:eastAsia="fi-FI"/>
              </w:rPr>
            </w:pPr>
            <w:r w:rsidRPr="008C0BE5">
              <w:rPr>
                <w:lang w:eastAsia="fi-FI"/>
              </w:rPr>
              <w:t>The Bio Economy Science Centre, Jülich (Nordrhein-Westfalen)</w:t>
            </w:r>
          </w:p>
        </w:tc>
        <w:tc>
          <w:tcPr>
            <w:tcW w:w="645" w:type="pct"/>
          </w:tcPr>
          <w:p w14:paraId="24CD5429" w14:textId="77777777" w:rsidR="00A723FC" w:rsidRPr="008C0BE5" w:rsidRDefault="00A723FC" w:rsidP="003B6C3E">
            <w:pPr>
              <w:pStyle w:val="a-I-EUBodytextsingle"/>
              <w:jc w:val="center"/>
              <w:rPr>
                <w:lang w:eastAsia="fi-FI"/>
              </w:rPr>
            </w:pPr>
            <w:r w:rsidRPr="008C0BE5">
              <w:rPr>
                <w:lang w:eastAsia="fi-FI"/>
              </w:rPr>
              <w:t>8</w:t>
            </w:r>
          </w:p>
        </w:tc>
        <w:tc>
          <w:tcPr>
            <w:tcW w:w="3259" w:type="pct"/>
          </w:tcPr>
          <w:p w14:paraId="7422776B" w14:textId="77777777" w:rsidR="00A723FC" w:rsidRDefault="00A723FC" w:rsidP="003B6C3E">
            <w:pPr>
              <w:pStyle w:val="a-I-EUBodytextsingle"/>
              <w:rPr>
                <w:lang w:eastAsia="fi-FI"/>
              </w:rPr>
            </w:pPr>
            <w:r w:rsidRPr="00E14342">
              <w:rPr>
                <w:lang w:eastAsia="fi-FI"/>
              </w:rPr>
              <w:t>Science Centre located in Nordr</w:t>
            </w:r>
            <w:r>
              <w:rPr>
                <w:lang w:eastAsia="fi-FI"/>
              </w:rPr>
              <w:t>hein-Westfalen (Germany). It focuses o</w:t>
            </w:r>
            <w:r w:rsidRPr="00E14342">
              <w:rPr>
                <w:lang w:eastAsia="fi-FI"/>
              </w:rPr>
              <w:t>n the bio economy and its development in the scope of a considerable number of scientific branches</w:t>
            </w:r>
          </w:p>
          <w:p w14:paraId="694C2B7F" w14:textId="77777777" w:rsidR="00A723FC" w:rsidRDefault="00A723FC" w:rsidP="003B6C3E">
            <w:pPr>
              <w:pStyle w:val="a-I-EUBodytextsingle"/>
              <w:rPr>
                <w:lang w:eastAsia="fi-FI"/>
              </w:rPr>
            </w:pPr>
          </w:p>
          <w:p w14:paraId="2A2D8912" w14:textId="77777777" w:rsidR="00A723FC" w:rsidRDefault="00A723FC" w:rsidP="003B6C3E">
            <w:pPr>
              <w:pStyle w:val="a-I-EUBodytextsingle"/>
              <w:rPr>
                <w:lang w:eastAsia="fi-FI"/>
              </w:rPr>
            </w:pPr>
            <w:r>
              <w:rPr>
                <w:lang w:eastAsia="fi-FI"/>
              </w:rPr>
              <w:t>GP theme 1</w:t>
            </w:r>
          </w:p>
          <w:p w14:paraId="2FF03A87" w14:textId="77777777" w:rsidR="00A723FC" w:rsidRDefault="00A723FC" w:rsidP="003B6C3E">
            <w:pPr>
              <w:pStyle w:val="a-I-EUBodytextsingle"/>
              <w:rPr>
                <w:lang w:eastAsia="fi-FI"/>
              </w:rPr>
            </w:pPr>
          </w:p>
          <w:p w14:paraId="2E020F5B" w14:textId="5235C473" w:rsidR="00A723FC" w:rsidRPr="00230C97" w:rsidRDefault="00A723FC" w:rsidP="003B6C3E">
            <w:pPr>
              <w:pStyle w:val="a-I-EUBodytextsingle"/>
              <w:rPr>
                <w:rFonts w:eastAsia="Times New Roman" w:cs="Tahoma"/>
                <w:color w:val="021B2B"/>
                <w:lang w:eastAsia="fi-FI"/>
              </w:rPr>
            </w:pPr>
            <w:r>
              <w:rPr>
                <w:rFonts w:eastAsia="Times New Roman" w:cs="Tahoma"/>
                <w:color w:val="021B2B"/>
                <w:lang w:eastAsia="fi-FI"/>
              </w:rPr>
              <w:lastRenderedPageBreak/>
              <w:t>Trasnferabiltiy</w:t>
            </w:r>
            <w:r w:rsidR="00FE0AED">
              <w:rPr>
                <w:rFonts w:eastAsia="Times New Roman" w:cs="Tahoma"/>
                <w:color w:val="021B2B"/>
                <w:lang w:eastAsia="fi-FI"/>
              </w:rPr>
              <w:t xml:space="preserve">: </w:t>
            </w:r>
            <w:r w:rsidR="00FE0AED" w:rsidRPr="00230C97">
              <w:t xml:space="preserve">Very useful for innovation agencies to plan the focus of collaborative research, i.e. of their strategic projects, and for policy makers in prioritising </w:t>
            </w:r>
            <w:r w:rsidR="00230C97" w:rsidRPr="00230C97">
              <w:t>group of projects.</w:t>
            </w:r>
          </w:p>
          <w:p w14:paraId="2013E662" w14:textId="77777777" w:rsidR="00A723FC" w:rsidRDefault="00A723FC" w:rsidP="003B6C3E">
            <w:pPr>
              <w:pStyle w:val="a-I-EUBodytextsingle"/>
              <w:rPr>
                <w:lang w:eastAsia="fi-FI"/>
              </w:rPr>
            </w:pPr>
          </w:p>
          <w:p w14:paraId="367A0CA7" w14:textId="77777777" w:rsidR="00A723FC" w:rsidRPr="008C0BE5" w:rsidRDefault="00A723FC" w:rsidP="003B6C3E">
            <w:pPr>
              <w:pStyle w:val="a-I-EUBodytextsingle"/>
              <w:rPr>
                <w:lang w:eastAsia="fi-FI"/>
              </w:rPr>
            </w:pPr>
            <w:r w:rsidRPr="008C0BE5">
              <w:rPr>
                <w:lang w:eastAsia="fi-FI"/>
              </w:rPr>
              <w:t>Under evaluation in the PLP</w:t>
            </w:r>
          </w:p>
        </w:tc>
      </w:tr>
      <w:tr w:rsidR="00A723FC" w:rsidRPr="00762F33" w14:paraId="4884DDF6" w14:textId="77777777" w:rsidTr="00F5402A">
        <w:tc>
          <w:tcPr>
            <w:tcW w:w="1096" w:type="pct"/>
          </w:tcPr>
          <w:p w14:paraId="69B2D157" w14:textId="77777777" w:rsidR="00A723FC" w:rsidRPr="008C0BE5" w:rsidRDefault="00A723FC" w:rsidP="003B6C3E">
            <w:pPr>
              <w:pStyle w:val="a-I-EUBodytextsingle"/>
              <w:rPr>
                <w:lang w:eastAsia="fi-FI"/>
              </w:rPr>
            </w:pPr>
            <w:r w:rsidRPr="008C0BE5">
              <w:rPr>
                <w:lang w:eastAsia="fi-FI"/>
              </w:rPr>
              <w:lastRenderedPageBreak/>
              <w:t>ETH – Zurich Competence Centre</w:t>
            </w:r>
          </w:p>
          <w:p w14:paraId="0C15DB9D" w14:textId="77777777" w:rsidR="00A723FC" w:rsidRPr="008C0BE5" w:rsidRDefault="00A723FC" w:rsidP="003B6C3E">
            <w:pPr>
              <w:pStyle w:val="a-I-EUBodytextsingle"/>
              <w:rPr>
                <w:lang w:eastAsia="fi-FI"/>
              </w:rPr>
            </w:pPr>
          </w:p>
        </w:tc>
        <w:tc>
          <w:tcPr>
            <w:tcW w:w="645" w:type="pct"/>
          </w:tcPr>
          <w:p w14:paraId="3D96DAD2" w14:textId="77777777" w:rsidR="00A723FC" w:rsidRPr="008C0BE5" w:rsidRDefault="00A723FC" w:rsidP="003B6C3E">
            <w:pPr>
              <w:pStyle w:val="a-I-EUBodytextsingle"/>
              <w:jc w:val="center"/>
              <w:rPr>
                <w:lang w:eastAsia="fi-FI"/>
              </w:rPr>
            </w:pPr>
            <w:r w:rsidRPr="008C0BE5">
              <w:rPr>
                <w:lang w:eastAsia="fi-FI"/>
              </w:rPr>
              <w:t>8</w:t>
            </w:r>
          </w:p>
        </w:tc>
        <w:tc>
          <w:tcPr>
            <w:tcW w:w="3259" w:type="pct"/>
          </w:tcPr>
          <w:p w14:paraId="5F557A63" w14:textId="77777777" w:rsidR="00A723FC" w:rsidRDefault="00A723FC" w:rsidP="003B6C3E">
            <w:pPr>
              <w:pStyle w:val="a-I-EUBodytextsingle"/>
              <w:rPr>
                <w:lang w:eastAsia="fi-FI"/>
              </w:rPr>
            </w:pPr>
            <w:r w:rsidRPr="00E14342">
              <w:rPr>
                <w:lang w:eastAsia="fi-FI"/>
              </w:rPr>
              <w:t>ETH Zurich provides a gateway for industry and matches interested companies with research skills available at ETH Zurich being focused on creating and strengthening mutually beneficial relationships between ETH Zurich and corporations worldwide.</w:t>
            </w:r>
          </w:p>
          <w:p w14:paraId="6D450878" w14:textId="77777777" w:rsidR="00A723FC" w:rsidRDefault="00A723FC" w:rsidP="003B6C3E">
            <w:pPr>
              <w:pStyle w:val="a-I-EUBodytextsingle"/>
              <w:rPr>
                <w:lang w:eastAsia="fi-FI"/>
              </w:rPr>
            </w:pPr>
          </w:p>
          <w:p w14:paraId="524F9708" w14:textId="77777777" w:rsidR="00A723FC" w:rsidRDefault="00A723FC" w:rsidP="003B6C3E">
            <w:pPr>
              <w:pStyle w:val="a-I-EUBodytextsingle"/>
              <w:rPr>
                <w:lang w:eastAsia="fi-FI"/>
              </w:rPr>
            </w:pPr>
            <w:r>
              <w:rPr>
                <w:lang w:eastAsia="fi-FI"/>
              </w:rPr>
              <w:t>GP theme 1</w:t>
            </w:r>
          </w:p>
          <w:p w14:paraId="1362E0C6" w14:textId="77777777" w:rsidR="00CF7B94" w:rsidRDefault="00CF7B94" w:rsidP="003B6C3E">
            <w:pPr>
              <w:pStyle w:val="a-I-EUBodytextsingle"/>
              <w:rPr>
                <w:lang w:eastAsia="fi-FI"/>
              </w:rPr>
            </w:pPr>
          </w:p>
          <w:p w14:paraId="0C62E200" w14:textId="66F60052" w:rsidR="00CF7B94" w:rsidRPr="008C0BE5" w:rsidRDefault="00CF7B94" w:rsidP="003B6C3E">
            <w:pPr>
              <w:pStyle w:val="a-I-EUBodytextsingle"/>
              <w:rPr>
                <w:lang w:eastAsia="fi-FI"/>
              </w:rPr>
            </w:pPr>
            <w:r>
              <w:rPr>
                <w:lang w:eastAsia="fi-FI"/>
              </w:rPr>
              <w:t>Transferability:</w:t>
            </w:r>
            <w:r w:rsidR="00FE0AED">
              <w:rPr>
                <w:lang w:eastAsia="fi-FI"/>
              </w:rPr>
              <w:t xml:space="preserve"> Good method, (large) business- to- research. Difficult in imperfect environments.</w:t>
            </w:r>
          </w:p>
        </w:tc>
      </w:tr>
      <w:tr w:rsidR="00A723FC" w:rsidRPr="00762F33" w14:paraId="5B98D1D6" w14:textId="77777777" w:rsidTr="00F5402A">
        <w:tc>
          <w:tcPr>
            <w:tcW w:w="1096" w:type="pct"/>
          </w:tcPr>
          <w:p w14:paraId="4655F39C" w14:textId="77777777" w:rsidR="00A723FC" w:rsidRPr="008C0BE5" w:rsidRDefault="00A723FC" w:rsidP="003B6C3E">
            <w:pPr>
              <w:pStyle w:val="a-I-EUBodytextsingle"/>
              <w:rPr>
                <w:lang w:eastAsia="fi-FI"/>
              </w:rPr>
            </w:pPr>
            <w:r w:rsidRPr="008C0BE5">
              <w:rPr>
                <w:lang w:eastAsia="fi-FI"/>
              </w:rPr>
              <w:t>Helsinki Innovation Services Ltd</w:t>
            </w:r>
          </w:p>
        </w:tc>
        <w:tc>
          <w:tcPr>
            <w:tcW w:w="645" w:type="pct"/>
          </w:tcPr>
          <w:p w14:paraId="6A6F7B97" w14:textId="77777777" w:rsidR="00A723FC" w:rsidRPr="008C0BE5" w:rsidRDefault="00A723FC" w:rsidP="003B6C3E">
            <w:pPr>
              <w:pStyle w:val="a-I-EUBodytextsingle"/>
              <w:jc w:val="center"/>
              <w:rPr>
                <w:lang w:eastAsia="fi-FI"/>
              </w:rPr>
            </w:pPr>
            <w:r w:rsidRPr="008C0BE5">
              <w:rPr>
                <w:lang w:eastAsia="fi-FI"/>
              </w:rPr>
              <w:t>4</w:t>
            </w:r>
          </w:p>
        </w:tc>
        <w:tc>
          <w:tcPr>
            <w:tcW w:w="3259" w:type="pct"/>
          </w:tcPr>
          <w:p w14:paraId="51E53A7A" w14:textId="77777777" w:rsidR="00A723FC" w:rsidRDefault="00A723FC" w:rsidP="003B6C3E">
            <w:pPr>
              <w:pStyle w:val="a-I-EUBodytextsingle"/>
              <w:rPr>
                <w:lang w:eastAsia="fi-FI"/>
              </w:rPr>
            </w:pPr>
            <w:r w:rsidRPr="00E14342">
              <w:rPr>
                <w:lang w:eastAsia="fi-FI"/>
              </w:rPr>
              <w:t xml:space="preserve">HIS is a technology transfer company owned by the University of Helsinki and it is responsible for the commercialization of the University owned intellectual property. </w:t>
            </w:r>
          </w:p>
          <w:p w14:paraId="6A05A41E" w14:textId="77777777" w:rsidR="002E25C2" w:rsidRDefault="002E25C2" w:rsidP="003B6C3E">
            <w:pPr>
              <w:pStyle w:val="a-I-EUBodytextsingle"/>
              <w:rPr>
                <w:lang w:eastAsia="fi-FI"/>
              </w:rPr>
            </w:pPr>
          </w:p>
          <w:p w14:paraId="6201465D" w14:textId="75760636" w:rsidR="00A723FC" w:rsidRDefault="00A723FC" w:rsidP="003B6C3E">
            <w:pPr>
              <w:pStyle w:val="a-I-EUBodytextsingle"/>
              <w:rPr>
                <w:lang w:eastAsia="fi-FI"/>
              </w:rPr>
            </w:pPr>
            <w:r>
              <w:rPr>
                <w:lang w:eastAsia="fi-FI"/>
              </w:rPr>
              <w:t>GP theme 1 / GP theme 2</w:t>
            </w:r>
          </w:p>
          <w:p w14:paraId="49426893" w14:textId="77777777" w:rsidR="002E25C2" w:rsidRDefault="002E25C2" w:rsidP="003B6C3E">
            <w:pPr>
              <w:pStyle w:val="a-I-EUBodytextsingle"/>
            </w:pPr>
          </w:p>
          <w:p w14:paraId="4BD9345C" w14:textId="7816ECAA" w:rsidR="002E25C2" w:rsidRPr="002E25C2" w:rsidRDefault="002E25C2" w:rsidP="003B6C3E">
            <w:pPr>
              <w:pStyle w:val="a-I-EUBodytextsingle"/>
            </w:pPr>
            <w:r>
              <w:t xml:space="preserve">Transferability: </w:t>
            </w:r>
            <w:r w:rsidRPr="002E25C2">
              <w:t>Very relevant as part of the structured cooperation of innovation agencies supporting RIS3 implementation. The methodology applied is very detailed; it is a totally transferable program, which joins special skills and knowledge with valued money. GP is relevant also to the partners that are involving university-linked technology transfer offices</w:t>
            </w:r>
            <w:r w:rsidRPr="00E14342">
              <w:t>.</w:t>
            </w:r>
          </w:p>
          <w:p w14:paraId="65F55B23" w14:textId="77777777" w:rsidR="00A723FC" w:rsidRDefault="00A723FC" w:rsidP="003B6C3E">
            <w:pPr>
              <w:pStyle w:val="a-I-EUBodytextsingle"/>
              <w:rPr>
                <w:lang w:eastAsia="fi-FI"/>
              </w:rPr>
            </w:pPr>
          </w:p>
          <w:p w14:paraId="10B64980" w14:textId="77777777" w:rsidR="00A723FC" w:rsidRPr="005B0D9B" w:rsidRDefault="00A723FC" w:rsidP="003B6C3E">
            <w:pPr>
              <w:pStyle w:val="a-I-EUBodytextsingle"/>
              <w:rPr>
                <w:rStyle w:val="Hyperlink"/>
              </w:rPr>
            </w:pPr>
            <w:r w:rsidRPr="008C0BE5">
              <w:rPr>
                <w:rFonts w:eastAsia="Times New Roman" w:cs="Tahoma"/>
                <w:color w:val="021B2B"/>
                <w:szCs w:val="16"/>
                <w:lang w:eastAsia="fi-FI"/>
              </w:rPr>
              <w:t xml:space="preserve">Available in the PLP: </w:t>
            </w:r>
            <w:r w:rsidRPr="005B0D9B">
              <w:rPr>
                <w:rStyle w:val="Hyperlink"/>
                <w:lang w:eastAsia="fi-FI"/>
              </w:rPr>
              <w:t>https://www.interregeurope.eu/</w:t>
            </w:r>
          </w:p>
          <w:p w14:paraId="3C2E69AC" w14:textId="77777777" w:rsidR="00A723FC" w:rsidRPr="008C0BE5" w:rsidRDefault="00A723FC" w:rsidP="003B6C3E">
            <w:pPr>
              <w:pStyle w:val="a-I-EUBodytextsingle"/>
              <w:rPr>
                <w:rFonts w:eastAsia="Times New Roman" w:cs="Tahoma"/>
                <w:color w:val="021B2B"/>
                <w:szCs w:val="16"/>
                <w:lang w:eastAsia="fi-FI"/>
              </w:rPr>
            </w:pPr>
            <w:r w:rsidRPr="005B0D9B">
              <w:rPr>
                <w:rStyle w:val="Hyperlink"/>
                <w:lang w:eastAsia="fi-FI"/>
              </w:rPr>
              <w:t>policylearning/good-practices/item/251/spin-out-and-entrepreneurial-process-of-helsinki-innovation-services/</w:t>
            </w:r>
          </w:p>
        </w:tc>
      </w:tr>
      <w:tr w:rsidR="00A723FC" w:rsidRPr="00762F33" w14:paraId="0266D2BA" w14:textId="77777777" w:rsidTr="00F5402A">
        <w:tc>
          <w:tcPr>
            <w:tcW w:w="1096" w:type="pct"/>
          </w:tcPr>
          <w:p w14:paraId="10B6DD3B" w14:textId="77777777" w:rsidR="00A723FC" w:rsidRPr="008C0BE5" w:rsidRDefault="00A723FC" w:rsidP="003B6C3E">
            <w:pPr>
              <w:pStyle w:val="a-I-EUBodytextsingle"/>
              <w:rPr>
                <w:lang w:eastAsia="fi-FI"/>
              </w:rPr>
            </w:pPr>
            <w:r w:rsidRPr="008C0BE5">
              <w:rPr>
                <w:lang w:eastAsia="fi-FI"/>
              </w:rPr>
              <w:t>Slovenian national instrument for centres of excellence and competence centres</w:t>
            </w:r>
          </w:p>
          <w:p w14:paraId="5251D5C8" w14:textId="77777777" w:rsidR="00A723FC" w:rsidRPr="008C0BE5" w:rsidRDefault="00A723FC" w:rsidP="003B6C3E">
            <w:pPr>
              <w:pStyle w:val="a-I-EUBodytextsingle"/>
              <w:rPr>
                <w:lang w:eastAsia="fi-FI"/>
              </w:rPr>
            </w:pPr>
          </w:p>
        </w:tc>
        <w:tc>
          <w:tcPr>
            <w:tcW w:w="645" w:type="pct"/>
          </w:tcPr>
          <w:p w14:paraId="28834016" w14:textId="77777777" w:rsidR="00A723FC" w:rsidRPr="008C0BE5" w:rsidRDefault="00A723FC" w:rsidP="003B6C3E">
            <w:pPr>
              <w:pStyle w:val="a-I-EUBodytextsingle"/>
              <w:jc w:val="center"/>
              <w:rPr>
                <w:lang w:eastAsia="fi-FI"/>
              </w:rPr>
            </w:pPr>
            <w:r w:rsidRPr="008C0BE5">
              <w:rPr>
                <w:lang w:eastAsia="fi-FI"/>
              </w:rPr>
              <w:t>6</w:t>
            </w:r>
          </w:p>
        </w:tc>
        <w:tc>
          <w:tcPr>
            <w:tcW w:w="3259" w:type="pct"/>
          </w:tcPr>
          <w:p w14:paraId="4E3E4B15" w14:textId="77777777" w:rsidR="00A723FC" w:rsidRDefault="00A723FC" w:rsidP="003B6C3E">
            <w:pPr>
              <w:pStyle w:val="a-I-EUBodytextsingle"/>
              <w:rPr>
                <w:lang w:eastAsia="fi-FI"/>
              </w:rPr>
            </w:pPr>
            <w:r w:rsidRPr="00E14342">
              <w:rPr>
                <w:lang w:eastAsia="fi-FI"/>
              </w:rPr>
              <w:t>CCs were selected within a public invitation to tender for the development of competence centres in 2010–2013 in Slovenia</w:t>
            </w:r>
          </w:p>
          <w:p w14:paraId="46D33C38" w14:textId="77777777" w:rsidR="00A723FC" w:rsidRDefault="00A723FC" w:rsidP="003B6C3E">
            <w:pPr>
              <w:pStyle w:val="a-I-EUBodytextsingle"/>
              <w:rPr>
                <w:lang w:eastAsia="fi-FI"/>
              </w:rPr>
            </w:pPr>
          </w:p>
          <w:p w14:paraId="30BA1726" w14:textId="7F614943" w:rsidR="00A723FC" w:rsidRDefault="00A723FC" w:rsidP="003B6C3E">
            <w:pPr>
              <w:pStyle w:val="a-I-EUBodytextsingle"/>
              <w:rPr>
                <w:lang w:eastAsia="fi-FI"/>
              </w:rPr>
            </w:pPr>
            <w:r>
              <w:rPr>
                <w:lang w:eastAsia="fi-FI"/>
              </w:rPr>
              <w:t>GP theme 1</w:t>
            </w:r>
          </w:p>
          <w:p w14:paraId="5244843A" w14:textId="29918CB3" w:rsidR="00963C19" w:rsidRDefault="00963C19" w:rsidP="003B6C3E">
            <w:pPr>
              <w:pStyle w:val="a-I-EUBodytextsingle"/>
              <w:rPr>
                <w:lang w:eastAsia="fi-FI"/>
              </w:rPr>
            </w:pPr>
          </w:p>
          <w:p w14:paraId="4FCF6A85" w14:textId="207BDB2F" w:rsidR="00963C19" w:rsidRPr="001B1C5F" w:rsidRDefault="00963C19" w:rsidP="003B6C3E">
            <w:pPr>
              <w:pStyle w:val="a-I-EUBodytextsingle"/>
              <w:rPr>
                <w:rFonts w:eastAsia="Times New Roman" w:cs="Tahoma"/>
                <w:color w:val="021B2B"/>
                <w:lang w:eastAsia="fi-FI"/>
              </w:rPr>
            </w:pPr>
            <w:r>
              <w:rPr>
                <w:rFonts w:eastAsia="Times New Roman" w:cs="Tahoma"/>
                <w:color w:val="021B2B"/>
                <w:lang w:eastAsia="fi-FI"/>
              </w:rPr>
              <w:t>Transferability:</w:t>
            </w:r>
            <w:r w:rsidR="001B1C5F">
              <w:rPr>
                <w:rFonts w:eastAsia="Times New Roman" w:cs="Tahoma"/>
                <w:color w:val="021B2B"/>
                <w:lang w:eastAsia="fi-FI"/>
              </w:rPr>
              <w:t xml:space="preserve"> </w:t>
            </w:r>
            <w:r w:rsidR="001B1C5F">
              <w:t>The themes</w:t>
            </w:r>
            <w:r w:rsidR="001B1C5F" w:rsidRPr="001B1C5F">
              <w:t xml:space="preserve"> of collaborative research selected especially for bio</w:t>
            </w:r>
            <w:r w:rsidR="001B1C5F">
              <w:t>-based</w:t>
            </w:r>
            <w:r w:rsidR="001B1C5F" w:rsidRPr="001B1C5F">
              <w:t xml:space="preserve"> economy, are very relevant to BRIDGES</w:t>
            </w:r>
            <w:r w:rsidR="001A2823">
              <w:t>.</w:t>
            </w:r>
          </w:p>
          <w:p w14:paraId="6E16C85F" w14:textId="77777777" w:rsidR="00A723FC" w:rsidRDefault="00A723FC" w:rsidP="003B6C3E">
            <w:pPr>
              <w:pStyle w:val="a-I-EUBodytextsingle"/>
              <w:rPr>
                <w:lang w:eastAsia="fi-FI"/>
              </w:rPr>
            </w:pPr>
          </w:p>
          <w:p w14:paraId="7B11CDDC" w14:textId="77777777" w:rsidR="00A723FC" w:rsidRPr="008C0BE5" w:rsidRDefault="00A723FC" w:rsidP="003B6C3E">
            <w:pPr>
              <w:pStyle w:val="a-I-EUBodytextsingle"/>
              <w:rPr>
                <w:lang w:eastAsia="fi-FI"/>
              </w:rPr>
            </w:pPr>
            <w:r w:rsidRPr="008C0BE5">
              <w:rPr>
                <w:lang w:eastAsia="fi-FI"/>
              </w:rPr>
              <w:t xml:space="preserve">Available in the PLP: </w:t>
            </w:r>
          </w:p>
          <w:p w14:paraId="751359BE" w14:textId="77777777" w:rsidR="00A723FC" w:rsidRPr="008C0BE5" w:rsidRDefault="00A723FC" w:rsidP="003B6C3E">
            <w:pPr>
              <w:pStyle w:val="a-I-EUBodytextsingle"/>
              <w:rPr>
                <w:rFonts w:eastAsia="Times New Roman" w:cs="Tahoma"/>
                <w:color w:val="021B2B"/>
                <w:szCs w:val="16"/>
                <w:lang w:eastAsia="fi-FI"/>
              </w:rPr>
            </w:pPr>
            <w:r w:rsidRPr="005B0D9B">
              <w:rPr>
                <w:rStyle w:val="Hyperlink"/>
                <w:lang w:eastAsia="fi-FI"/>
              </w:rPr>
              <w:t>https://www.interregeurope.eu/policylearning/good-practices/item/79/slovenian-national-instrument-for-centres-of-excellence-and-competence-centres/</w:t>
            </w:r>
          </w:p>
        </w:tc>
      </w:tr>
      <w:tr w:rsidR="00A723FC" w:rsidRPr="00762F33" w14:paraId="7084B8BC" w14:textId="77777777" w:rsidTr="00F5402A">
        <w:tc>
          <w:tcPr>
            <w:tcW w:w="1096" w:type="pct"/>
          </w:tcPr>
          <w:p w14:paraId="3DAED10F" w14:textId="77777777" w:rsidR="00A723FC" w:rsidRPr="008C0BE5" w:rsidRDefault="00A723FC" w:rsidP="003B6C3E">
            <w:pPr>
              <w:pStyle w:val="a-I-EUBodytextsingle"/>
              <w:rPr>
                <w:lang w:eastAsia="fi-FI"/>
              </w:rPr>
            </w:pPr>
            <w:r w:rsidRPr="008C0BE5">
              <w:rPr>
                <w:lang w:eastAsia="fi-FI"/>
              </w:rPr>
              <w:t>Kantola Industrial Estate and Woodpolis</w:t>
            </w:r>
          </w:p>
        </w:tc>
        <w:tc>
          <w:tcPr>
            <w:tcW w:w="645" w:type="pct"/>
          </w:tcPr>
          <w:p w14:paraId="7696FBB9" w14:textId="77777777" w:rsidR="00A723FC" w:rsidRPr="008C0BE5" w:rsidRDefault="00A723FC" w:rsidP="003B6C3E">
            <w:pPr>
              <w:pStyle w:val="a-I-EUBodytextsingle"/>
              <w:jc w:val="center"/>
              <w:rPr>
                <w:lang w:eastAsia="fi-FI"/>
              </w:rPr>
            </w:pPr>
            <w:r w:rsidRPr="008C0BE5">
              <w:rPr>
                <w:lang w:eastAsia="fi-FI"/>
              </w:rPr>
              <w:t>2 &amp;1</w:t>
            </w:r>
          </w:p>
        </w:tc>
        <w:tc>
          <w:tcPr>
            <w:tcW w:w="3259" w:type="pct"/>
          </w:tcPr>
          <w:p w14:paraId="1943DFCC" w14:textId="77777777" w:rsidR="00A723FC" w:rsidRDefault="00A723FC" w:rsidP="003B6C3E">
            <w:pPr>
              <w:pStyle w:val="a-I-EUBodytextsingle"/>
              <w:rPr>
                <w:lang w:eastAsia="fi-FI"/>
              </w:rPr>
            </w:pPr>
            <w:r w:rsidRPr="00E14342">
              <w:rPr>
                <w:lang w:eastAsia="fi-FI"/>
              </w:rPr>
              <w:t>Wooden sustainable construction components cluster and competence centre.</w:t>
            </w:r>
          </w:p>
          <w:p w14:paraId="5BED44B0" w14:textId="77777777" w:rsidR="00A723FC" w:rsidRDefault="00A723FC" w:rsidP="003B6C3E">
            <w:pPr>
              <w:pStyle w:val="a-I-EUBodytextsingle"/>
              <w:rPr>
                <w:lang w:eastAsia="fi-FI"/>
              </w:rPr>
            </w:pPr>
          </w:p>
          <w:p w14:paraId="3870FAE4" w14:textId="1CCD25F8" w:rsidR="00A723FC" w:rsidRDefault="00A723FC" w:rsidP="003B6C3E">
            <w:pPr>
              <w:pStyle w:val="a-I-EUBodytextsingle"/>
              <w:rPr>
                <w:lang w:eastAsia="fi-FI"/>
              </w:rPr>
            </w:pPr>
            <w:r>
              <w:rPr>
                <w:lang w:eastAsia="fi-FI"/>
              </w:rPr>
              <w:t>GP theme 1 / GP theme 2</w:t>
            </w:r>
          </w:p>
          <w:p w14:paraId="05364AD4" w14:textId="0EE14F2E" w:rsidR="00963C19" w:rsidRDefault="00963C19" w:rsidP="003B6C3E">
            <w:pPr>
              <w:pStyle w:val="a-I-EUBodytextsingle"/>
              <w:rPr>
                <w:lang w:eastAsia="fi-FI"/>
              </w:rPr>
            </w:pPr>
          </w:p>
          <w:p w14:paraId="74A758F8" w14:textId="36C33F0F" w:rsidR="00963C19" w:rsidRDefault="00963C19" w:rsidP="003B6C3E">
            <w:pPr>
              <w:pStyle w:val="a-I-EUBodytextsingle"/>
            </w:pPr>
            <w:r>
              <w:t>Trasnferability:</w:t>
            </w:r>
            <w:r w:rsidR="00D05A32">
              <w:t xml:space="preserve"> </w:t>
            </w:r>
            <w:r w:rsidR="00D05A32" w:rsidRPr="00D05A32">
              <w:t xml:space="preserve">Very relevant for lagging regions because of the research –based but scale-down approach that “meets” lagging regions businesses. </w:t>
            </w:r>
            <w:r w:rsidR="00D05A32">
              <w:t>Regional networking “model” is also transferable.</w:t>
            </w:r>
          </w:p>
          <w:p w14:paraId="6155C655" w14:textId="77777777" w:rsidR="00A723FC" w:rsidRDefault="00A723FC" w:rsidP="003B6C3E">
            <w:pPr>
              <w:pStyle w:val="a-I-EUBodytextsingle"/>
              <w:rPr>
                <w:lang w:eastAsia="fi-FI"/>
              </w:rPr>
            </w:pPr>
          </w:p>
          <w:p w14:paraId="32A68BFD" w14:textId="77777777" w:rsidR="00A723FC" w:rsidRPr="008C0BE5" w:rsidRDefault="00A723FC" w:rsidP="003B6C3E">
            <w:pPr>
              <w:pStyle w:val="a-I-EUBodytextsingle"/>
              <w:rPr>
                <w:lang w:eastAsia="fi-FI"/>
              </w:rPr>
            </w:pPr>
            <w:r w:rsidRPr="008C0BE5">
              <w:rPr>
                <w:lang w:eastAsia="fi-FI"/>
              </w:rPr>
              <w:t>Available in the PLP: https://www.interregeurope.eu/</w:t>
            </w:r>
          </w:p>
          <w:p w14:paraId="3A552BF9" w14:textId="77777777" w:rsidR="00A723FC" w:rsidRPr="008C0BE5" w:rsidRDefault="00A723FC" w:rsidP="003B6C3E">
            <w:pPr>
              <w:pStyle w:val="a-I-EUBodytextsingle"/>
              <w:rPr>
                <w:rFonts w:eastAsia="Times New Roman" w:cs="Tahoma"/>
                <w:color w:val="021B2B"/>
                <w:szCs w:val="16"/>
                <w:lang w:eastAsia="fi-FI"/>
              </w:rPr>
            </w:pPr>
            <w:r w:rsidRPr="005B0D9B">
              <w:rPr>
                <w:rStyle w:val="Hyperlink"/>
                <w:lang w:eastAsia="fi-FI"/>
              </w:rPr>
              <w:t>policylearning/good-practices/item/136/kantola-industrial-estate-and-woodpolis-centre-of-competence/</w:t>
            </w:r>
          </w:p>
        </w:tc>
      </w:tr>
      <w:tr w:rsidR="00A723FC" w:rsidRPr="00762F33" w14:paraId="768B65E6" w14:textId="77777777" w:rsidTr="00F5402A">
        <w:tc>
          <w:tcPr>
            <w:tcW w:w="1096" w:type="pct"/>
          </w:tcPr>
          <w:p w14:paraId="2EAFF6DD" w14:textId="77777777" w:rsidR="00A723FC" w:rsidRPr="008C0BE5" w:rsidRDefault="00A723FC" w:rsidP="003B6C3E">
            <w:pPr>
              <w:pStyle w:val="a-I-EUBodytextsingle"/>
              <w:rPr>
                <w:lang w:eastAsia="fi-FI"/>
              </w:rPr>
            </w:pPr>
            <w:r w:rsidRPr="008C0BE5">
              <w:rPr>
                <w:lang w:eastAsia="fi-FI"/>
              </w:rPr>
              <w:t>Centre for Measurement and Information Systems</w:t>
            </w:r>
          </w:p>
        </w:tc>
        <w:tc>
          <w:tcPr>
            <w:tcW w:w="645" w:type="pct"/>
          </w:tcPr>
          <w:p w14:paraId="2F9E4BC9" w14:textId="77777777" w:rsidR="00A723FC" w:rsidRPr="008C0BE5" w:rsidRDefault="00A723FC" w:rsidP="003B6C3E">
            <w:pPr>
              <w:pStyle w:val="a-I-EUBodytextsingle"/>
              <w:jc w:val="center"/>
              <w:rPr>
                <w:lang w:eastAsia="fi-FI"/>
              </w:rPr>
            </w:pPr>
            <w:r w:rsidRPr="008C0BE5">
              <w:rPr>
                <w:lang w:eastAsia="fi-FI"/>
              </w:rPr>
              <w:t>2</w:t>
            </w:r>
          </w:p>
        </w:tc>
        <w:tc>
          <w:tcPr>
            <w:tcW w:w="3259" w:type="pct"/>
          </w:tcPr>
          <w:p w14:paraId="66CE2D24" w14:textId="77777777" w:rsidR="00A723FC" w:rsidRDefault="00A723FC" w:rsidP="003B6C3E">
            <w:pPr>
              <w:pStyle w:val="a-I-EUBodytextsingle"/>
              <w:rPr>
                <w:lang w:eastAsia="fi-FI"/>
              </w:rPr>
            </w:pPr>
            <w:r w:rsidRPr="00E14342">
              <w:rPr>
                <w:lang w:eastAsia="fi-FI"/>
              </w:rPr>
              <w:t>CEMIS, is a joint research and education centre in the field of metrology (measurement science and technology). CEMIS combines the research of several educational and research institutions and the long-standing tradition of metrology research in the north of Finland. CEMIS produces new metrological and information systems expertise, focusing in fields that are relevant for the future. With the cooperation of several educational and research institutions CEMIS can offer a wide variety of expert knowledge in the field of metrology</w:t>
            </w:r>
            <w:r>
              <w:rPr>
                <w:lang w:eastAsia="fi-FI"/>
              </w:rPr>
              <w:t>.</w:t>
            </w:r>
          </w:p>
          <w:p w14:paraId="0EA6B717" w14:textId="77777777" w:rsidR="00A723FC" w:rsidRDefault="00A723FC" w:rsidP="003B6C3E">
            <w:pPr>
              <w:pStyle w:val="a-I-EUBodytextsingle"/>
              <w:rPr>
                <w:lang w:eastAsia="fi-FI"/>
              </w:rPr>
            </w:pPr>
          </w:p>
          <w:p w14:paraId="7B6378D4" w14:textId="77777777" w:rsidR="00A723FC" w:rsidRDefault="00A723FC" w:rsidP="003B6C3E">
            <w:pPr>
              <w:pStyle w:val="a-I-EUBodytextsingle"/>
              <w:rPr>
                <w:lang w:eastAsia="fi-FI"/>
              </w:rPr>
            </w:pPr>
            <w:r>
              <w:rPr>
                <w:lang w:eastAsia="fi-FI"/>
              </w:rPr>
              <w:t>GP theme 1</w:t>
            </w:r>
          </w:p>
          <w:p w14:paraId="757C3F5D" w14:textId="77777777" w:rsidR="00963C19" w:rsidRDefault="00963C19" w:rsidP="003B6C3E">
            <w:pPr>
              <w:pStyle w:val="a-I-EUBodytextsingle"/>
              <w:rPr>
                <w:lang w:eastAsia="fi-FI"/>
              </w:rPr>
            </w:pPr>
          </w:p>
          <w:p w14:paraId="2CCAAE3F" w14:textId="1749D09B" w:rsidR="00963C19" w:rsidRPr="008C0BE5" w:rsidRDefault="00963C19" w:rsidP="003B6C3E">
            <w:pPr>
              <w:pStyle w:val="a-I-EUBodytextsingle"/>
              <w:rPr>
                <w:rFonts w:eastAsia="Times New Roman" w:cs="Tahoma"/>
                <w:color w:val="021B2B"/>
                <w:lang w:eastAsia="fi-FI"/>
              </w:rPr>
            </w:pPr>
            <w:r>
              <w:rPr>
                <w:rFonts w:eastAsia="Times New Roman" w:cs="Tahoma"/>
                <w:color w:val="021B2B"/>
                <w:lang w:eastAsia="fi-FI"/>
              </w:rPr>
              <w:t xml:space="preserve">Trasnferability: </w:t>
            </w:r>
            <w:r w:rsidR="00230C97" w:rsidRPr="00230C97">
              <w:t>Transferable, but needs an international outlook from the beginning in order to ensure clients in the long run, supports a lot regional specialisation as it is so niche-focused</w:t>
            </w:r>
            <w:r w:rsidR="00230C97" w:rsidRPr="00E14342">
              <w:t>.</w:t>
            </w:r>
          </w:p>
        </w:tc>
      </w:tr>
      <w:tr w:rsidR="00A723FC" w:rsidRPr="00762F33" w14:paraId="79AD2CEC" w14:textId="77777777" w:rsidTr="00F5402A">
        <w:tc>
          <w:tcPr>
            <w:tcW w:w="1096" w:type="pct"/>
          </w:tcPr>
          <w:p w14:paraId="5CD11F8A" w14:textId="77777777" w:rsidR="00A723FC" w:rsidRPr="008C0BE5" w:rsidRDefault="00A723FC" w:rsidP="003B6C3E">
            <w:pPr>
              <w:pStyle w:val="a-I-EUBodytextsingle"/>
              <w:rPr>
                <w:lang w:eastAsia="fi-FI"/>
              </w:rPr>
            </w:pPr>
            <w:r w:rsidRPr="008C0BE5">
              <w:rPr>
                <w:lang w:eastAsia="fi-FI"/>
              </w:rPr>
              <w:lastRenderedPageBreak/>
              <w:t>Large research infrastructure services for SMEs (Science Link &amp; Baltic TRAM projects)</w:t>
            </w:r>
          </w:p>
          <w:p w14:paraId="5DB3DC0E" w14:textId="77777777" w:rsidR="00A723FC" w:rsidRPr="008C0BE5" w:rsidRDefault="00A723FC" w:rsidP="003B6C3E">
            <w:pPr>
              <w:pStyle w:val="a-I-EUBodytextsingle"/>
              <w:rPr>
                <w:lang w:eastAsia="fi-FI"/>
              </w:rPr>
            </w:pPr>
          </w:p>
        </w:tc>
        <w:tc>
          <w:tcPr>
            <w:tcW w:w="645" w:type="pct"/>
          </w:tcPr>
          <w:p w14:paraId="580DE6A4" w14:textId="77777777" w:rsidR="00A723FC" w:rsidRPr="008C0BE5" w:rsidRDefault="00A723FC" w:rsidP="003B6C3E">
            <w:pPr>
              <w:pStyle w:val="a-I-EUBodytextsingle"/>
              <w:jc w:val="center"/>
              <w:rPr>
                <w:lang w:eastAsia="fi-FI"/>
              </w:rPr>
            </w:pPr>
            <w:r w:rsidRPr="008C0BE5">
              <w:rPr>
                <w:lang w:eastAsia="fi-FI"/>
              </w:rPr>
              <w:t>1</w:t>
            </w:r>
          </w:p>
        </w:tc>
        <w:tc>
          <w:tcPr>
            <w:tcW w:w="3259" w:type="pct"/>
          </w:tcPr>
          <w:p w14:paraId="28560E73" w14:textId="77777777" w:rsidR="00A723FC" w:rsidRDefault="00A723FC" w:rsidP="003B6C3E">
            <w:pPr>
              <w:pStyle w:val="a-I-EUBodytextsingle"/>
              <w:rPr>
                <w:lang w:eastAsia="fi-FI"/>
              </w:rPr>
            </w:pPr>
            <w:r w:rsidRPr="00CD5814">
              <w:rPr>
                <w:lang w:eastAsia="fi-FI"/>
              </w:rPr>
              <w:t>Methods and innovation infrastructures effectively facilitating regular benefits of material research measurements to SMEs.</w:t>
            </w:r>
          </w:p>
          <w:p w14:paraId="087528B3" w14:textId="77777777" w:rsidR="00A723FC" w:rsidRDefault="00A723FC" w:rsidP="003B6C3E">
            <w:pPr>
              <w:pStyle w:val="a-I-EUBodytextsingle"/>
              <w:rPr>
                <w:lang w:eastAsia="fi-FI"/>
              </w:rPr>
            </w:pPr>
          </w:p>
          <w:p w14:paraId="11A7031E" w14:textId="52267E8E" w:rsidR="00A723FC" w:rsidRDefault="00A723FC" w:rsidP="003B6C3E">
            <w:pPr>
              <w:pStyle w:val="a-I-EUBodytextsingle"/>
              <w:rPr>
                <w:lang w:eastAsia="fi-FI"/>
              </w:rPr>
            </w:pPr>
            <w:r>
              <w:rPr>
                <w:lang w:eastAsia="fi-FI"/>
              </w:rPr>
              <w:t>GP theme 2</w:t>
            </w:r>
          </w:p>
          <w:p w14:paraId="29D1DE96" w14:textId="77777777" w:rsidR="00963C19" w:rsidRPr="00CD5814" w:rsidRDefault="00963C19" w:rsidP="003B6C3E">
            <w:pPr>
              <w:pStyle w:val="a-I-EUBodytextsingle"/>
              <w:rPr>
                <w:lang w:eastAsia="fi-FI"/>
              </w:rPr>
            </w:pPr>
          </w:p>
          <w:p w14:paraId="4F2F5031" w14:textId="7879477D" w:rsidR="00A723FC" w:rsidRDefault="00963C19" w:rsidP="003B6C3E">
            <w:pPr>
              <w:pStyle w:val="a-I-EUBodytextsingle"/>
              <w:rPr>
                <w:lang w:eastAsia="fi-FI"/>
              </w:rPr>
            </w:pPr>
            <w:r>
              <w:rPr>
                <w:lang w:eastAsia="fi-FI"/>
              </w:rPr>
              <w:t>Transferability:</w:t>
            </w:r>
            <w:r w:rsidR="00FA073B" w:rsidRPr="00E14342">
              <w:t xml:space="preserve"> </w:t>
            </w:r>
            <w:r w:rsidR="00FA073B" w:rsidRPr="00FA073B">
              <w:rPr>
                <w:lang w:eastAsia="fi-FI"/>
              </w:rPr>
              <w:t>Very relevant as a way to link non-geographical proximities</w:t>
            </w:r>
          </w:p>
          <w:p w14:paraId="280BAEB0" w14:textId="77777777" w:rsidR="00963C19" w:rsidRPr="00CD5814" w:rsidRDefault="00963C19" w:rsidP="003B6C3E">
            <w:pPr>
              <w:pStyle w:val="a-I-EUBodytextsingle"/>
              <w:rPr>
                <w:lang w:eastAsia="fi-FI"/>
              </w:rPr>
            </w:pPr>
          </w:p>
          <w:p w14:paraId="65244DC7" w14:textId="7B141A3F" w:rsidR="00A723FC" w:rsidRPr="008C0BE5" w:rsidRDefault="00A723FC" w:rsidP="003B6C3E">
            <w:pPr>
              <w:pStyle w:val="a-I-EUBodytextsingle"/>
              <w:rPr>
                <w:lang w:eastAsia="fi-FI"/>
              </w:rPr>
            </w:pPr>
            <w:r w:rsidRPr="008C0BE5">
              <w:rPr>
                <w:lang w:eastAsia="fi-FI"/>
              </w:rPr>
              <w:t xml:space="preserve">Available in the PLP: </w:t>
            </w:r>
          </w:p>
          <w:p w14:paraId="3CC8AD4D" w14:textId="77777777" w:rsidR="00A723FC" w:rsidRPr="008C0BE5" w:rsidRDefault="00A723FC" w:rsidP="003B6C3E">
            <w:pPr>
              <w:pStyle w:val="a-I-EUBodytextsingle"/>
              <w:rPr>
                <w:rFonts w:eastAsia="Times New Roman" w:cs="Tahoma"/>
                <w:color w:val="021B2B"/>
                <w:szCs w:val="16"/>
                <w:lang w:eastAsia="fi-FI"/>
              </w:rPr>
            </w:pPr>
            <w:r w:rsidRPr="005B0D9B">
              <w:rPr>
                <w:rStyle w:val="Hyperlink"/>
                <w:lang w:eastAsia="fi-FI"/>
              </w:rPr>
              <w:t>https://www.interregeurope.eu/policylearning/good-practices/item/8/large-research-infrastructure-services-for-smes-science-link-baltic-tram-projects/</w:t>
            </w:r>
          </w:p>
        </w:tc>
      </w:tr>
      <w:tr w:rsidR="00A723FC" w:rsidRPr="00762F33" w14:paraId="4F20F530" w14:textId="77777777" w:rsidTr="00F5402A">
        <w:tc>
          <w:tcPr>
            <w:tcW w:w="1096" w:type="pct"/>
          </w:tcPr>
          <w:p w14:paraId="03A164A8" w14:textId="77777777" w:rsidR="00A723FC" w:rsidRPr="008C0BE5" w:rsidRDefault="00A723FC" w:rsidP="003B6C3E">
            <w:pPr>
              <w:pStyle w:val="a-I-EUBodytextsingle"/>
              <w:rPr>
                <w:lang w:eastAsia="fi-FI"/>
              </w:rPr>
            </w:pPr>
            <w:r w:rsidRPr="008C0BE5">
              <w:rPr>
                <w:lang w:eastAsia="fi-FI"/>
              </w:rPr>
              <w:t>Online precise irrigation scheduling / OpIris</w:t>
            </w:r>
          </w:p>
        </w:tc>
        <w:tc>
          <w:tcPr>
            <w:tcW w:w="645" w:type="pct"/>
          </w:tcPr>
          <w:p w14:paraId="619F2B84" w14:textId="77777777" w:rsidR="00A723FC" w:rsidRPr="008C0BE5" w:rsidRDefault="00A723FC" w:rsidP="003B6C3E">
            <w:pPr>
              <w:pStyle w:val="a-I-EUBodytextsingle"/>
              <w:jc w:val="center"/>
              <w:rPr>
                <w:lang w:eastAsia="fi-FI"/>
              </w:rPr>
            </w:pPr>
            <w:r w:rsidRPr="008C0BE5">
              <w:rPr>
                <w:lang w:eastAsia="fi-FI"/>
              </w:rPr>
              <w:t>9</w:t>
            </w:r>
          </w:p>
        </w:tc>
        <w:tc>
          <w:tcPr>
            <w:tcW w:w="3259" w:type="pct"/>
          </w:tcPr>
          <w:p w14:paraId="3255406B" w14:textId="77777777" w:rsidR="00A723FC" w:rsidRDefault="00A723FC" w:rsidP="003B6C3E">
            <w:pPr>
              <w:pStyle w:val="a-I-EUBodytextsingle"/>
              <w:rPr>
                <w:lang w:eastAsia="fi-FI"/>
              </w:rPr>
            </w:pPr>
            <w:r w:rsidRPr="00E14342">
              <w:rPr>
                <w:lang w:eastAsia="fi-FI"/>
              </w:rPr>
              <w:t>OpIRIS is a knowledge-based system for online precise irrigation scheduling. It makes use of advanced results from previous FP projects on water and fertilizers productivity in fruit trees orchards and hydroponic productions in greenhouses.</w:t>
            </w:r>
          </w:p>
          <w:p w14:paraId="0B951E11" w14:textId="77777777" w:rsidR="00A723FC" w:rsidRDefault="00A723FC" w:rsidP="003B6C3E">
            <w:pPr>
              <w:pStyle w:val="a-I-EUBodytextsingle"/>
              <w:rPr>
                <w:lang w:eastAsia="fi-FI"/>
              </w:rPr>
            </w:pPr>
          </w:p>
          <w:p w14:paraId="72AF39CE" w14:textId="77777777" w:rsidR="00A723FC" w:rsidRDefault="00A723FC" w:rsidP="003B6C3E">
            <w:pPr>
              <w:pStyle w:val="a-I-EUBodytextsingle"/>
              <w:rPr>
                <w:lang w:eastAsia="fi-FI"/>
              </w:rPr>
            </w:pPr>
            <w:r>
              <w:rPr>
                <w:lang w:eastAsia="fi-FI"/>
              </w:rPr>
              <w:t>GP theme 2</w:t>
            </w:r>
          </w:p>
          <w:p w14:paraId="4749868D" w14:textId="6C90E2B6" w:rsidR="00A723FC" w:rsidRDefault="00A723FC" w:rsidP="003B6C3E">
            <w:pPr>
              <w:pStyle w:val="a-I-EUBodytextsingle"/>
              <w:rPr>
                <w:lang w:eastAsia="fi-FI"/>
              </w:rPr>
            </w:pPr>
          </w:p>
          <w:p w14:paraId="0D563F81" w14:textId="1DFD8AD7" w:rsidR="00D6600E" w:rsidRDefault="00D6600E" w:rsidP="003B6C3E">
            <w:pPr>
              <w:pStyle w:val="a-I-EUBodytextsingle"/>
              <w:rPr>
                <w:lang w:eastAsia="fi-FI"/>
              </w:rPr>
            </w:pPr>
            <w:r>
              <w:rPr>
                <w:lang w:eastAsia="fi-FI"/>
              </w:rPr>
              <w:t xml:space="preserve">Transferability: </w:t>
            </w:r>
            <w:r w:rsidRPr="00D6600E">
              <w:rPr>
                <w:lang w:eastAsia="fi-FI"/>
              </w:rPr>
              <w:t>Relevant to regions with rural production, and especially Western Macedonia where precision farming is indicated in the RIS3.</w:t>
            </w:r>
          </w:p>
          <w:p w14:paraId="22C415C0" w14:textId="77777777" w:rsidR="00D6600E" w:rsidRDefault="00D6600E" w:rsidP="003B6C3E">
            <w:pPr>
              <w:pStyle w:val="a-I-EUBodytextsingle"/>
              <w:rPr>
                <w:lang w:eastAsia="fi-FI"/>
              </w:rPr>
            </w:pPr>
          </w:p>
          <w:p w14:paraId="6ABBACA8" w14:textId="77777777" w:rsidR="00A723FC" w:rsidRPr="008C0BE5" w:rsidRDefault="00A723FC" w:rsidP="003B6C3E">
            <w:pPr>
              <w:pStyle w:val="a-I-EUBodytextsingle"/>
              <w:rPr>
                <w:lang w:eastAsia="fi-FI"/>
              </w:rPr>
            </w:pPr>
            <w:r w:rsidRPr="008C0BE5">
              <w:rPr>
                <w:lang w:eastAsia="fi-FI"/>
              </w:rPr>
              <w:t xml:space="preserve">Available in the PLP: </w:t>
            </w:r>
          </w:p>
          <w:p w14:paraId="3CDB9647" w14:textId="77777777" w:rsidR="00A723FC" w:rsidRPr="005B0D9B" w:rsidRDefault="00A723FC" w:rsidP="003B6C3E">
            <w:pPr>
              <w:pStyle w:val="a-I-EUBodytextsingle"/>
              <w:rPr>
                <w:rStyle w:val="Hyperlink"/>
                <w:lang w:eastAsia="fi-FI"/>
              </w:rPr>
            </w:pPr>
            <w:r w:rsidRPr="005B0D9B">
              <w:rPr>
                <w:rStyle w:val="Hyperlink"/>
                <w:lang w:eastAsia="fi-FI"/>
              </w:rPr>
              <w:t>https://www.interregeurope.eu/policylearning/good-practices/item/271/online-precise-irrigation-scheduling-opiris/</w:t>
            </w:r>
          </w:p>
        </w:tc>
      </w:tr>
      <w:tr w:rsidR="00A723FC" w:rsidRPr="00762F33" w14:paraId="2CB0ADC9" w14:textId="77777777" w:rsidTr="00F5402A">
        <w:tc>
          <w:tcPr>
            <w:tcW w:w="1096" w:type="pct"/>
          </w:tcPr>
          <w:p w14:paraId="3E6B12A5" w14:textId="77777777" w:rsidR="00A723FC" w:rsidRPr="008C0BE5" w:rsidRDefault="00A723FC" w:rsidP="003B6C3E">
            <w:pPr>
              <w:pStyle w:val="a-I-EUBodytextsingle"/>
              <w:rPr>
                <w:lang w:eastAsia="fi-FI"/>
              </w:rPr>
            </w:pPr>
            <w:r w:rsidRPr="008C0BE5">
              <w:rPr>
                <w:lang w:eastAsia="fi-FI"/>
              </w:rPr>
              <w:t>Amsterdam Institute for Advanced Metropolitan Solutions (AMS)</w:t>
            </w:r>
          </w:p>
        </w:tc>
        <w:tc>
          <w:tcPr>
            <w:tcW w:w="645" w:type="pct"/>
          </w:tcPr>
          <w:p w14:paraId="2CB72679" w14:textId="79B7F0F9" w:rsidR="00A723FC" w:rsidRPr="008C0BE5" w:rsidRDefault="00A723FC" w:rsidP="003B6C3E">
            <w:pPr>
              <w:pStyle w:val="a-I-EUBodytextsingle"/>
              <w:jc w:val="center"/>
              <w:rPr>
                <w:lang w:eastAsia="fi-FI"/>
              </w:rPr>
            </w:pPr>
            <w:r w:rsidRPr="008C0BE5">
              <w:rPr>
                <w:lang w:eastAsia="fi-FI"/>
              </w:rPr>
              <w:t>10</w:t>
            </w:r>
            <w:r w:rsidR="00640777">
              <w:rPr>
                <w:rStyle w:val="FootnoteReference"/>
                <w:lang w:eastAsia="fi-FI"/>
              </w:rPr>
              <w:footnoteReference w:id="23"/>
            </w:r>
          </w:p>
        </w:tc>
        <w:tc>
          <w:tcPr>
            <w:tcW w:w="3259" w:type="pct"/>
          </w:tcPr>
          <w:p w14:paraId="094BC454" w14:textId="77777777" w:rsidR="00A723FC" w:rsidRDefault="00A723FC" w:rsidP="003B6C3E">
            <w:pPr>
              <w:pStyle w:val="a-I-EUBodytextsingle"/>
              <w:rPr>
                <w:lang w:eastAsia="fi-FI"/>
              </w:rPr>
            </w:pPr>
            <w:r w:rsidRPr="00E14342">
              <w:rPr>
                <w:lang w:eastAsia="fi-FI"/>
              </w:rPr>
              <w:t>The mission of the Amsterdam Economic Board is to sustainably enhance the prosperity and well-being of the Amsterdam Metropolitan Area (AMA). To achieve this, we work together with the business world, governmental agencies and knowledge institutes, focussing on collaboration, innovation and growt</w:t>
            </w:r>
            <w:r>
              <w:rPr>
                <w:lang w:eastAsia="fi-FI"/>
              </w:rPr>
              <w:t>h.</w:t>
            </w:r>
          </w:p>
          <w:p w14:paraId="3AB79239" w14:textId="77777777" w:rsidR="00A723FC" w:rsidRDefault="00A723FC" w:rsidP="003B6C3E">
            <w:pPr>
              <w:pStyle w:val="a-I-EUBodytextsingle"/>
              <w:rPr>
                <w:lang w:eastAsia="fi-FI"/>
              </w:rPr>
            </w:pPr>
          </w:p>
          <w:p w14:paraId="6A1D0609" w14:textId="77777777" w:rsidR="00A723FC" w:rsidRDefault="00A723FC" w:rsidP="003B6C3E">
            <w:pPr>
              <w:pStyle w:val="a-I-EUBodytextsingle"/>
              <w:rPr>
                <w:lang w:eastAsia="fi-FI"/>
              </w:rPr>
            </w:pPr>
            <w:r>
              <w:rPr>
                <w:lang w:eastAsia="fi-FI"/>
              </w:rPr>
              <w:t>GP theme 1</w:t>
            </w:r>
          </w:p>
          <w:p w14:paraId="43D23788" w14:textId="77777777" w:rsidR="00D6600E" w:rsidRDefault="00D6600E" w:rsidP="003B6C3E">
            <w:pPr>
              <w:pStyle w:val="a-I-EUBodytextsingle"/>
              <w:rPr>
                <w:lang w:eastAsia="fi-FI"/>
              </w:rPr>
            </w:pPr>
          </w:p>
          <w:p w14:paraId="2F716807" w14:textId="7230715A" w:rsidR="00D6600E" w:rsidRPr="008C0BE5" w:rsidRDefault="00D6600E" w:rsidP="003B6C3E">
            <w:pPr>
              <w:pStyle w:val="a-I-EUBodytextsingle"/>
              <w:rPr>
                <w:lang w:eastAsia="fi-FI"/>
              </w:rPr>
            </w:pPr>
            <w:r>
              <w:rPr>
                <w:lang w:eastAsia="fi-FI"/>
              </w:rPr>
              <w:t xml:space="preserve">Trabsferability: </w:t>
            </w:r>
            <w:r w:rsidRPr="00D6600E">
              <w:rPr>
                <w:lang w:eastAsia="fi-FI"/>
              </w:rPr>
              <w:t>Policy is relevant, scale might be challenging for the BRIDGES regions.</w:t>
            </w:r>
          </w:p>
        </w:tc>
      </w:tr>
      <w:tr w:rsidR="00A723FC" w:rsidRPr="00762F33" w14:paraId="6F0A8E73" w14:textId="77777777" w:rsidTr="00F5402A">
        <w:tc>
          <w:tcPr>
            <w:tcW w:w="1096" w:type="pct"/>
          </w:tcPr>
          <w:p w14:paraId="1107B850" w14:textId="77777777" w:rsidR="00A723FC" w:rsidRPr="008C0BE5" w:rsidRDefault="00A723FC" w:rsidP="003B6C3E">
            <w:pPr>
              <w:pStyle w:val="a-I-EUBodytextsingle"/>
              <w:rPr>
                <w:lang w:eastAsia="fi-FI"/>
              </w:rPr>
            </w:pPr>
            <w:r w:rsidRPr="008C0BE5">
              <w:rPr>
                <w:lang w:eastAsia="fi-FI"/>
              </w:rPr>
              <w:t>Sustainable Urban Models Toolkit / SUMO Toolkit</w:t>
            </w:r>
          </w:p>
        </w:tc>
        <w:tc>
          <w:tcPr>
            <w:tcW w:w="645" w:type="pct"/>
          </w:tcPr>
          <w:p w14:paraId="703682B1" w14:textId="77777777" w:rsidR="00A723FC" w:rsidRPr="008C0BE5" w:rsidRDefault="00A723FC" w:rsidP="003B6C3E">
            <w:pPr>
              <w:pStyle w:val="a-I-EUBodytextsingle"/>
              <w:jc w:val="center"/>
              <w:rPr>
                <w:lang w:eastAsia="fi-FI"/>
              </w:rPr>
            </w:pPr>
            <w:r w:rsidRPr="008C0BE5">
              <w:rPr>
                <w:lang w:eastAsia="fi-FI"/>
              </w:rPr>
              <w:t>9</w:t>
            </w:r>
          </w:p>
        </w:tc>
        <w:tc>
          <w:tcPr>
            <w:tcW w:w="3259" w:type="pct"/>
          </w:tcPr>
          <w:p w14:paraId="7640B1E4" w14:textId="77777777" w:rsidR="00A723FC" w:rsidRDefault="00A723FC" w:rsidP="003B6C3E">
            <w:pPr>
              <w:pStyle w:val="a-I-EUBodytextsingle"/>
              <w:rPr>
                <w:lang w:eastAsia="fi-FI"/>
              </w:rPr>
            </w:pPr>
            <w:r w:rsidRPr="00E14342">
              <w:rPr>
                <w:lang w:eastAsia="fi-FI"/>
              </w:rPr>
              <w:t>The SUMO Toolkit is an instrument (search engine) that prepares current and future results to be transferred in a practical way and according to decision maker’s needs.</w:t>
            </w:r>
          </w:p>
          <w:p w14:paraId="2AF55FC1" w14:textId="77777777" w:rsidR="00A723FC" w:rsidRDefault="00A723FC" w:rsidP="003B6C3E">
            <w:pPr>
              <w:pStyle w:val="a-I-EUBodytextsingle"/>
              <w:rPr>
                <w:lang w:eastAsia="fi-FI"/>
              </w:rPr>
            </w:pPr>
          </w:p>
          <w:p w14:paraId="08E232F1" w14:textId="77777777" w:rsidR="00A723FC" w:rsidRDefault="00A723FC" w:rsidP="003B6C3E">
            <w:pPr>
              <w:pStyle w:val="a-I-EUBodytextsingle"/>
              <w:rPr>
                <w:lang w:eastAsia="fi-FI"/>
              </w:rPr>
            </w:pPr>
            <w:r>
              <w:rPr>
                <w:lang w:eastAsia="fi-FI"/>
              </w:rPr>
              <w:t>GP theme 2</w:t>
            </w:r>
          </w:p>
          <w:p w14:paraId="7EEBE8E3" w14:textId="77777777" w:rsidR="00D6600E" w:rsidRDefault="00D6600E" w:rsidP="003B6C3E">
            <w:pPr>
              <w:pStyle w:val="a-I-EUBodytextsingle"/>
              <w:rPr>
                <w:lang w:eastAsia="fi-FI"/>
              </w:rPr>
            </w:pPr>
          </w:p>
          <w:p w14:paraId="2267468F" w14:textId="0E70B280" w:rsidR="00D6600E" w:rsidRPr="008C0BE5" w:rsidRDefault="00D6600E" w:rsidP="003B6C3E">
            <w:pPr>
              <w:pStyle w:val="a-I-EUBodytextsingle"/>
              <w:rPr>
                <w:lang w:eastAsia="fi-FI"/>
              </w:rPr>
            </w:pPr>
            <w:r>
              <w:rPr>
                <w:lang w:eastAsia="fi-FI"/>
              </w:rPr>
              <w:t xml:space="preserve">Transferability: It is a good practice building on good practice-base, i.e. </w:t>
            </w:r>
            <w:r w:rsidRPr="00D6600E">
              <w:rPr>
                <w:lang w:eastAsia="fi-FI"/>
              </w:rPr>
              <w:t>SUMO would be relevant if the enabling evironment is well developed and suitable; then it would be able to help decision makers to understand more easily what their region is missing and in that sense, where to focus policy investments.</w:t>
            </w:r>
          </w:p>
        </w:tc>
      </w:tr>
      <w:tr w:rsidR="00A723FC" w:rsidRPr="00762F33" w14:paraId="7D08ABC2" w14:textId="77777777" w:rsidTr="00F5402A">
        <w:tc>
          <w:tcPr>
            <w:tcW w:w="1096" w:type="pct"/>
          </w:tcPr>
          <w:p w14:paraId="0307BBF4" w14:textId="77777777" w:rsidR="00A723FC" w:rsidRPr="008C0BE5" w:rsidRDefault="00A723FC" w:rsidP="003B6C3E">
            <w:pPr>
              <w:pStyle w:val="a-I-EUBodytextsingle"/>
              <w:rPr>
                <w:lang w:eastAsia="fi-FI"/>
              </w:rPr>
            </w:pPr>
            <w:r w:rsidRPr="008C0BE5">
              <w:rPr>
                <w:lang w:eastAsia="fi-FI"/>
              </w:rPr>
              <w:t>Saffronomics</w:t>
            </w:r>
          </w:p>
        </w:tc>
        <w:tc>
          <w:tcPr>
            <w:tcW w:w="645" w:type="pct"/>
          </w:tcPr>
          <w:p w14:paraId="5AC241F3" w14:textId="77777777" w:rsidR="00A723FC" w:rsidRPr="008C0BE5" w:rsidRDefault="00A723FC" w:rsidP="003B6C3E">
            <w:pPr>
              <w:pStyle w:val="a-I-EUBodytextsingle"/>
              <w:jc w:val="center"/>
              <w:rPr>
                <w:lang w:eastAsia="fi-FI"/>
              </w:rPr>
            </w:pPr>
            <w:r w:rsidRPr="008C0BE5">
              <w:rPr>
                <w:lang w:eastAsia="fi-FI"/>
              </w:rPr>
              <w:t>5</w:t>
            </w:r>
          </w:p>
        </w:tc>
        <w:tc>
          <w:tcPr>
            <w:tcW w:w="3259" w:type="pct"/>
          </w:tcPr>
          <w:p w14:paraId="6968FDF7" w14:textId="77777777" w:rsidR="00A723FC" w:rsidRDefault="00A723FC" w:rsidP="003B6C3E">
            <w:pPr>
              <w:pStyle w:val="a-I-EUBodytextsingle"/>
              <w:rPr>
                <w:lang w:eastAsia="fi-FI"/>
              </w:rPr>
            </w:pPr>
            <w:r w:rsidRPr="00E14342">
              <w:rPr>
                <w:lang w:eastAsia="fi-FI"/>
              </w:rPr>
              <w:t>Saffron (Krokus) Cooperative of Kozani and Crocus Kozanis Products SA in close cooperation with Aristotle University of Thessaloniki (AUTH) and other Greek and European universities and research organizations joined the COST Action to address coordinated research on “Saffron-OMICS” for crop improvement, traceability, determination of authenticity, adulteration and origin to provide new insights that will lead a sound Saffron Bio-Economy.</w:t>
            </w:r>
          </w:p>
          <w:p w14:paraId="7BE3D2C8" w14:textId="77777777" w:rsidR="00A723FC" w:rsidRDefault="00A723FC" w:rsidP="003B6C3E">
            <w:pPr>
              <w:pStyle w:val="a-I-EUBodytextsingle"/>
              <w:rPr>
                <w:lang w:eastAsia="fi-FI"/>
              </w:rPr>
            </w:pPr>
          </w:p>
          <w:p w14:paraId="7545CBB7" w14:textId="77777777" w:rsidR="00A723FC" w:rsidRDefault="00A723FC" w:rsidP="003B6C3E">
            <w:pPr>
              <w:pStyle w:val="a-I-EUBodytextsingle"/>
              <w:rPr>
                <w:lang w:eastAsia="fi-FI"/>
              </w:rPr>
            </w:pPr>
            <w:r>
              <w:rPr>
                <w:lang w:eastAsia="fi-FI"/>
              </w:rPr>
              <w:t>GP theme 2</w:t>
            </w:r>
          </w:p>
          <w:p w14:paraId="051FD1A4" w14:textId="77777777" w:rsidR="00D6600E" w:rsidRDefault="00D6600E" w:rsidP="003B6C3E">
            <w:pPr>
              <w:pStyle w:val="a-I-EUBodytextsingle"/>
              <w:rPr>
                <w:lang w:eastAsia="fi-FI"/>
              </w:rPr>
            </w:pPr>
          </w:p>
          <w:p w14:paraId="6E1A2BA1" w14:textId="66AEAC94" w:rsidR="00D6600E" w:rsidRPr="008C0BE5" w:rsidRDefault="00D6600E" w:rsidP="003B6C3E">
            <w:pPr>
              <w:pStyle w:val="a-I-EUBodytextsingle"/>
              <w:rPr>
                <w:lang w:eastAsia="fi-FI"/>
              </w:rPr>
            </w:pPr>
            <w:r>
              <w:rPr>
                <w:lang w:eastAsia="fi-FI"/>
              </w:rPr>
              <w:t xml:space="preserve">Transferability: </w:t>
            </w:r>
            <w:r w:rsidRPr="00D6600E">
              <w:rPr>
                <w:lang w:eastAsia="fi-FI"/>
              </w:rPr>
              <w:t>Relevant to rural production, requires programme-based approach</w:t>
            </w:r>
          </w:p>
        </w:tc>
      </w:tr>
      <w:tr w:rsidR="00A723FC" w:rsidRPr="00762F33" w14:paraId="0BDA01B9" w14:textId="77777777" w:rsidTr="00F5402A">
        <w:tc>
          <w:tcPr>
            <w:tcW w:w="1096" w:type="pct"/>
          </w:tcPr>
          <w:p w14:paraId="50B21D73" w14:textId="77777777" w:rsidR="00A723FC" w:rsidRPr="008C0BE5" w:rsidRDefault="00A723FC" w:rsidP="003B6C3E">
            <w:pPr>
              <w:pStyle w:val="a-I-EUBodytextsingle"/>
              <w:rPr>
                <w:lang w:eastAsia="fi-FI"/>
              </w:rPr>
            </w:pPr>
            <w:r w:rsidRPr="008C0BE5">
              <w:rPr>
                <w:lang w:eastAsia="fi-FI"/>
              </w:rPr>
              <w:t>STEINBEIS NETWORK</w:t>
            </w:r>
          </w:p>
        </w:tc>
        <w:tc>
          <w:tcPr>
            <w:tcW w:w="645" w:type="pct"/>
          </w:tcPr>
          <w:p w14:paraId="5C2094E0" w14:textId="77777777" w:rsidR="00A723FC" w:rsidRPr="008C0BE5" w:rsidRDefault="00A723FC" w:rsidP="003B6C3E">
            <w:pPr>
              <w:pStyle w:val="a-I-EUBodytextsingle"/>
              <w:jc w:val="center"/>
              <w:rPr>
                <w:lang w:eastAsia="fi-FI"/>
              </w:rPr>
            </w:pPr>
            <w:r w:rsidRPr="008C0BE5">
              <w:rPr>
                <w:lang w:eastAsia="fi-FI"/>
              </w:rPr>
              <w:t>7</w:t>
            </w:r>
          </w:p>
        </w:tc>
        <w:tc>
          <w:tcPr>
            <w:tcW w:w="3259" w:type="pct"/>
          </w:tcPr>
          <w:p w14:paraId="11647DCB" w14:textId="6F24BF1D" w:rsidR="00D6600E" w:rsidRPr="00D6600E" w:rsidRDefault="00A723FC" w:rsidP="003B6C3E">
            <w:pPr>
              <w:pStyle w:val="a-I-EUBodytextsingle"/>
              <w:rPr>
                <w:lang w:eastAsia="fi-FI"/>
              </w:rPr>
            </w:pPr>
            <w:r w:rsidRPr="005B0D9B">
              <w:rPr>
                <w:lang w:eastAsia="fi-FI"/>
              </w:rPr>
              <w:t xml:space="preserve">This a network of qualified organisations, specialising on core issues and complementary to each other, covering the range from basic business product idea, to technology transfer, to market access. The network structure works well as a result of the highly specialised professionals that commit to work in complementarity. </w:t>
            </w:r>
            <w:r w:rsidR="00D6600E" w:rsidRPr="00D6600E">
              <w:rPr>
                <w:bCs/>
              </w:rPr>
              <w:t>Steinbeis is a global player in the sharing (“transfer”) of entrepreneurial knowledge and technology. The Steinbeis Network currently encompasses roughly 1,000 Steinbeis Enterprises (SE).</w:t>
            </w:r>
          </w:p>
          <w:p w14:paraId="1677EA4E" w14:textId="6681F98C" w:rsidR="00D6600E" w:rsidRDefault="00D6600E" w:rsidP="003B6C3E">
            <w:pPr>
              <w:pStyle w:val="a-I-EUBodytextsingle"/>
              <w:rPr>
                <w:lang w:eastAsia="fi-FI"/>
              </w:rPr>
            </w:pPr>
            <w:r w:rsidRPr="00D6600E">
              <w:rPr>
                <w:lang w:eastAsia="fi-FI"/>
              </w:rPr>
              <w:t xml:space="preserve">The service portfolios of SE revolve around specific areas of expertise ranging from research and development, to consulting, expert reports, continuing professional </w:t>
            </w:r>
            <w:r w:rsidRPr="00D6600E">
              <w:rPr>
                <w:lang w:eastAsia="fi-FI"/>
              </w:rPr>
              <w:lastRenderedPageBreak/>
              <w:t xml:space="preserve">development and training, and various fields of management. The Steinbeis system centres on a network of independently organized SE which offer specific, customer-oriented services. </w:t>
            </w:r>
          </w:p>
          <w:p w14:paraId="575A480E" w14:textId="77777777" w:rsidR="00D6600E" w:rsidRDefault="00D6600E" w:rsidP="003B6C3E">
            <w:pPr>
              <w:pStyle w:val="a-I-EUBodytextsingle"/>
              <w:rPr>
                <w:lang w:eastAsia="fi-FI"/>
              </w:rPr>
            </w:pPr>
          </w:p>
          <w:p w14:paraId="68FC35E1" w14:textId="7F0E0171" w:rsidR="00A723FC" w:rsidRDefault="00A723FC" w:rsidP="003B6C3E">
            <w:pPr>
              <w:pStyle w:val="a-I-EUBodytextsingle"/>
              <w:rPr>
                <w:lang w:eastAsia="fi-FI"/>
              </w:rPr>
            </w:pPr>
            <w:r w:rsidRPr="005B0D9B">
              <w:rPr>
                <w:lang w:eastAsia="fi-FI"/>
              </w:rPr>
              <w:t>The GP was identified in the Interreg Europe project UpGradeSME (PGI00115).</w:t>
            </w:r>
          </w:p>
          <w:p w14:paraId="2EABF725" w14:textId="77777777" w:rsidR="00A723FC" w:rsidRDefault="00A723FC" w:rsidP="003B6C3E">
            <w:pPr>
              <w:pStyle w:val="a-I-EUBodytextsingle"/>
              <w:rPr>
                <w:lang w:eastAsia="fi-FI"/>
              </w:rPr>
            </w:pPr>
          </w:p>
          <w:p w14:paraId="28A9620F" w14:textId="77777777" w:rsidR="00A723FC" w:rsidRDefault="00A723FC" w:rsidP="003B6C3E">
            <w:pPr>
              <w:pStyle w:val="a-I-EUBodytextsingle"/>
              <w:rPr>
                <w:lang w:eastAsia="fi-FI"/>
              </w:rPr>
            </w:pPr>
            <w:r w:rsidRPr="00966234">
              <w:rPr>
                <w:lang w:eastAsia="fi-FI"/>
              </w:rPr>
              <w:t>GP theme 2/GP theme 3</w:t>
            </w:r>
          </w:p>
          <w:p w14:paraId="43C7A4E5" w14:textId="77777777" w:rsidR="00D6600E" w:rsidRDefault="00D6600E" w:rsidP="003B6C3E">
            <w:pPr>
              <w:pStyle w:val="a-I-EUBodytextsingle"/>
              <w:rPr>
                <w:lang w:eastAsia="fi-FI"/>
              </w:rPr>
            </w:pPr>
          </w:p>
          <w:p w14:paraId="16350A54" w14:textId="3E071FC4" w:rsidR="00D6600E" w:rsidRPr="00D6600E" w:rsidRDefault="00D6600E" w:rsidP="003B6C3E">
            <w:pPr>
              <w:pStyle w:val="a-I-EUBodytextsingle"/>
              <w:rPr>
                <w:rFonts w:eastAsia="Times New Roman" w:cs="Tahoma"/>
                <w:color w:val="021B2B"/>
                <w:lang w:eastAsia="fi-FI"/>
              </w:rPr>
            </w:pPr>
            <w:r>
              <w:t xml:space="preserve">Transferability: </w:t>
            </w:r>
            <w:r w:rsidRPr="00D6600E">
              <w:t>Excellent GP towards establishing a comprehensive regional (and beyond), exploring distributed knowledge bases, innovation management chain.</w:t>
            </w:r>
          </w:p>
        </w:tc>
      </w:tr>
      <w:tr w:rsidR="00A723FC" w:rsidRPr="00762F33" w14:paraId="30E0D47F" w14:textId="77777777" w:rsidTr="00F5402A">
        <w:tc>
          <w:tcPr>
            <w:tcW w:w="1096" w:type="pct"/>
          </w:tcPr>
          <w:p w14:paraId="4580DB71" w14:textId="77777777" w:rsidR="00A723FC" w:rsidRPr="008C0BE5" w:rsidRDefault="00A723FC" w:rsidP="003B6C3E">
            <w:pPr>
              <w:pStyle w:val="a-I-EUBodytextsingle"/>
              <w:rPr>
                <w:lang w:eastAsia="fi-FI"/>
              </w:rPr>
            </w:pPr>
            <w:r w:rsidRPr="008C0BE5">
              <w:rPr>
                <w:lang w:eastAsia="fi-FI"/>
              </w:rPr>
              <w:lastRenderedPageBreak/>
              <w:t>SCALE UP DENMARK</w:t>
            </w:r>
          </w:p>
        </w:tc>
        <w:tc>
          <w:tcPr>
            <w:tcW w:w="645" w:type="pct"/>
          </w:tcPr>
          <w:p w14:paraId="7B6F5198" w14:textId="77777777" w:rsidR="00A723FC" w:rsidRPr="008C0BE5" w:rsidRDefault="00A723FC" w:rsidP="003B6C3E">
            <w:pPr>
              <w:pStyle w:val="a-I-EUBodytextsingle"/>
              <w:jc w:val="center"/>
              <w:rPr>
                <w:lang w:eastAsia="fi-FI"/>
              </w:rPr>
            </w:pPr>
            <w:r w:rsidRPr="008C0BE5">
              <w:rPr>
                <w:lang w:eastAsia="fi-FI"/>
              </w:rPr>
              <w:t>4</w:t>
            </w:r>
          </w:p>
        </w:tc>
        <w:tc>
          <w:tcPr>
            <w:tcW w:w="3259" w:type="pct"/>
          </w:tcPr>
          <w:p w14:paraId="789A225C" w14:textId="77777777" w:rsidR="00A723FC" w:rsidRDefault="00A723FC" w:rsidP="003B6C3E">
            <w:pPr>
              <w:pStyle w:val="a-I-EUBodytextsingle"/>
              <w:rPr>
                <w:color w:val="4472C4" w:themeColor="accent1"/>
                <w:lang w:eastAsia="fi-FI"/>
              </w:rPr>
            </w:pPr>
            <w:r w:rsidRPr="00E14342">
              <w:rPr>
                <w:lang w:eastAsia="fi-FI"/>
              </w:rPr>
              <w:t>The Scale-up Denmark initiative is an accelerator program that targets the most promising national and international entrepreneurs within the business areas of the five regions smart specialisation strategies. It is a systematic approach to improve the innovation system in regional, national and international levels. The program consists of intensive development courses, professional discussions, mentoring, participation in relevant courses and workshops and access to expert knowledge and venture capital. One strong and interesting point is that implementation takes into consideration issues such as migration and balance between national and international innovative participations that in most cases are neglected. The holistic view of regional innovation lead is an excellent concept, often neglected.</w:t>
            </w:r>
            <w:r w:rsidRPr="008C0BE5">
              <w:rPr>
                <w:lang w:eastAsia="fi-FI"/>
              </w:rPr>
              <w:t xml:space="preserve"> </w:t>
            </w:r>
            <w:r w:rsidRPr="005B0D9B">
              <w:rPr>
                <w:color w:val="4472C4" w:themeColor="accent1"/>
                <w:lang w:eastAsia="fi-FI"/>
              </w:rPr>
              <w:t>The GP was identified in the Interreg Europe project iEER (PGI00111).</w:t>
            </w:r>
          </w:p>
          <w:p w14:paraId="4C252439" w14:textId="77777777" w:rsidR="00A723FC" w:rsidRDefault="00A723FC" w:rsidP="003B6C3E">
            <w:pPr>
              <w:pStyle w:val="a-I-EUBodytextsingle"/>
              <w:rPr>
                <w:lang w:eastAsia="fi-FI"/>
              </w:rPr>
            </w:pPr>
          </w:p>
          <w:p w14:paraId="554F986A" w14:textId="77777777" w:rsidR="00A723FC" w:rsidRDefault="00A723FC" w:rsidP="003B6C3E">
            <w:pPr>
              <w:pStyle w:val="a-I-EUBodytextsingle"/>
              <w:rPr>
                <w:lang w:eastAsia="fi-FI"/>
              </w:rPr>
            </w:pPr>
            <w:r w:rsidRPr="00966234">
              <w:rPr>
                <w:lang w:eastAsia="fi-FI"/>
              </w:rPr>
              <w:t>GP theme 2/GP theme 3</w:t>
            </w:r>
          </w:p>
          <w:p w14:paraId="62DA8174" w14:textId="77777777" w:rsidR="00D6600E" w:rsidRDefault="00D6600E" w:rsidP="003B6C3E">
            <w:pPr>
              <w:pStyle w:val="a-I-EUBodytextsingle"/>
              <w:rPr>
                <w:lang w:eastAsia="fi-FI"/>
              </w:rPr>
            </w:pPr>
          </w:p>
          <w:p w14:paraId="010A0E72" w14:textId="174012E7" w:rsidR="00700FD4" w:rsidRPr="00700FD4" w:rsidRDefault="00D6600E" w:rsidP="003B6C3E">
            <w:pPr>
              <w:pStyle w:val="a-I-EUBodytextsingle"/>
            </w:pPr>
            <w:r>
              <w:rPr>
                <w:rFonts w:eastAsia="Times New Roman" w:cs="Tahoma"/>
              </w:rPr>
              <w:t xml:space="preserve">Trasnferability: </w:t>
            </w:r>
            <w:r w:rsidR="00700FD4" w:rsidRPr="00700FD4">
              <w:t>Very relevant to BRIDGES regions, advanced and less advanced. One strong and interesting point is that implementation takes into consideration issues such as migration and balance between national and international innovative participations that in most cases are neglected.</w:t>
            </w:r>
            <w:r w:rsidR="00700FD4">
              <w:t xml:space="preserve"> Requires a comprehensive approach to be effective.</w:t>
            </w:r>
          </w:p>
          <w:p w14:paraId="47EB81D6" w14:textId="637B8BCD" w:rsidR="00D6600E" w:rsidRPr="008C0BE5" w:rsidRDefault="00D6600E" w:rsidP="003B6C3E">
            <w:pPr>
              <w:pStyle w:val="a-I-EUBodytextsingle"/>
              <w:rPr>
                <w:lang w:eastAsia="fi-FI"/>
              </w:rPr>
            </w:pPr>
          </w:p>
        </w:tc>
      </w:tr>
      <w:tr w:rsidR="00A723FC" w:rsidRPr="00762F33" w14:paraId="780C076D" w14:textId="77777777" w:rsidTr="00F5402A">
        <w:tc>
          <w:tcPr>
            <w:tcW w:w="1096" w:type="pct"/>
          </w:tcPr>
          <w:p w14:paraId="3C44D93D" w14:textId="77777777" w:rsidR="00A723FC" w:rsidRPr="008C0BE5" w:rsidRDefault="00A723FC" w:rsidP="003B6C3E">
            <w:pPr>
              <w:pStyle w:val="a-I-EUBodytextsingle"/>
              <w:rPr>
                <w:lang w:eastAsia="fi-FI"/>
              </w:rPr>
            </w:pPr>
            <w:r w:rsidRPr="008C0BE5">
              <w:rPr>
                <w:lang w:eastAsia="fi-FI"/>
              </w:rPr>
              <w:t>Bank of patents</w:t>
            </w:r>
          </w:p>
        </w:tc>
        <w:tc>
          <w:tcPr>
            <w:tcW w:w="645" w:type="pct"/>
          </w:tcPr>
          <w:p w14:paraId="384ECF7A" w14:textId="77777777" w:rsidR="00A723FC" w:rsidRPr="008C0BE5" w:rsidRDefault="00A723FC" w:rsidP="003B6C3E">
            <w:pPr>
              <w:pStyle w:val="a-I-EUBodytextsingle"/>
              <w:jc w:val="center"/>
              <w:rPr>
                <w:lang w:eastAsia="fi-FI"/>
              </w:rPr>
            </w:pPr>
            <w:r w:rsidRPr="008C0BE5">
              <w:rPr>
                <w:lang w:eastAsia="fi-FI"/>
              </w:rPr>
              <w:t>4</w:t>
            </w:r>
          </w:p>
        </w:tc>
        <w:tc>
          <w:tcPr>
            <w:tcW w:w="3259" w:type="pct"/>
          </w:tcPr>
          <w:p w14:paraId="427A5EC0" w14:textId="77777777" w:rsidR="00A723FC" w:rsidRDefault="00A723FC" w:rsidP="003B6C3E">
            <w:pPr>
              <w:pStyle w:val="a-I-EUBodytextsingle"/>
              <w:rPr>
                <w:color w:val="4472C4" w:themeColor="accent1"/>
                <w:lang w:eastAsia="fi-FI"/>
              </w:rPr>
            </w:pPr>
            <w:r w:rsidRPr="00E14342">
              <w:rPr>
                <w:lang w:eastAsia="fi-FI"/>
              </w:rPr>
              <w:t xml:space="preserve">The Patent Bank consists of a website (www.bancodepatentes.gva.es) and a whole set of activities, mainly technology transfer forums and brokerage events, to attract SMEs and to support research to business cooperation. The best practice is excellent for BRIDGES as it integrates many key elements to create an innovation-fostering environment at regional level. Important to keep looking at similar initiatives outside the region. Could be improved a lot if it were linked to active brokerage rather than dissemination events only. </w:t>
            </w:r>
            <w:r w:rsidRPr="005B0D9B">
              <w:rPr>
                <w:color w:val="4472C4" w:themeColor="accent1"/>
                <w:lang w:eastAsia="fi-FI"/>
              </w:rPr>
              <w:t>The GP was identified in the Interreg Europe project iEER (PGI00111).</w:t>
            </w:r>
          </w:p>
          <w:p w14:paraId="6B91C703" w14:textId="77777777" w:rsidR="00A723FC" w:rsidRDefault="00A723FC" w:rsidP="003B6C3E">
            <w:pPr>
              <w:pStyle w:val="a-I-EUBodytextsingle"/>
              <w:rPr>
                <w:lang w:eastAsia="fi-FI"/>
              </w:rPr>
            </w:pPr>
          </w:p>
          <w:p w14:paraId="7D91675E" w14:textId="77777777" w:rsidR="00A723FC" w:rsidRDefault="00A723FC" w:rsidP="003B6C3E">
            <w:pPr>
              <w:pStyle w:val="a-I-EUBodytextsingle"/>
              <w:rPr>
                <w:lang w:eastAsia="fi-FI"/>
              </w:rPr>
            </w:pPr>
            <w:r w:rsidRPr="00966234">
              <w:rPr>
                <w:lang w:eastAsia="fi-FI"/>
              </w:rPr>
              <w:t>GP theme 2/GP theme 3</w:t>
            </w:r>
          </w:p>
          <w:p w14:paraId="443EB670" w14:textId="77777777" w:rsidR="00700FD4" w:rsidRDefault="00700FD4" w:rsidP="003B6C3E">
            <w:pPr>
              <w:pStyle w:val="a-I-EUBodytextsingle"/>
              <w:rPr>
                <w:lang w:eastAsia="fi-FI"/>
              </w:rPr>
            </w:pPr>
          </w:p>
          <w:p w14:paraId="528CA112" w14:textId="284A232E" w:rsidR="00700FD4" w:rsidRPr="00E14342" w:rsidRDefault="00700FD4" w:rsidP="003B6C3E">
            <w:pPr>
              <w:pStyle w:val="a-I-EUBodytextsingle"/>
              <w:rPr>
                <w:lang w:eastAsia="fi-FI"/>
              </w:rPr>
            </w:pPr>
            <w:r>
              <w:rPr>
                <w:lang w:eastAsia="fi-FI"/>
              </w:rPr>
              <w:t>Transferability:</w:t>
            </w:r>
            <w:r w:rsidRPr="00E14342">
              <w:t xml:space="preserve"> </w:t>
            </w:r>
            <w:r w:rsidRPr="00700FD4">
              <w:rPr>
                <w:lang w:eastAsia="fi-FI"/>
              </w:rPr>
              <w:t>The best practice is excellent for BRIDGES as it integrates many key elements to create an innovation fostering environment at regional level. Important to keep looking at similar initiatives outside the region. Could be improved a lot if it were linked to active brokerage rather than dissemination events only.</w:t>
            </w:r>
          </w:p>
        </w:tc>
      </w:tr>
      <w:tr w:rsidR="00A723FC" w:rsidRPr="00762F33" w14:paraId="2BC26261" w14:textId="77777777" w:rsidTr="00F5402A">
        <w:tc>
          <w:tcPr>
            <w:tcW w:w="1096" w:type="pct"/>
          </w:tcPr>
          <w:p w14:paraId="0085E347" w14:textId="77777777" w:rsidR="00A723FC" w:rsidRPr="008C0BE5" w:rsidRDefault="00A723FC" w:rsidP="003B6C3E">
            <w:pPr>
              <w:pStyle w:val="a-I-EUBodytextsingle"/>
              <w:rPr>
                <w:lang w:eastAsia="fi-FI"/>
              </w:rPr>
            </w:pPr>
            <w:r w:rsidRPr="008C0BE5">
              <w:rPr>
                <w:lang w:eastAsia="fi-FI"/>
              </w:rPr>
              <w:t>Unit of Measurement Technology (MITY) - University of Oulu, as regional specilisation infrastructure</w:t>
            </w:r>
          </w:p>
          <w:p w14:paraId="2B6CC5E1" w14:textId="77777777" w:rsidR="00A723FC" w:rsidRPr="008C0BE5" w:rsidRDefault="00A723FC" w:rsidP="003B6C3E">
            <w:pPr>
              <w:pStyle w:val="a-I-EUBodytextsingle"/>
              <w:rPr>
                <w:lang w:eastAsia="fi-FI"/>
              </w:rPr>
            </w:pPr>
          </w:p>
        </w:tc>
        <w:tc>
          <w:tcPr>
            <w:tcW w:w="645" w:type="pct"/>
          </w:tcPr>
          <w:p w14:paraId="06F00D3A" w14:textId="77777777" w:rsidR="00A723FC" w:rsidRPr="008C0BE5" w:rsidRDefault="00A723FC" w:rsidP="003B6C3E">
            <w:pPr>
              <w:pStyle w:val="a-I-EUBodytextsingle"/>
              <w:jc w:val="center"/>
              <w:rPr>
                <w:lang w:eastAsia="fi-FI"/>
              </w:rPr>
            </w:pPr>
            <w:r w:rsidRPr="008C0BE5">
              <w:rPr>
                <w:lang w:eastAsia="fi-FI"/>
              </w:rPr>
              <w:t>2</w:t>
            </w:r>
          </w:p>
        </w:tc>
        <w:tc>
          <w:tcPr>
            <w:tcW w:w="3259" w:type="pct"/>
          </w:tcPr>
          <w:p w14:paraId="423829CC" w14:textId="77777777" w:rsidR="00A723FC" w:rsidRDefault="00A723FC" w:rsidP="003B6C3E">
            <w:pPr>
              <w:pStyle w:val="a-I-EUBodytextsingle"/>
              <w:rPr>
                <w:lang w:eastAsia="fi-FI"/>
              </w:rPr>
            </w:pPr>
            <w:r w:rsidRPr="00E14342">
              <w:rPr>
                <w:lang w:eastAsia="fi-FI"/>
              </w:rPr>
              <w:t>The good practice describes the research-to-business approach, differentiated according to the type of research services requested (basic measurements and new product development measurements), adopted and practiced by the bioresearch laboratory that is part of the measurement technology unit of the University of Oulu. The relevance to the bridges GP theme 2 is from 1) the differentiated approach in the provision of research services, and 2) the interdisciplinary competences (science x industry) of some of the lab staff.</w:t>
            </w:r>
          </w:p>
          <w:p w14:paraId="7FA85062" w14:textId="77777777" w:rsidR="00A723FC" w:rsidRDefault="00A723FC" w:rsidP="003B6C3E">
            <w:pPr>
              <w:pStyle w:val="a-I-EUBodytextsingle"/>
              <w:rPr>
                <w:lang w:eastAsia="fi-FI"/>
              </w:rPr>
            </w:pPr>
          </w:p>
          <w:p w14:paraId="7720BCE1" w14:textId="1A07EF4A" w:rsidR="00A723FC" w:rsidRDefault="00A723FC" w:rsidP="003B6C3E">
            <w:pPr>
              <w:pStyle w:val="a-I-EUBodytextsingle"/>
              <w:rPr>
                <w:lang w:eastAsia="fi-FI"/>
              </w:rPr>
            </w:pPr>
            <w:r>
              <w:rPr>
                <w:lang w:eastAsia="fi-FI"/>
              </w:rPr>
              <w:t>GP theme 1/GP theme 2</w:t>
            </w:r>
          </w:p>
          <w:p w14:paraId="3D73AF44" w14:textId="1A17A530" w:rsidR="00FB6600" w:rsidRDefault="00FB6600" w:rsidP="003B6C3E">
            <w:pPr>
              <w:pStyle w:val="a-I-EUBodytextsingle"/>
              <w:rPr>
                <w:lang w:eastAsia="fi-FI"/>
              </w:rPr>
            </w:pPr>
          </w:p>
          <w:p w14:paraId="1828E1FB" w14:textId="18D9646C" w:rsidR="00FB6600" w:rsidRPr="00EE2822" w:rsidRDefault="00FB6600" w:rsidP="003B6C3E">
            <w:pPr>
              <w:pStyle w:val="a-I-EUBodytextsingle"/>
              <w:rPr>
                <w:bCs/>
              </w:rPr>
            </w:pPr>
            <w:r w:rsidRPr="00EE2822">
              <w:t>Transferability:</w:t>
            </w:r>
            <w:r w:rsidR="00EE2822" w:rsidRPr="00EE2822">
              <w:t xml:space="preserve"> Transferable and relevant. </w:t>
            </w:r>
            <w:r w:rsidR="00EE2822">
              <w:t xml:space="preserve">The relevance to the Bridges </w:t>
            </w:r>
            <w:r w:rsidR="00EE2822" w:rsidRPr="00EE2822">
              <w:t>GP</w:t>
            </w:r>
            <w:r w:rsidR="00EE2822">
              <w:t xml:space="preserve"> </w:t>
            </w:r>
            <w:r w:rsidR="00EE2822" w:rsidRPr="00EE2822">
              <w:t>theme 2 comes from 1) the differentiated approach in the provision of research services, and 2) the interdisciplinary competences (science x industry) of some of the lab staff.</w:t>
            </w:r>
          </w:p>
          <w:p w14:paraId="3DFAF88D" w14:textId="77777777" w:rsidR="00A723FC" w:rsidRPr="008C0BE5" w:rsidRDefault="00A723FC" w:rsidP="003B6C3E">
            <w:pPr>
              <w:pStyle w:val="a-I-EUBodytextsingle"/>
              <w:rPr>
                <w:lang w:eastAsia="fi-FI"/>
              </w:rPr>
            </w:pPr>
          </w:p>
          <w:p w14:paraId="601E19F4" w14:textId="77777777" w:rsidR="00A723FC" w:rsidRPr="008C0BE5" w:rsidRDefault="00A723FC" w:rsidP="003B6C3E">
            <w:pPr>
              <w:pStyle w:val="a-I-EUBodytextsingle"/>
              <w:rPr>
                <w:lang w:eastAsia="fi-FI"/>
              </w:rPr>
            </w:pPr>
            <w:r w:rsidRPr="008C0BE5">
              <w:rPr>
                <w:lang w:eastAsia="fi-FI"/>
              </w:rPr>
              <w:t xml:space="preserve">Available in the PLP: </w:t>
            </w:r>
          </w:p>
          <w:p w14:paraId="7DD69295" w14:textId="77777777" w:rsidR="00A723FC" w:rsidRPr="008C0BE5" w:rsidRDefault="00A723FC" w:rsidP="003B6C3E">
            <w:pPr>
              <w:pStyle w:val="a-I-EUBodytextsingle"/>
              <w:rPr>
                <w:rStyle w:val="Hyperlink"/>
              </w:rPr>
            </w:pPr>
            <w:r w:rsidRPr="008C0BE5">
              <w:rPr>
                <w:rStyle w:val="Hyperlink"/>
                <w:lang w:eastAsia="fi-FI"/>
              </w:rPr>
              <w:lastRenderedPageBreak/>
              <w:t>https://www.interregeurope.eu/policylearning/good-practices/item/146/unit-of-measurement-technology-mity-university-of-oulu-as-regional-specilisation-infrastructure/</w:t>
            </w:r>
          </w:p>
        </w:tc>
      </w:tr>
      <w:tr w:rsidR="00A723FC" w:rsidRPr="00762F33" w14:paraId="49A983AF" w14:textId="77777777" w:rsidTr="00F5402A">
        <w:tc>
          <w:tcPr>
            <w:tcW w:w="1096" w:type="pct"/>
          </w:tcPr>
          <w:p w14:paraId="5B44EDA4" w14:textId="77777777" w:rsidR="00A723FC" w:rsidRPr="008C0BE5" w:rsidRDefault="00A723FC" w:rsidP="003B6C3E">
            <w:pPr>
              <w:pStyle w:val="a-I-EUBodytextsingle"/>
              <w:rPr>
                <w:lang w:eastAsia="fi-FI"/>
              </w:rPr>
            </w:pPr>
            <w:r w:rsidRPr="008C0BE5">
              <w:rPr>
                <w:lang w:eastAsia="fi-FI"/>
              </w:rPr>
              <w:lastRenderedPageBreak/>
              <w:t>Novel product in dairy and wineries using herbs</w:t>
            </w:r>
          </w:p>
        </w:tc>
        <w:tc>
          <w:tcPr>
            <w:tcW w:w="645" w:type="pct"/>
          </w:tcPr>
          <w:p w14:paraId="7E5D9493" w14:textId="77777777" w:rsidR="00A723FC" w:rsidRPr="008C0BE5" w:rsidRDefault="00A723FC" w:rsidP="003B6C3E">
            <w:pPr>
              <w:pStyle w:val="a-I-EUBodytextsingle"/>
              <w:jc w:val="center"/>
              <w:rPr>
                <w:lang w:eastAsia="fi-FI"/>
              </w:rPr>
            </w:pPr>
            <w:r w:rsidRPr="008C0BE5">
              <w:rPr>
                <w:lang w:eastAsia="fi-FI"/>
              </w:rPr>
              <w:t>5</w:t>
            </w:r>
          </w:p>
        </w:tc>
        <w:tc>
          <w:tcPr>
            <w:tcW w:w="3259" w:type="pct"/>
          </w:tcPr>
          <w:p w14:paraId="6719D019" w14:textId="77777777" w:rsidR="00A723FC" w:rsidRDefault="00A723FC" w:rsidP="003B6C3E">
            <w:pPr>
              <w:pStyle w:val="a-I-EUBodytextsingle"/>
              <w:rPr>
                <w:lang w:eastAsia="fi-FI"/>
              </w:rPr>
            </w:pPr>
            <w:r w:rsidRPr="00E14342">
              <w:rPr>
                <w:lang w:eastAsia="fi-FI"/>
              </w:rPr>
              <w:t>Related variety research based on compounds of herbs and application to wine and dairy industries for the improvement of the product health qualities. Strong experimental data from laboratories support the view that many components of the traditional Greek diet have the ability to modify the levels of intracellular "oxidoreducting active" iron and thereby inhibit the formation of active free radicals.</w:t>
            </w:r>
          </w:p>
          <w:p w14:paraId="6451434B" w14:textId="77777777" w:rsidR="00A723FC" w:rsidRDefault="00A723FC" w:rsidP="003B6C3E">
            <w:pPr>
              <w:pStyle w:val="a-I-EUBodytextsingle"/>
              <w:rPr>
                <w:lang w:eastAsia="fi-FI"/>
              </w:rPr>
            </w:pPr>
          </w:p>
          <w:p w14:paraId="5CF7A74E" w14:textId="77777777" w:rsidR="00A723FC" w:rsidRDefault="00A723FC" w:rsidP="003B6C3E">
            <w:pPr>
              <w:pStyle w:val="a-I-EUBodytextsingle"/>
              <w:rPr>
                <w:lang w:eastAsia="fi-FI"/>
              </w:rPr>
            </w:pPr>
            <w:r>
              <w:rPr>
                <w:lang w:eastAsia="fi-FI"/>
              </w:rPr>
              <w:t>GP theme 2</w:t>
            </w:r>
          </w:p>
          <w:p w14:paraId="04F793DE" w14:textId="77777777" w:rsidR="00EE2822" w:rsidRDefault="00EE2822" w:rsidP="003B6C3E">
            <w:pPr>
              <w:pStyle w:val="a-I-EUBodytextsingle"/>
              <w:rPr>
                <w:lang w:eastAsia="fi-FI"/>
              </w:rPr>
            </w:pPr>
          </w:p>
          <w:p w14:paraId="1C8F89E3" w14:textId="4A3CAE45" w:rsidR="00EE2822" w:rsidRPr="00E14342" w:rsidRDefault="00EE2822" w:rsidP="003B6C3E">
            <w:pPr>
              <w:pStyle w:val="a-I-EUBodytextsingle"/>
              <w:rPr>
                <w:lang w:eastAsia="fi-FI"/>
              </w:rPr>
            </w:pPr>
            <w:r>
              <w:rPr>
                <w:lang w:eastAsia="fi-FI"/>
              </w:rPr>
              <w:t>Transferability: Yes, as business-to-research collaboration.</w:t>
            </w:r>
          </w:p>
        </w:tc>
      </w:tr>
      <w:tr w:rsidR="00A723FC" w:rsidRPr="00762F33" w14:paraId="2E06F767" w14:textId="77777777" w:rsidTr="00F5402A">
        <w:tc>
          <w:tcPr>
            <w:tcW w:w="1096" w:type="pct"/>
          </w:tcPr>
          <w:p w14:paraId="072DAF96" w14:textId="77777777" w:rsidR="00A723FC" w:rsidRPr="008C0BE5" w:rsidRDefault="00A723FC" w:rsidP="003B6C3E">
            <w:pPr>
              <w:pStyle w:val="a-I-EUBodytextsingle"/>
              <w:rPr>
                <w:lang w:eastAsia="fi-FI"/>
              </w:rPr>
            </w:pPr>
            <w:r w:rsidRPr="008C0BE5">
              <w:rPr>
                <w:lang w:eastAsia="fi-FI"/>
              </w:rPr>
              <w:t>«DIOFARM» - PROMIXTURE OF FEED ADDITIVES: R2B &amp; B2B collaboration between Dioscurides and Greek Honey “Attiki -Pittas”</w:t>
            </w:r>
          </w:p>
        </w:tc>
        <w:tc>
          <w:tcPr>
            <w:tcW w:w="645" w:type="pct"/>
          </w:tcPr>
          <w:p w14:paraId="7EB5CD41" w14:textId="77777777" w:rsidR="00A723FC" w:rsidRPr="008C0BE5" w:rsidRDefault="00A723FC" w:rsidP="003B6C3E">
            <w:pPr>
              <w:pStyle w:val="a-I-EUBodytextsingle"/>
              <w:jc w:val="center"/>
              <w:rPr>
                <w:lang w:eastAsia="fi-FI"/>
              </w:rPr>
            </w:pPr>
            <w:r>
              <w:rPr>
                <w:lang w:eastAsia="fi-FI"/>
              </w:rPr>
              <w:t>5</w:t>
            </w:r>
          </w:p>
        </w:tc>
        <w:tc>
          <w:tcPr>
            <w:tcW w:w="3259" w:type="pct"/>
          </w:tcPr>
          <w:p w14:paraId="1F90268F" w14:textId="77777777" w:rsidR="00A723FC" w:rsidRDefault="00A723FC" w:rsidP="003B6C3E">
            <w:pPr>
              <w:pStyle w:val="a-I-EUBodytextsingle"/>
              <w:rPr>
                <w:lang w:eastAsia="fi-FI"/>
              </w:rPr>
            </w:pPr>
            <w:r w:rsidRPr="00E14342">
              <w:rPr>
                <w:lang w:eastAsia="fi-FI"/>
              </w:rPr>
              <w:t xml:space="preserve">Related variety research to business and business to business cooperation; the last three years Dioscurides Co established an exclusive cooperation with Attiki-Pittas S.A. for “DioFarm” use, a 100% natural premix of bee feed additives, to - Improve the natural immunity of the bee colony –to decrease infestation caused by Nosema and to-Increase the honey production (up to 20%).  </w:t>
            </w:r>
          </w:p>
          <w:p w14:paraId="7823FDCF" w14:textId="77777777" w:rsidR="00A723FC" w:rsidRDefault="00A723FC" w:rsidP="003B6C3E">
            <w:pPr>
              <w:pStyle w:val="a-I-EUBodytextsingle"/>
              <w:rPr>
                <w:lang w:eastAsia="fi-FI"/>
              </w:rPr>
            </w:pPr>
          </w:p>
          <w:p w14:paraId="17CCE171" w14:textId="14F67AB0" w:rsidR="00A723FC" w:rsidRDefault="00A723FC" w:rsidP="003B6C3E">
            <w:pPr>
              <w:pStyle w:val="a-I-EUBodytextsingle"/>
              <w:rPr>
                <w:lang w:eastAsia="fi-FI"/>
              </w:rPr>
            </w:pPr>
            <w:r>
              <w:rPr>
                <w:lang w:eastAsia="fi-FI"/>
              </w:rPr>
              <w:t>GP theme 2</w:t>
            </w:r>
          </w:p>
          <w:p w14:paraId="4ECD81CF" w14:textId="3CF9D42A" w:rsidR="00EE2822" w:rsidRDefault="00EE2822" w:rsidP="003B6C3E">
            <w:pPr>
              <w:pStyle w:val="a-I-EUBodytextsingle"/>
              <w:rPr>
                <w:lang w:eastAsia="fi-FI"/>
              </w:rPr>
            </w:pPr>
          </w:p>
          <w:p w14:paraId="574D33A9" w14:textId="38D0E6F7" w:rsidR="00EE2822" w:rsidRDefault="00EE2822" w:rsidP="003B6C3E">
            <w:pPr>
              <w:pStyle w:val="a-I-EUBodytextsingle"/>
              <w:rPr>
                <w:rFonts w:eastAsia="Times New Roman" w:cs="Tahoma"/>
                <w:color w:val="021B2B"/>
                <w:szCs w:val="16"/>
                <w:lang w:eastAsia="fi-FI"/>
              </w:rPr>
            </w:pPr>
            <w:r>
              <w:rPr>
                <w:rFonts w:eastAsia="Times New Roman" w:cs="Tahoma"/>
                <w:color w:val="021B2B"/>
                <w:szCs w:val="16"/>
                <w:lang w:eastAsia="fi-FI"/>
              </w:rPr>
              <w:t xml:space="preserve">Transferability: </w:t>
            </w:r>
            <w:r w:rsidRPr="00E14342">
              <w:t>The project reveals regional strengths in both the research and business sectors and the potential for real state of play innovation</w:t>
            </w:r>
            <w:r>
              <w:t>.</w:t>
            </w:r>
          </w:p>
          <w:p w14:paraId="29F16D9D" w14:textId="77777777" w:rsidR="00A723FC" w:rsidRPr="00E14342" w:rsidRDefault="00A723FC" w:rsidP="003B6C3E">
            <w:pPr>
              <w:pStyle w:val="a-I-EUBodytextsingle"/>
              <w:rPr>
                <w:rFonts w:eastAsia="Times New Roman" w:cs="Tahoma"/>
                <w:color w:val="021B2B"/>
                <w:szCs w:val="16"/>
                <w:lang w:eastAsia="fi-FI"/>
              </w:rPr>
            </w:pPr>
            <w:r>
              <w:rPr>
                <w:rFonts w:eastAsia="Times New Roman" w:cs="Tahoma"/>
                <w:color w:val="021B2B"/>
                <w:szCs w:val="16"/>
                <w:lang w:eastAsia="fi-FI"/>
              </w:rPr>
              <w:t xml:space="preserve">Available in the PLP: </w:t>
            </w:r>
            <w:r w:rsidRPr="00620104">
              <w:rPr>
                <w:rStyle w:val="Hyperlink"/>
                <w:lang w:eastAsia="fi-FI"/>
              </w:rPr>
              <w:t>https://www.interregeurope.eu/policylearning/good-practices/item/273/diofarm-promixture-of-feed-additives-r2b-b2b-collaboration-between-dioscurides-and-greek-honey/</w:t>
            </w:r>
          </w:p>
        </w:tc>
      </w:tr>
      <w:tr w:rsidR="00A723FC" w:rsidRPr="00762F33" w14:paraId="493AAA06" w14:textId="77777777" w:rsidTr="00F5402A">
        <w:tc>
          <w:tcPr>
            <w:tcW w:w="1096" w:type="pct"/>
          </w:tcPr>
          <w:p w14:paraId="5C4DFC50" w14:textId="77777777" w:rsidR="00A723FC" w:rsidRPr="008C0BE5" w:rsidRDefault="00A723FC" w:rsidP="003B6C3E">
            <w:pPr>
              <w:pStyle w:val="a-I-EUBodytextsingle"/>
              <w:rPr>
                <w:lang w:eastAsia="fi-FI"/>
              </w:rPr>
            </w:pPr>
            <w:r>
              <w:rPr>
                <w:lang w:eastAsia="fi-FI"/>
              </w:rPr>
              <w:t>IntoA! Lean Business</w:t>
            </w:r>
          </w:p>
        </w:tc>
        <w:tc>
          <w:tcPr>
            <w:tcW w:w="645" w:type="pct"/>
          </w:tcPr>
          <w:p w14:paraId="36D5775C" w14:textId="77777777" w:rsidR="00A723FC" w:rsidRPr="008C0BE5" w:rsidRDefault="00A723FC" w:rsidP="003B6C3E">
            <w:pPr>
              <w:pStyle w:val="a-I-EUBodytextsingle"/>
              <w:jc w:val="center"/>
              <w:rPr>
                <w:lang w:eastAsia="fi-FI"/>
              </w:rPr>
            </w:pPr>
            <w:r>
              <w:rPr>
                <w:lang w:eastAsia="fi-FI"/>
              </w:rPr>
              <w:t>1</w:t>
            </w:r>
          </w:p>
        </w:tc>
        <w:tc>
          <w:tcPr>
            <w:tcW w:w="3259" w:type="pct"/>
          </w:tcPr>
          <w:p w14:paraId="3650C649" w14:textId="77777777" w:rsidR="00A723FC" w:rsidRDefault="00A723FC" w:rsidP="003B6C3E">
            <w:pPr>
              <w:pStyle w:val="a-I-EUBodytextsingle"/>
              <w:rPr>
                <w:color w:val="4584D3"/>
                <w:lang w:eastAsia="fi-FI"/>
              </w:rPr>
            </w:pPr>
            <w:r>
              <w:rPr>
                <w:lang w:eastAsia="fi-FI"/>
              </w:rPr>
              <w:t>Business Finland (</w:t>
            </w:r>
            <w:r w:rsidRPr="00E14342">
              <w:rPr>
                <w:lang w:eastAsia="fi-FI"/>
              </w:rPr>
              <w:t>TEKES</w:t>
            </w:r>
            <w:r>
              <w:rPr>
                <w:lang w:eastAsia="fi-FI"/>
              </w:rPr>
              <w:t>)</w:t>
            </w:r>
            <w:r w:rsidRPr="00E14342">
              <w:rPr>
                <w:lang w:eastAsia="fi-FI"/>
              </w:rPr>
              <w:t xml:space="preserve">- funded project in the Business Department of the University of Turku, aiming at identifying cooperation’s and possible spin offs between medium &amp; large businesses and knowledge intensive start-ups. Ultimately the project aim is twofold: to populate the regional business ecosystem and to propose &amp; productise a method proactively linking university research (early innovations especially) to medium and large corporations that have the resources to invest in them. </w:t>
            </w:r>
            <w:r w:rsidRPr="00E14342">
              <w:rPr>
                <w:color w:val="4584D3"/>
                <w:lang w:eastAsia="fi-FI"/>
              </w:rPr>
              <w:t>The GP was identified in the Interreg Europe project ecoRIS3.</w:t>
            </w:r>
          </w:p>
          <w:p w14:paraId="53D3AB65" w14:textId="77777777" w:rsidR="00A723FC" w:rsidRDefault="00A723FC" w:rsidP="003B6C3E">
            <w:pPr>
              <w:pStyle w:val="a-I-EUBodytextsingle"/>
              <w:rPr>
                <w:lang w:eastAsia="fi-FI"/>
              </w:rPr>
            </w:pPr>
          </w:p>
          <w:p w14:paraId="2E9CA15C" w14:textId="77777777" w:rsidR="00A723FC" w:rsidRDefault="00A723FC" w:rsidP="003B6C3E">
            <w:pPr>
              <w:pStyle w:val="a-I-EUBodytextsingle"/>
              <w:rPr>
                <w:lang w:eastAsia="fi-FI"/>
              </w:rPr>
            </w:pPr>
            <w:r w:rsidRPr="00966234">
              <w:rPr>
                <w:lang w:eastAsia="fi-FI"/>
              </w:rPr>
              <w:t>GP theme 2 / GP theme 3</w:t>
            </w:r>
          </w:p>
          <w:p w14:paraId="42A53DD3" w14:textId="77777777" w:rsidR="00EE2822" w:rsidRDefault="00EE2822" w:rsidP="003B6C3E">
            <w:pPr>
              <w:pStyle w:val="a-I-EUBodytextsingle"/>
              <w:rPr>
                <w:lang w:eastAsia="fi-FI"/>
              </w:rPr>
            </w:pPr>
          </w:p>
          <w:p w14:paraId="7A632977" w14:textId="24C073F0" w:rsidR="00EE2822" w:rsidRPr="00E14342" w:rsidRDefault="00EE2822" w:rsidP="003B6C3E">
            <w:pPr>
              <w:pStyle w:val="a-I-EUBodytextsingle"/>
              <w:rPr>
                <w:lang w:eastAsia="fi-FI"/>
              </w:rPr>
            </w:pPr>
            <w:r>
              <w:rPr>
                <w:lang w:eastAsia="fi-FI"/>
              </w:rPr>
              <w:t xml:space="preserve">Transferability: </w:t>
            </w:r>
            <w:r w:rsidRPr="00EE2822">
              <w:rPr>
                <w:lang w:eastAsia="fi-FI"/>
              </w:rPr>
              <w:t>The GP is contributing to an important issue of the regional innovation chain, namely the patterns of collaboration between medium and large businesses with knowledge intensive start-ups. In spite of the fact that the method is not fully productised yet, it has transferable characteristics in terms of 1) the activation of the larger businesses, and the 2) research teams that explore innovations as potential spin offs relevant to the larger businesses industries.</w:t>
            </w:r>
          </w:p>
        </w:tc>
      </w:tr>
      <w:tr w:rsidR="00A723FC" w:rsidRPr="00762F33" w14:paraId="0EF40B43" w14:textId="77777777" w:rsidTr="00F5402A">
        <w:tc>
          <w:tcPr>
            <w:tcW w:w="1096" w:type="pct"/>
          </w:tcPr>
          <w:p w14:paraId="6A998251" w14:textId="77777777" w:rsidR="00A723FC" w:rsidRPr="008C0BE5" w:rsidRDefault="00A723FC" w:rsidP="003B6C3E">
            <w:pPr>
              <w:pStyle w:val="a-I-EUBodytextsingle"/>
              <w:rPr>
                <w:color w:val="021B2B"/>
                <w:lang w:eastAsia="fi-FI"/>
              </w:rPr>
            </w:pPr>
            <w:r w:rsidRPr="00E14342">
              <w:rPr>
                <w:lang w:eastAsia="fi-FI"/>
              </w:rPr>
              <w:t>Hellenic Photonics Cluster with applications in agro food sector</w:t>
            </w:r>
          </w:p>
        </w:tc>
        <w:tc>
          <w:tcPr>
            <w:tcW w:w="645" w:type="pct"/>
          </w:tcPr>
          <w:p w14:paraId="1E294AF9" w14:textId="77777777" w:rsidR="00A723FC" w:rsidRPr="008C0BE5" w:rsidRDefault="00A723FC" w:rsidP="003B6C3E">
            <w:pPr>
              <w:pStyle w:val="a-I-EUBodytextsingle"/>
              <w:jc w:val="center"/>
              <w:rPr>
                <w:lang w:eastAsia="fi-FI"/>
              </w:rPr>
            </w:pPr>
            <w:r>
              <w:rPr>
                <w:lang w:eastAsia="fi-FI"/>
              </w:rPr>
              <w:t>9</w:t>
            </w:r>
          </w:p>
        </w:tc>
        <w:tc>
          <w:tcPr>
            <w:tcW w:w="3259" w:type="pct"/>
          </w:tcPr>
          <w:p w14:paraId="312DFB5D" w14:textId="77777777" w:rsidR="00A723FC" w:rsidRDefault="00A723FC" w:rsidP="003B6C3E">
            <w:pPr>
              <w:pStyle w:val="a-I-EUBodytextsingle"/>
              <w:rPr>
                <w:lang w:eastAsia="fi-FI"/>
              </w:rPr>
            </w:pPr>
            <w:r w:rsidRPr="00E14342">
              <w:rPr>
                <w:lang w:eastAsia="fi-FI"/>
              </w:rPr>
              <w:t>The photonics good practise proves that advanced technologies such as photonics can provide valuable solutions that re-shape the markets to sectors considered of low technology such as food production, creating products of high added value and differentiating the markets companies address to with their products. The involvement of businesses in the application schemes is encouraging as it promises sustainability.</w:t>
            </w:r>
          </w:p>
          <w:p w14:paraId="4C10EE82" w14:textId="6EBCC74A" w:rsidR="00A723FC" w:rsidRDefault="00A723FC" w:rsidP="003B6C3E">
            <w:pPr>
              <w:pStyle w:val="a-I-EUBodytextsingle"/>
              <w:rPr>
                <w:lang w:eastAsia="fi-FI"/>
              </w:rPr>
            </w:pPr>
            <w:r>
              <w:rPr>
                <w:lang w:eastAsia="fi-FI"/>
              </w:rPr>
              <w:t>GP theme 2/ GP theme 3</w:t>
            </w:r>
          </w:p>
          <w:p w14:paraId="5B365918" w14:textId="0B5AE834" w:rsidR="00EE2822" w:rsidRDefault="00EE2822" w:rsidP="003B6C3E">
            <w:pPr>
              <w:pStyle w:val="a-I-EUBodytextsingle"/>
              <w:rPr>
                <w:lang w:eastAsia="fi-FI"/>
              </w:rPr>
            </w:pPr>
            <w:r>
              <w:rPr>
                <w:lang w:eastAsia="fi-FI"/>
              </w:rPr>
              <w:t xml:space="preserve">Transferability: </w:t>
            </w:r>
            <w:r w:rsidRPr="00EE2822">
              <w:rPr>
                <w:lang w:eastAsia="fi-FI"/>
              </w:rPr>
              <w:t>Very relevant, the unique GP that address explicitly KET applications.</w:t>
            </w:r>
          </w:p>
          <w:p w14:paraId="409AD542" w14:textId="77777777" w:rsidR="00A723FC" w:rsidRPr="00E14342" w:rsidRDefault="00A723FC" w:rsidP="003B6C3E">
            <w:pPr>
              <w:pStyle w:val="a-I-EUBodytextsingle"/>
              <w:rPr>
                <w:color w:val="021B2B"/>
                <w:lang w:eastAsia="fi-FI"/>
              </w:rPr>
            </w:pPr>
            <w:r w:rsidRPr="00620104">
              <w:rPr>
                <w:lang w:eastAsia="fi-FI"/>
              </w:rPr>
              <w:t>Under evaluation in the PLP.</w:t>
            </w:r>
          </w:p>
        </w:tc>
      </w:tr>
      <w:tr w:rsidR="00A723FC" w:rsidRPr="00762F33" w14:paraId="6ED7531C" w14:textId="77777777" w:rsidTr="00F5402A">
        <w:tc>
          <w:tcPr>
            <w:tcW w:w="1096" w:type="pct"/>
          </w:tcPr>
          <w:p w14:paraId="4360CB5A" w14:textId="77777777" w:rsidR="00A723FC" w:rsidRPr="00853F28" w:rsidRDefault="00A723FC" w:rsidP="003B6C3E">
            <w:pPr>
              <w:pStyle w:val="a-I-EUBodytextsingle"/>
              <w:rPr>
                <w:lang w:eastAsia="fi-FI"/>
              </w:rPr>
            </w:pPr>
            <w:r w:rsidRPr="00853F28">
              <w:rPr>
                <w:lang w:eastAsia="fi-FI"/>
              </w:rPr>
              <w:t>AUTODIAGNOSTIC TOOL FOR AGRO-SMEs</w:t>
            </w:r>
          </w:p>
          <w:p w14:paraId="73661681" w14:textId="77777777" w:rsidR="00A723FC" w:rsidRPr="008C0BE5" w:rsidRDefault="00A723FC" w:rsidP="003B6C3E">
            <w:pPr>
              <w:pStyle w:val="a-I-EUBodytextsingle"/>
              <w:rPr>
                <w:lang w:eastAsia="fi-FI"/>
              </w:rPr>
            </w:pPr>
          </w:p>
        </w:tc>
        <w:tc>
          <w:tcPr>
            <w:tcW w:w="645" w:type="pct"/>
          </w:tcPr>
          <w:p w14:paraId="2E7A58C3" w14:textId="77777777" w:rsidR="00A723FC" w:rsidRPr="008C0BE5" w:rsidRDefault="00A723FC" w:rsidP="003B6C3E">
            <w:pPr>
              <w:pStyle w:val="a-I-EUBodytextsingle"/>
              <w:jc w:val="center"/>
              <w:rPr>
                <w:lang w:eastAsia="fi-FI"/>
              </w:rPr>
            </w:pPr>
            <w:r>
              <w:rPr>
                <w:lang w:eastAsia="fi-FI"/>
              </w:rPr>
              <w:t>9</w:t>
            </w:r>
          </w:p>
        </w:tc>
        <w:tc>
          <w:tcPr>
            <w:tcW w:w="3259" w:type="pct"/>
          </w:tcPr>
          <w:p w14:paraId="26ABFB18" w14:textId="77777777" w:rsidR="00A723FC" w:rsidRDefault="00A723FC" w:rsidP="003B6C3E">
            <w:pPr>
              <w:pStyle w:val="a-I-EUBodytextsingle"/>
              <w:rPr>
                <w:lang w:eastAsia="fi-FI"/>
              </w:rPr>
            </w:pPr>
            <w:r w:rsidRPr="00E14342">
              <w:rPr>
                <w:lang w:eastAsia="fi-FI"/>
              </w:rPr>
              <w:t xml:space="preserve">The creation of an application to assess the technology and innovation readiness of agro food enterprises, came as an answer to the need for incorporating innovative schemes to the agricultural production in South-East Europe (SEE). Studies in many European regions showed that one of the reasons for slow innovation development by regional businesses is the overestimation of their capacity to absorb new technologies, methods and technics and their readiness status to exploit all available resources and innovate. Therefore, a good practice that allows a reliable assessment of innovation capabilities of regional businesses is very useful for the redesign, alignment and optimization of all relevant policies and activities related to RIS3 and beyond. </w:t>
            </w:r>
          </w:p>
          <w:p w14:paraId="2ECCA1C9" w14:textId="77777777" w:rsidR="00A723FC" w:rsidRDefault="00A723FC" w:rsidP="003B6C3E">
            <w:pPr>
              <w:pStyle w:val="a-I-EUBodytextsingle"/>
              <w:rPr>
                <w:lang w:eastAsia="fi-FI"/>
              </w:rPr>
            </w:pPr>
          </w:p>
          <w:p w14:paraId="7B675C3B" w14:textId="1B563547" w:rsidR="00A723FC" w:rsidRDefault="00A723FC" w:rsidP="003B6C3E">
            <w:pPr>
              <w:pStyle w:val="a-I-EUBodytextsingle"/>
              <w:rPr>
                <w:lang w:eastAsia="fi-FI"/>
              </w:rPr>
            </w:pPr>
            <w:r>
              <w:rPr>
                <w:lang w:eastAsia="fi-FI"/>
              </w:rPr>
              <w:t>GP theme 2</w:t>
            </w:r>
          </w:p>
          <w:p w14:paraId="554698A4" w14:textId="105AC018" w:rsidR="001B1C5F" w:rsidRDefault="001B1C5F" w:rsidP="003B6C3E">
            <w:pPr>
              <w:pStyle w:val="a-I-EUBodytextsingle"/>
              <w:rPr>
                <w:lang w:eastAsia="fi-FI"/>
              </w:rPr>
            </w:pPr>
          </w:p>
          <w:p w14:paraId="04881D82" w14:textId="2591925E" w:rsidR="001B1C5F" w:rsidRDefault="001B1C5F" w:rsidP="003B6C3E">
            <w:pPr>
              <w:pStyle w:val="a-I-EUBodytextsingle"/>
              <w:rPr>
                <w:lang w:eastAsia="fi-FI"/>
              </w:rPr>
            </w:pPr>
            <w:r>
              <w:rPr>
                <w:lang w:eastAsia="fi-FI"/>
              </w:rPr>
              <w:t xml:space="preserve">Transferability: </w:t>
            </w:r>
            <w:r w:rsidRPr="001B1C5F">
              <w:rPr>
                <w:lang w:eastAsia="fi-FI"/>
              </w:rPr>
              <w:t>Very relevant, One of the few GPs that address TRL issues explicitly, and also relevant to all less advanced BRIDGES regions that have strong agro – food industries in their RIS3.</w:t>
            </w:r>
          </w:p>
          <w:p w14:paraId="474A36D3" w14:textId="77777777" w:rsidR="00A723FC" w:rsidRDefault="00A723FC" w:rsidP="003B6C3E">
            <w:pPr>
              <w:pStyle w:val="a-I-EUBodytextsingle"/>
              <w:rPr>
                <w:lang w:eastAsia="fi-FI"/>
              </w:rPr>
            </w:pPr>
          </w:p>
          <w:p w14:paraId="05260C01" w14:textId="77777777" w:rsidR="00A723FC" w:rsidRPr="00620104" w:rsidRDefault="00A723FC" w:rsidP="003B6C3E">
            <w:pPr>
              <w:pStyle w:val="a-I-EUBodytextsingle"/>
              <w:rPr>
                <w:rStyle w:val="Hyperlink"/>
              </w:rPr>
            </w:pPr>
            <w:r w:rsidRPr="00620104">
              <w:rPr>
                <w:rFonts w:eastAsia="Times New Roman" w:cs="Tahoma"/>
                <w:szCs w:val="16"/>
                <w:lang w:eastAsia="fi-FI"/>
              </w:rPr>
              <w:t xml:space="preserve">Available in the PLP: </w:t>
            </w:r>
            <w:r w:rsidRPr="00620104">
              <w:rPr>
                <w:rStyle w:val="Hyperlink"/>
                <w:lang w:eastAsia="fi-FI"/>
              </w:rPr>
              <w:t>https://www.interregeurope.eu/policylearning/good-practices/item/157/autodiagnostic-tool-for-agro-smes/</w:t>
            </w:r>
          </w:p>
          <w:p w14:paraId="1FA7438E" w14:textId="77777777" w:rsidR="00A723FC" w:rsidRPr="00E14342" w:rsidRDefault="00A723FC" w:rsidP="003B6C3E">
            <w:pPr>
              <w:pStyle w:val="a-I-EUBodytextsingle"/>
              <w:rPr>
                <w:lang w:eastAsia="fi-FI"/>
              </w:rPr>
            </w:pPr>
          </w:p>
        </w:tc>
      </w:tr>
      <w:tr w:rsidR="00A723FC" w:rsidRPr="00762F33" w14:paraId="1D5771A9" w14:textId="77777777" w:rsidTr="00F5402A">
        <w:tc>
          <w:tcPr>
            <w:tcW w:w="1096" w:type="pct"/>
          </w:tcPr>
          <w:p w14:paraId="559C3FAC" w14:textId="77777777" w:rsidR="00A723FC" w:rsidRPr="008C0BE5" w:rsidRDefault="00A723FC" w:rsidP="003B6C3E">
            <w:pPr>
              <w:pStyle w:val="a-I-EUBodytextsingle"/>
              <w:rPr>
                <w:lang w:eastAsia="fi-FI"/>
              </w:rPr>
            </w:pPr>
            <w:r>
              <w:rPr>
                <w:lang w:eastAsia="fi-FI"/>
              </w:rPr>
              <w:lastRenderedPageBreak/>
              <w:t>Voucher for innovation</w:t>
            </w:r>
          </w:p>
        </w:tc>
        <w:tc>
          <w:tcPr>
            <w:tcW w:w="645" w:type="pct"/>
          </w:tcPr>
          <w:p w14:paraId="664395E7" w14:textId="77777777" w:rsidR="00A723FC" w:rsidRPr="008C0BE5" w:rsidRDefault="00A723FC" w:rsidP="003B6C3E">
            <w:pPr>
              <w:pStyle w:val="a-I-EUBodytextsingle"/>
              <w:jc w:val="center"/>
              <w:rPr>
                <w:lang w:eastAsia="fi-FI"/>
              </w:rPr>
            </w:pPr>
            <w:r>
              <w:rPr>
                <w:lang w:eastAsia="fi-FI"/>
              </w:rPr>
              <w:t>3</w:t>
            </w:r>
          </w:p>
        </w:tc>
        <w:tc>
          <w:tcPr>
            <w:tcW w:w="3259" w:type="pct"/>
          </w:tcPr>
          <w:p w14:paraId="49DAB8C0" w14:textId="77777777" w:rsidR="00A723FC" w:rsidRDefault="00A723FC" w:rsidP="003B6C3E">
            <w:pPr>
              <w:pStyle w:val="a-I-EUBodytextsingle"/>
              <w:rPr>
                <w:lang w:eastAsia="fi-FI"/>
              </w:rPr>
            </w:pPr>
            <w:r w:rsidRPr="00E14342">
              <w:rPr>
                <w:lang w:eastAsia="fi-FI"/>
              </w:rPr>
              <w:t>The aim of the voucher was to stimulate cooperation between business and science and to fund considerable part of costs related to R&amp;D activity conducted by the science sector for business.</w:t>
            </w:r>
          </w:p>
          <w:p w14:paraId="66EE84ED" w14:textId="77777777" w:rsidR="00A723FC" w:rsidRDefault="00A723FC" w:rsidP="003B6C3E">
            <w:pPr>
              <w:pStyle w:val="a-I-EUBodytextsingle"/>
              <w:rPr>
                <w:lang w:eastAsia="fi-FI"/>
              </w:rPr>
            </w:pPr>
          </w:p>
          <w:p w14:paraId="676E5681" w14:textId="77777777" w:rsidR="00A723FC" w:rsidRDefault="00A723FC" w:rsidP="003B6C3E">
            <w:pPr>
              <w:pStyle w:val="a-I-EUBodytextsingle"/>
              <w:rPr>
                <w:lang w:eastAsia="fi-FI"/>
              </w:rPr>
            </w:pPr>
            <w:r>
              <w:rPr>
                <w:lang w:eastAsia="fi-FI"/>
              </w:rPr>
              <w:t>GP theme 2</w:t>
            </w:r>
          </w:p>
          <w:p w14:paraId="0EF98DF9" w14:textId="77777777" w:rsidR="00A723FC" w:rsidRDefault="00A723FC" w:rsidP="003B6C3E">
            <w:pPr>
              <w:pStyle w:val="a-I-EUBodytextsingle"/>
              <w:rPr>
                <w:lang w:eastAsia="fi-FI"/>
              </w:rPr>
            </w:pPr>
          </w:p>
          <w:p w14:paraId="16C84DA5" w14:textId="77777777" w:rsidR="00A723FC" w:rsidRPr="00E14342" w:rsidRDefault="00A723FC" w:rsidP="003B6C3E">
            <w:pPr>
              <w:pStyle w:val="a-I-EUBodytextsingle"/>
              <w:rPr>
                <w:rFonts w:eastAsia="Times New Roman" w:cs="Tahoma"/>
                <w:color w:val="021B2B"/>
                <w:szCs w:val="16"/>
                <w:lang w:eastAsia="fi-FI"/>
              </w:rPr>
            </w:pPr>
            <w:r w:rsidRPr="00620104">
              <w:rPr>
                <w:rFonts w:eastAsia="Times New Roman" w:cs="Tahoma"/>
                <w:szCs w:val="16"/>
                <w:lang w:eastAsia="fi-FI"/>
              </w:rPr>
              <w:t xml:space="preserve">Available in the PLP: </w:t>
            </w:r>
            <w:r w:rsidRPr="00620104">
              <w:rPr>
                <w:rStyle w:val="Hyperlink"/>
                <w:lang w:eastAsia="fi-FI"/>
              </w:rPr>
              <w:t>https://www.interregeurope.eu/policylearning/good-practices/item/173/voucher-for-innovation/</w:t>
            </w:r>
          </w:p>
        </w:tc>
      </w:tr>
      <w:tr w:rsidR="00A723FC" w:rsidRPr="00762F33" w14:paraId="770E1B63" w14:textId="77777777" w:rsidTr="00F5402A">
        <w:tc>
          <w:tcPr>
            <w:tcW w:w="1096" w:type="pct"/>
          </w:tcPr>
          <w:p w14:paraId="3EB01525" w14:textId="77777777" w:rsidR="00A723FC" w:rsidRPr="008C0BE5" w:rsidRDefault="00A723FC" w:rsidP="003B6C3E">
            <w:pPr>
              <w:pStyle w:val="a-I-EUBodytextsingle"/>
              <w:rPr>
                <w:color w:val="021B2B"/>
                <w:lang w:eastAsia="fi-FI"/>
              </w:rPr>
            </w:pPr>
            <w:r w:rsidRPr="00E14342">
              <w:rPr>
                <w:lang w:eastAsia="fi-FI"/>
              </w:rPr>
              <w:t>CENTROPE _tt innovation voucher</w:t>
            </w:r>
          </w:p>
        </w:tc>
        <w:tc>
          <w:tcPr>
            <w:tcW w:w="645" w:type="pct"/>
          </w:tcPr>
          <w:p w14:paraId="0428017D" w14:textId="77777777" w:rsidR="00A723FC" w:rsidRPr="008C0BE5" w:rsidRDefault="00A723FC" w:rsidP="003B6C3E">
            <w:pPr>
              <w:pStyle w:val="a-I-EUBodytextsingle"/>
              <w:jc w:val="center"/>
              <w:rPr>
                <w:lang w:eastAsia="fi-FI"/>
              </w:rPr>
            </w:pPr>
            <w:r>
              <w:rPr>
                <w:lang w:eastAsia="fi-FI"/>
              </w:rPr>
              <w:t>7</w:t>
            </w:r>
          </w:p>
        </w:tc>
        <w:tc>
          <w:tcPr>
            <w:tcW w:w="3259" w:type="pct"/>
          </w:tcPr>
          <w:p w14:paraId="0DCDD21C" w14:textId="77777777" w:rsidR="00A723FC" w:rsidRDefault="00A723FC" w:rsidP="003B6C3E">
            <w:pPr>
              <w:pStyle w:val="a-I-EUBodytextsingle"/>
              <w:rPr>
                <w:lang w:eastAsia="fi-FI"/>
              </w:rPr>
            </w:pPr>
            <w:r w:rsidRPr="00E14342">
              <w:rPr>
                <w:lang w:eastAsia="fi-FI"/>
              </w:rPr>
              <w:t>The aim of the Centrope Innovation Scheme was to set up an international community of service providers for technology transfer and innovation. Acting as an agent for innovative businesses, the Centrope_tt scheme facilitated knowledge exchange and cooperation between businesses in the Central European region and expert R&amp;D institutions from across the four regions from Hungary, Austria, Slovakia and the Czech Republic.</w:t>
            </w:r>
          </w:p>
          <w:p w14:paraId="2C022A67" w14:textId="77777777" w:rsidR="00A723FC" w:rsidRDefault="00A723FC" w:rsidP="003B6C3E">
            <w:pPr>
              <w:pStyle w:val="a-I-EUBodytextsingle"/>
              <w:rPr>
                <w:lang w:eastAsia="fi-FI"/>
              </w:rPr>
            </w:pPr>
          </w:p>
          <w:p w14:paraId="6A218E07" w14:textId="55B9BC8A" w:rsidR="00A723FC" w:rsidRDefault="00A723FC" w:rsidP="003B6C3E">
            <w:pPr>
              <w:pStyle w:val="a-I-EUBodytextsingle"/>
              <w:rPr>
                <w:lang w:eastAsia="fi-FI"/>
              </w:rPr>
            </w:pPr>
            <w:r>
              <w:rPr>
                <w:lang w:eastAsia="fi-FI"/>
              </w:rPr>
              <w:t>GP theme 2 / GP theme 3</w:t>
            </w:r>
          </w:p>
          <w:p w14:paraId="5182D40C" w14:textId="230DA900" w:rsidR="00D6600E" w:rsidRDefault="00D6600E" w:rsidP="003B6C3E">
            <w:pPr>
              <w:pStyle w:val="a-I-EUBodytextsingle"/>
              <w:rPr>
                <w:lang w:eastAsia="fi-FI"/>
              </w:rPr>
            </w:pPr>
          </w:p>
          <w:p w14:paraId="08DD37AB" w14:textId="77777777" w:rsidR="00D6600E" w:rsidRDefault="00D6600E" w:rsidP="003B6C3E">
            <w:pPr>
              <w:pStyle w:val="a-I-EUBodytextsingle"/>
              <w:rPr>
                <w:lang w:eastAsia="fi-FI"/>
              </w:rPr>
            </w:pPr>
            <w:r>
              <w:rPr>
                <w:lang w:eastAsia="fi-FI"/>
              </w:rPr>
              <w:t xml:space="preserve">Transferability: </w:t>
            </w:r>
          </w:p>
          <w:p w14:paraId="5E193A44" w14:textId="77777777" w:rsidR="00D6600E" w:rsidRDefault="00D6600E" w:rsidP="003B6C3E">
            <w:pPr>
              <w:pStyle w:val="a-I-EUBodytextsingle"/>
              <w:rPr>
                <w:lang w:eastAsia="fi-FI"/>
              </w:rPr>
            </w:pPr>
          </w:p>
          <w:p w14:paraId="0E65EBA7" w14:textId="77777777" w:rsidR="00A723FC" w:rsidRPr="00E14342" w:rsidRDefault="00A723FC" w:rsidP="003B6C3E">
            <w:pPr>
              <w:pStyle w:val="a-I-EUBodytextsingle"/>
              <w:rPr>
                <w:rFonts w:eastAsia="Times New Roman" w:cs="Tahoma"/>
                <w:color w:val="021B2B"/>
                <w:szCs w:val="16"/>
                <w:lang w:eastAsia="fi-FI"/>
              </w:rPr>
            </w:pPr>
            <w:r w:rsidRPr="00620104">
              <w:rPr>
                <w:rFonts w:eastAsia="Times New Roman" w:cs="Tahoma"/>
                <w:szCs w:val="16"/>
                <w:lang w:eastAsia="fi-FI"/>
              </w:rPr>
              <w:t xml:space="preserve">Available in the PLP: </w:t>
            </w:r>
            <w:r w:rsidRPr="00620104">
              <w:rPr>
                <w:rStyle w:val="Hyperlink"/>
                <w:lang w:eastAsia="fi-FI"/>
              </w:rPr>
              <w:t>https://www.interregeurope.eu/policylearning/good-practices/item/11/centrope-innovation-voucher/</w:t>
            </w:r>
          </w:p>
        </w:tc>
      </w:tr>
      <w:tr w:rsidR="00A723FC" w:rsidRPr="00762F33" w14:paraId="5B49D4A9" w14:textId="77777777" w:rsidTr="00F5402A">
        <w:tc>
          <w:tcPr>
            <w:tcW w:w="1096" w:type="pct"/>
          </w:tcPr>
          <w:p w14:paraId="205204A6" w14:textId="77777777" w:rsidR="00A723FC" w:rsidRPr="00FF2888" w:rsidRDefault="00A723FC" w:rsidP="003B6C3E">
            <w:pPr>
              <w:pStyle w:val="a-I-EUBodytextsingle"/>
              <w:rPr>
                <w:lang w:eastAsia="fi-FI"/>
              </w:rPr>
            </w:pPr>
            <w:r w:rsidRPr="00FF2888">
              <w:rPr>
                <w:lang w:eastAsia="fi-FI"/>
              </w:rPr>
              <w:t>Innocsekk Plusz 2008 innovation voucher</w:t>
            </w:r>
          </w:p>
          <w:p w14:paraId="0589077C" w14:textId="77777777" w:rsidR="00A723FC" w:rsidRPr="00FF2888" w:rsidRDefault="00A723FC" w:rsidP="003B6C3E">
            <w:pPr>
              <w:pStyle w:val="a-I-EUBodytextsingle"/>
              <w:rPr>
                <w:lang w:eastAsia="fi-FI"/>
              </w:rPr>
            </w:pPr>
          </w:p>
          <w:p w14:paraId="74F0D5D8" w14:textId="77777777" w:rsidR="00A723FC" w:rsidRPr="008C0BE5" w:rsidRDefault="00A723FC" w:rsidP="003B6C3E">
            <w:pPr>
              <w:pStyle w:val="a-I-EUBodytextsingle"/>
              <w:rPr>
                <w:lang w:eastAsia="fi-FI"/>
              </w:rPr>
            </w:pPr>
          </w:p>
        </w:tc>
        <w:tc>
          <w:tcPr>
            <w:tcW w:w="645" w:type="pct"/>
          </w:tcPr>
          <w:p w14:paraId="5648A957" w14:textId="77777777" w:rsidR="00A723FC" w:rsidRPr="008C0BE5" w:rsidRDefault="00A723FC" w:rsidP="003B6C3E">
            <w:pPr>
              <w:pStyle w:val="a-I-EUBodytextsingle"/>
              <w:jc w:val="center"/>
              <w:rPr>
                <w:lang w:eastAsia="fi-FI"/>
              </w:rPr>
            </w:pPr>
            <w:r>
              <w:rPr>
                <w:lang w:eastAsia="fi-FI"/>
              </w:rPr>
              <w:t>7</w:t>
            </w:r>
          </w:p>
        </w:tc>
        <w:tc>
          <w:tcPr>
            <w:tcW w:w="3259" w:type="pct"/>
          </w:tcPr>
          <w:p w14:paraId="3C9561C5" w14:textId="77777777" w:rsidR="00A723FC" w:rsidRDefault="00A723FC" w:rsidP="003B6C3E">
            <w:pPr>
              <w:pStyle w:val="a-I-EUBodytextsingle"/>
              <w:rPr>
                <w:lang w:eastAsia="fi-FI"/>
              </w:rPr>
            </w:pPr>
            <w:r w:rsidRPr="00E14342">
              <w:rPr>
                <w:lang w:eastAsia="fi-FI"/>
              </w:rPr>
              <w:t>The GP is a voucher system that supports the innovation activities of the Hungarian SMEs, to enhance the demand side of the innovation services and the development of the regions competitiveness and economy based on innovation and R&amp;D.</w:t>
            </w:r>
          </w:p>
          <w:p w14:paraId="49D4A360" w14:textId="77777777" w:rsidR="00A723FC" w:rsidRDefault="00A723FC" w:rsidP="003B6C3E">
            <w:pPr>
              <w:pStyle w:val="a-I-EUBodytextsingle"/>
              <w:rPr>
                <w:lang w:eastAsia="fi-FI"/>
              </w:rPr>
            </w:pPr>
          </w:p>
          <w:p w14:paraId="7D8C676C" w14:textId="38E65183" w:rsidR="00A723FC" w:rsidRDefault="00A723FC" w:rsidP="003B6C3E">
            <w:pPr>
              <w:pStyle w:val="a-I-EUBodytextsingle"/>
              <w:rPr>
                <w:lang w:eastAsia="fi-FI"/>
              </w:rPr>
            </w:pPr>
            <w:r>
              <w:rPr>
                <w:lang w:eastAsia="fi-FI"/>
              </w:rPr>
              <w:t>GP theme 2</w:t>
            </w:r>
          </w:p>
          <w:p w14:paraId="76D1D8B1" w14:textId="6B72F0CA" w:rsidR="00D6600E" w:rsidRDefault="00D6600E" w:rsidP="003B6C3E">
            <w:pPr>
              <w:pStyle w:val="a-I-EUBodytextsingle"/>
              <w:rPr>
                <w:lang w:eastAsia="fi-FI"/>
              </w:rPr>
            </w:pPr>
          </w:p>
          <w:p w14:paraId="338C6434" w14:textId="2BF94756" w:rsidR="00D6600E" w:rsidRDefault="00D6600E" w:rsidP="003B6C3E">
            <w:pPr>
              <w:pStyle w:val="a-I-EUBodytextsingle"/>
              <w:rPr>
                <w:lang w:eastAsia="fi-FI"/>
              </w:rPr>
            </w:pPr>
            <w:r>
              <w:rPr>
                <w:lang w:eastAsia="fi-FI"/>
              </w:rPr>
              <w:t xml:space="preserve">Transferability: </w:t>
            </w:r>
          </w:p>
          <w:p w14:paraId="0E689A5D" w14:textId="77777777" w:rsidR="00A723FC" w:rsidRDefault="00A723FC" w:rsidP="003B6C3E">
            <w:pPr>
              <w:pStyle w:val="a-I-EUBodytextsingle"/>
              <w:rPr>
                <w:lang w:eastAsia="fi-FI"/>
              </w:rPr>
            </w:pPr>
          </w:p>
          <w:p w14:paraId="5DF6ACA3" w14:textId="77777777" w:rsidR="00A723FC" w:rsidRPr="00E14342" w:rsidRDefault="00A723FC" w:rsidP="003B6C3E">
            <w:pPr>
              <w:pStyle w:val="a-I-EUBodytextsingle"/>
              <w:rPr>
                <w:rFonts w:eastAsia="Times New Roman" w:cs="Tahoma"/>
                <w:color w:val="021B2B"/>
                <w:szCs w:val="16"/>
                <w:lang w:eastAsia="fi-FI"/>
              </w:rPr>
            </w:pPr>
            <w:r>
              <w:rPr>
                <w:rFonts w:eastAsia="Times New Roman" w:cs="Tahoma"/>
                <w:color w:val="021B2B"/>
                <w:szCs w:val="16"/>
                <w:lang w:eastAsia="fi-FI"/>
              </w:rPr>
              <w:t xml:space="preserve">Available in the PLP: </w:t>
            </w:r>
            <w:r w:rsidRPr="00620104">
              <w:rPr>
                <w:rStyle w:val="Hyperlink"/>
                <w:lang w:eastAsia="fi-FI"/>
              </w:rPr>
              <w:t>https://www.interregeurope.eu/policylearning/good-practices/item/170/innocsekk-plusz-2008-innovation-voucher/</w:t>
            </w:r>
          </w:p>
        </w:tc>
      </w:tr>
      <w:tr w:rsidR="00A723FC" w:rsidRPr="00762F33" w14:paraId="1B920A54" w14:textId="77777777" w:rsidTr="00F5402A">
        <w:tc>
          <w:tcPr>
            <w:tcW w:w="1096" w:type="pct"/>
          </w:tcPr>
          <w:p w14:paraId="3A70435E" w14:textId="77777777" w:rsidR="00A723FC" w:rsidRPr="00FF2888" w:rsidRDefault="00A723FC" w:rsidP="003B6C3E">
            <w:pPr>
              <w:pStyle w:val="a-I-EUBodytextsingle"/>
              <w:rPr>
                <w:lang w:eastAsia="fi-FI"/>
              </w:rPr>
            </w:pPr>
            <w:r w:rsidRPr="00FF2888">
              <w:rPr>
                <w:lang w:eastAsia="fi-FI"/>
              </w:rPr>
              <w:t>Helsinki-Uusimaa Regional Council RIS3 coordination</w:t>
            </w:r>
          </w:p>
          <w:p w14:paraId="7FD53D2B" w14:textId="77777777" w:rsidR="00A723FC" w:rsidRPr="00FF2888" w:rsidRDefault="00A723FC" w:rsidP="003B6C3E">
            <w:pPr>
              <w:pStyle w:val="a-I-EUBodytextsingle"/>
              <w:rPr>
                <w:lang w:eastAsia="fi-FI"/>
              </w:rPr>
            </w:pPr>
          </w:p>
          <w:p w14:paraId="32989A86" w14:textId="77777777" w:rsidR="00A723FC" w:rsidRPr="00FF2888" w:rsidRDefault="00A723FC" w:rsidP="003B6C3E">
            <w:pPr>
              <w:pStyle w:val="a-I-EUBodytextsingle"/>
              <w:rPr>
                <w:lang w:eastAsia="fi-FI"/>
              </w:rPr>
            </w:pPr>
          </w:p>
        </w:tc>
        <w:tc>
          <w:tcPr>
            <w:tcW w:w="645" w:type="pct"/>
          </w:tcPr>
          <w:p w14:paraId="236CE2EB" w14:textId="77777777" w:rsidR="00A723FC" w:rsidRDefault="00A723FC" w:rsidP="003B6C3E">
            <w:pPr>
              <w:pStyle w:val="a-I-EUBodytextsingle"/>
              <w:jc w:val="center"/>
              <w:rPr>
                <w:lang w:eastAsia="fi-FI"/>
              </w:rPr>
            </w:pPr>
            <w:r>
              <w:rPr>
                <w:lang w:eastAsia="fi-FI"/>
              </w:rPr>
              <w:t>4</w:t>
            </w:r>
          </w:p>
        </w:tc>
        <w:tc>
          <w:tcPr>
            <w:tcW w:w="3259" w:type="pct"/>
          </w:tcPr>
          <w:p w14:paraId="234A1BDA" w14:textId="77777777" w:rsidR="00A723FC" w:rsidRDefault="00A723FC" w:rsidP="003B6C3E">
            <w:pPr>
              <w:pStyle w:val="a-I-EUBodytextsingle"/>
              <w:rPr>
                <w:lang w:eastAsia="fi-FI"/>
              </w:rPr>
            </w:pPr>
            <w:r w:rsidRPr="00E14342">
              <w:rPr>
                <w:lang w:eastAsia="fi-FI"/>
              </w:rPr>
              <w:t>The GP presents the coordination model of RIS3 implementation developed by the Helsinki-Uusimaa Regional Council (HURC). It aims to double the innovation potential of regions through effective RIS3 delivery.  </w:t>
            </w:r>
          </w:p>
          <w:p w14:paraId="6D1B42CC" w14:textId="77777777" w:rsidR="00A723FC" w:rsidRDefault="00A723FC" w:rsidP="003B6C3E">
            <w:pPr>
              <w:pStyle w:val="a-I-EUBodytextsingle"/>
              <w:rPr>
                <w:lang w:eastAsia="fi-FI"/>
              </w:rPr>
            </w:pPr>
          </w:p>
          <w:p w14:paraId="49DE8CB0" w14:textId="77777777" w:rsidR="00A723FC" w:rsidRDefault="00A723FC" w:rsidP="003B6C3E">
            <w:pPr>
              <w:pStyle w:val="a-I-EUBodytextsingle"/>
              <w:rPr>
                <w:lang w:eastAsia="fi-FI"/>
              </w:rPr>
            </w:pPr>
            <w:r>
              <w:rPr>
                <w:lang w:eastAsia="fi-FI"/>
              </w:rPr>
              <w:t>GP theme 3</w:t>
            </w:r>
          </w:p>
          <w:p w14:paraId="79C80A16" w14:textId="43006363" w:rsidR="00A723FC" w:rsidRDefault="00A723FC" w:rsidP="003B6C3E">
            <w:pPr>
              <w:pStyle w:val="a-I-EUBodytextsingle"/>
              <w:rPr>
                <w:lang w:eastAsia="fi-FI"/>
              </w:rPr>
            </w:pPr>
          </w:p>
          <w:p w14:paraId="00F1A011" w14:textId="5D2F9E6B" w:rsidR="00FB6600" w:rsidRDefault="00FB6600" w:rsidP="003B6C3E">
            <w:pPr>
              <w:pStyle w:val="a-I-EUBodytextsingle"/>
            </w:pPr>
            <w:r>
              <w:rPr>
                <w:rFonts w:eastAsia="Times New Roman" w:cs="Tahoma"/>
                <w:color w:val="021B2B"/>
                <w:lang w:eastAsia="fi-FI"/>
              </w:rPr>
              <w:t xml:space="preserve">Transferability: </w:t>
            </w:r>
            <w:r w:rsidRPr="00FB6600">
              <w:t>Very relevant and transferable GP to support connectivity in terms of coherent regional innovation ecosystems but also at interregional level. “Access to funding” function can be linked to BRIDGES also for the mainstream function of keeping up contacts with research institutions after the end of the project (part of the action plan maybe).</w:t>
            </w:r>
          </w:p>
          <w:p w14:paraId="06DD5D9E" w14:textId="77777777" w:rsidR="00FB6600" w:rsidRDefault="00FB6600" w:rsidP="003B6C3E">
            <w:pPr>
              <w:pStyle w:val="a-I-EUBodytextsingle"/>
              <w:rPr>
                <w:lang w:eastAsia="fi-FI"/>
              </w:rPr>
            </w:pPr>
          </w:p>
          <w:p w14:paraId="0A37D925" w14:textId="77777777" w:rsidR="00A723FC" w:rsidRPr="00E14342" w:rsidRDefault="00A723FC" w:rsidP="003B6C3E">
            <w:pPr>
              <w:pStyle w:val="a-I-EUBodytextsingle"/>
              <w:rPr>
                <w:rFonts w:eastAsia="Times New Roman" w:cs="Tahoma"/>
                <w:color w:val="021B2B"/>
                <w:szCs w:val="16"/>
                <w:lang w:eastAsia="fi-FI"/>
              </w:rPr>
            </w:pPr>
            <w:r>
              <w:rPr>
                <w:rFonts w:eastAsia="Times New Roman" w:cs="Tahoma"/>
                <w:color w:val="021B2B"/>
                <w:szCs w:val="16"/>
                <w:lang w:eastAsia="fi-FI"/>
              </w:rPr>
              <w:t xml:space="preserve">Available in the PLP: </w:t>
            </w:r>
            <w:r w:rsidRPr="00215D7C">
              <w:rPr>
                <w:rStyle w:val="Hyperlink"/>
                <w:lang w:eastAsia="fi-FI"/>
              </w:rPr>
              <w:t>https://www.interregeurope.eu/policylearning/good-practices/item/252/helsinki-uusimaa-regional-council-ris3-coordination/</w:t>
            </w:r>
          </w:p>
        </w:tc>
      </w:tr>
      <w:tr w:rsidR="00A723FC" w:rsidRPr="00762F33" w14:paraId="1FFCD66D" w14:textId="77777777" w:rsidTr="00F5402A">
        <w:tc>
          <w:tcPr>
            <w:tcW w:w="1096" w:type="pct"/>
          </w:tcPr>
          <w:p w14:paraId="4CA30099" w14:textId="77777777" w:rsidR="00A723FC" w:rsidRPr="00FF2888" w:rsidRDefault="00A723FC" w:rsidP="003B6C3E">
            <w:pPr>
              <w:pStyle w:val="a-I-EUBodytextsingle"/>
              <w:rPr>
                <w:lang w:eastAsia="fi-FI"/>
              </w:rPr>
            </w:pPr>
            <w:r w:rsidRPr="00E14342">
              <w:rPr>
                <w:lang w:eastAsia="fi-FI"/>
              </w:rPr>
              <w:t>Targeted research</w:t>
            </w:r>
          </w:p>
        </w:tc>
        <w:tc>
          <w:tcPr>
            <w:tcW w:w="645" w:type="pct"/>
          </w:tcPr>
          <w:p w14:paraId="245ABD62" w14:textId="77777777" w:rsidR="00A723FC" w:rsidRDefault="00A723FC" w:rsidP="003B6C3E">
            <w:pPr>
              <w:pStyle w:val="a-I-EUBodytextsingle"/>
              <w:jc w:val="center"/>
              <w:rPr>
                <w:lang w:eastAsia="fi-FI"/>
              </w:rPr>
            </w:pPr>
            <w:r>
              <w:rPr>
                <w:lang w:eastAsia="fi-FI"/>
              </w:rPr>
              <w:t>3</w:t>
            </w:r>
          </w:p>
        </w:tc>
        <w:tc>
          <w:tcPr>
            <w:tcW w:w="3259" w:type="pct"/>
          </w:tcPr>
          <w:p w14:paraId="48201D3C" w14:textId="04F78EDB" w:rsidR="00A723FC" w:rsidRDefault="00A723FC" w:rsidP="003B6C3E">
            <w:pPr>
              <w:pStyle w:val="a-I-EUBodytextsingle"/>
              <w:rPr>
                <w:lang w:eastAsia="fi-FI"/>
              </w:rPr>
            </w:pPr>
            <w:r w:rsidRPr="00E14342">
              <w:rPr>
                <w:lang w:eastAsia="fi-FI"/>
              </w:rPr>
              <w:t>Target research is an activity in Regional Operational Programme of the Lubelskie Voivodship and it presents good practice in multi-level synergies between regional stakeholders as regional institution involved in the project management, enterprises a</w:t>
            </w:r>
            <w:r w:rsidR="009B3028">
              <w:rPr>
                <w:lang w:eastAsia="fi-FI"/>
              </w:rPr>
              <w:t xml:space="preserve">nd research institution as well; it provides also for interregional </w:t>
            </w:r>
            <w:r w:rsidR="004F2F3E">
              <w:rPr>
                <w:lang w:eastAsia="fi-FI"/>
              </w:rPr>
              <w:t>technological connectivity funding but this component has not been activated yet.</w:t>
            </w:r>
          </w:p>
          <w:p w14:paraId="130E6F53" w14:textId="77777777" w:rsidR="00A723FC" w:rsidRDefault="00A723FC" w:rsidP="003B6C3E">
            <w:pPr>
              <w:pStyle w:val="a-I-EUBodytextsingle"/>
              <w:rPr>
                <w:lang w:eastAsia="fi-FI"/>
              </w:rPr>
            </w:pPr>
          </w:p>
          <w:p w14:paraId="6A50594C" w14:textId="77777777" w:rsidR="00A723FC" w:rsidRDefault="00A723FC" w:rsidP="003B6C3E">
            <w:pPr>
              <w:pStyle w:val="a-I-EUBodytextsingle"/>
              <w:rPr>
                <w:lang w:eastAsia="fi-FI"/>
              </w:rPr>
            </w:pPr>
            <w:r>
              <w:rPr>
                <w:lang w:eastAsia="fi-FI"/>
              </w:rPr>
              <w:t>GP theme 3</w:t>
            </w:r>
          </w:p>
          <w:p w14:paraId="7446ECAC" w14:textId="77777777" w:rsidR="009B3028" w:rsidRDefault="009B3028" w:rsidP="003B6C3E">
            <w:pPr>
              <w:pStyle w:val="a-I-EUBodytextsingle"/>
              <w:rPr>
                <w:lang w:eastAsia="fi-FI"/>
              </w:rPr>
            </w:pPr>
          </w:p>
          <w:p w14:paraId="2BD1858A" w14:textId="7EC8B7BD" w:rsidR="009B3028" w:rsidRPr="00E14342" w:rsidRDefault="009B3028" w:rsidP="003B6C3E">
            <w:pPr>
              <w:pStyle w:val="a-I-EUBodytextsingle"/>
              <w:rPr>
                <w:lang w:eastAsia="fi-FI"/>
              </w:rPr>
            </w:pPr>
            <w:r>
              <w:rPr>
                <w:lang w:eastAsia="fi-FI"/>
              </w:rPr>
              <w:t xml:space="preserve">Transferability: </w:t>
            </w:r>
            <w:r w:rsidR="004F2F3E">
              <w:rPr>
                <w:lang w:eastAsia="fi-FI"/>
              </w:rPr>
              <w:t>not enough experience to demonstrate results.</w:t>
            </w:r>
          </w:p>
        </w:tc>
      </w:tr>
      <w:tr w:rsidR="009B3028" w:rsidRPr="00762F33" w14:paraId="086A0350" w14:textId="77777777" w:rsidTr="00F5402A">
        <w:tc>
          <w:tcPr>
            <w:tcW w:w="1096" w:type="pct"/>
          </w:tcPr>
          <w:p w14:paraId="41BADE87" w14:textId="77777777" w:rsidR="009B3028" w:rsidRPr="00FF2888" w:rsidRDefault="009B3028" w:rsidP="003B6C3E">
            <w:pPr>
              <w:pStyle w:val="a-I-EUBodytextsingle"/>
              <w:rPr>
                <w:lang w:eastAsia="fi-FI"/>
              </w:rPr>
            </w:pPr>
            <w:r w:rsidRPr="00E14342">
              <w:rPr>
                <w:lang w:eastAsia="fi-FI"/>
              </w:rPr>
              <w:lastRenderedPageBreak/>
              <w:t>High Technology farming platform, GR (on behalf of many regions)</w:t>
            </w:r>
          </w:p>
        </w:tc>
        <w:tc>
          <w:tcPr>
            <w:tcW w:w="645" w:type="pct"/>
          </w:tcPr>
          <w:p w14:paraId="38F7AD19" w14:textId="77777777" w:rsidR="009B3028" w:rsidRDefault="009B3028" w:rsidP="003B6C3E">
            <w:pPr>
              <w:pStyle w:val="a-I-EUBodytextsingle"/>
              <w:jc w:val="center"/>
              <w:rPr>
                <w:lang w:eastAsia="fi-FI"/>
              </w:rPr>
            </w:pPr>
            <w:r>
              <w:rPr>
                <w:lang w:eastAsia="fi-FI"/>
              </w:rPr>
              <w:t>9</w:t>
            </w:r>
          </w:p>
        </w:tc>
        <w:tc>
          <w:tcPr>
            <w:tcW w:w="3259" w:type="pct"/>
          </w:tcPr>
          <w:p w14:paraId="10B85993" w14:textId="77777777" w:rsidR="009B3028" w:rsidRDefault="009B3028" w:rsidP="003B6C3E">
            <w:pPr>
              <w:pStyle w:val="a-I-EUBodytextsingle"/>
              <w:rPr>
                <w:color w:val="4584D3"/>
                <w:lang w:eastAsia="fi-FI"/>
              </w:rPr>
            </w:pPr>
            <w:r w:rsidRPr="00E14342">
              <w:rPr>
                <w:lang w:eastAsia="fi-FI"/>
              </w:rPr>
              <w:t xml:space="preserve">The need for transfer of innovative methods and practices in daily routine of farms. Precision (high tech) farming is a wide spread concept meaning that the farmer is supported by technological means in production process especially in terms of decision making. Via high technology there is a great deal of information related to the production site and/or the product itself. The analysis of the information may lead to the use of tools for the achievement of bigger quantities and better qualities by lowering production cost and impact to the environment. </w:t>
            </w:r>
            <w:r w:rsidRPr="00E14342">
              <w:rPr>
                <w:color w:val="4584D3"/>
                <w:lang w:eastAsia="fi-FI"/>
              </w:rPr>
              <w:t>The GP was identified in the S3 platform and contributed by the Region of Central Macedonia mediated by PP9 CERTH.</w:t>
            </w:r>
          </w:p>
          <w:p w14:paraId="0B510671" w14:textId="77777777" w:rsidR="009B3028" w:rsidRDefault="009B3028" w:rsidP="003B6C3E">
            <w:pPr>
              <w:pStyle w:val="a-I-EUBodytextsingle"/>
              <w:rPr>
                <w:lang w:eastAsia="fi-FI"/>
              </w:rPr>
            </w:pPr>
          </w:p>
          <w:p w14:paraId="3D070042" w14:textId="77777777" w:rsidR="009B3028" w:rsidRDefault="009B3028" w:rsidP="003B6C3E">
            <w:pPr>
              <w:pStyle w:val="a-I-EUBodytextsingle"/>
              <w:rPr>
                <w:lang w:eastAsia="fi-FI"/>
              </w:rPr>
            </w:pPr>
            <w:r w:rsidRPr="003F1077">
              <w:rPr>
                <w:lang w:eastAsia="fi-FI"/>
              </w:rPr>
              <w:t>GP theme 3</w:t>
            </w:r>
          </w:p>
          <w:p w14:paraId="670497B8" w14:textId="77777777" w:rsidR="009B3028" w:rsidRDefault="009B3028" w:rsidP="003B6C3E">
            <w:pPr>
              <w:pStyle w:val="a-I-EUBodytextsingle"/>
              <w:rPr>
                <w:lang w:eastAsia="fi-FI"/>
              </w:rPr>
            </w:pPr>
          </w:p>
          <w:p w14:paraId="3E70CCB5" w14:textId="596E73E5" w:rsidR="009B3028" w:rsidRPr="00C93729" w:rsidRDefault="009B3028" w:rsidP="003B6C3E">
            <w:pPr>
              <w:pStyle w:val="a-I-EUBodytextsingle"/>
              <w:rPr>
                <w:rFonts w:eastAsia="Times New Roman" w:cs="Tahoma"/>
                <w:color w:val="021B2B"/>
                <w:lang w:eastAsia="fi-FI"/>
              </w:rPr>
            </w:pPr>
            <w:r w:rsidRPr="00C93729">
              <w:rPr>
                <w:rFonts w:eastAsia="Times New Roman" w:cs="Tahoma"/>
                <w:lang w:eastAsia="fi-FI"/>
              </w:rPr>
              <w:t xml:space="preserve">Transferability: </w:t>
            </w:r>
            <w:r>
              <w:rPr>
                <w:rFonts w:eastAsia="Times New Roman" w:cs="Tahoma"/>
                <w:lang w:eastAsia="fi-FI"/>
              </w:rPr>
              <w:t xml:space="preserve">Sectorial relevance; </w:t>
            </w:r>
            <w:r w:rsidRPr="00C93729">
              <w:t xml:space="preserve">S3 provisions, funding tools are not yet clear; </w:t>
            </w:r>
            <w:r>
              <w:t>demonstrates RIS3 platform.</w:t>
            </w:r>
          </w:p>
        </w:tc>
      </w:tr>
      <w:tr w:rsidR="009B3028" w:rsidRPr="00762F33" w14:paraId="10C63BE6" w14:textId="77777777" w:rsidTr="00F5402A">
        <w:tc>
          <w:tcPr>
            <w:tcW w:w="1096" w:type="pct"/>
          </w:tcPr>
          <w:p w14:paraId="660DD972" w14:textId="77777777" w:rsidR="009B3028" w:rsidRPr="00D3346D" w:rsidRDefault="009B3028" w:rsidP="003B6C3E">
            <w:pPr>
              <w:pStyle w:val="a-I-EUBodytextsingle"/>
              <w:rPr>
                <w:lang w:eastAsia="fi-FI"/>
              </w:rPr>
            </w:pPr>
            <w:r w:rsidRPr="00A86D70">
              <w:rPr>
                <w:lang w:eastAsia="fi-FI"/>
              </w:rPr>
              <w:t>Traceability and Big Data for achieving European AgroFood Sector Smart</w:t>
            </w:r>
            <w:r w:rsidRPr="00D3346D">
              <w:rPr>
                <w:lang w:eastAsia="fi-FI"/>
              </w:rPr>
              <w:t xml:space="preserve"> </w:t>
            </w:r>
            <w:r w:rsidRPr="00A86D70">
              <w:rPr>
                <w:lang w:eastAsia="fi-FI"/>
              </w:rPr>
              <w:t>Specialisation</w:t>
            </w:r>
          </w:p>
          <w:p w14:paraId="3C5BCBE5" w14:textId="77777777" w:rsidR="009B3028" w:rsidRPr="00FF2888" w:rsidRDefault="009B3028" w:rsidP="003B6C3E">
            <w:pPr>
              <w:pStyle w:val="a-I-EUBodytextsingle"/>
              <w:rPr>
                <w:lang w:eastAsia="fi-FI"/>
              </w:rPr>
            </w:pPr>
          </w:p>
        </w:tc>
        <w:tc>
          <w:tcPr>
            <w:tcW w:w="645" w:type="pct"/>
          </w:tcPr>
          <w:p w14:paraId="28A9F618" w14:textId="77777777" w:rsidR="009B3028" w:rsidRDefault="009B3028" w:rsidP="003B6C3E">
            <w:pPr>
              <w:pStyle w:val="a-I-EUBodytextsingle"/>
              <w:jc w:val="center"/>
              <w:rPr>
                <w:lang w:eastAsia="fi-FI"/>
              </w:rPr>
            </w:pPr>
            <w:r>
              <w:rPr>
                <w:lang w:eastAsia="fi-FI"/>
              </w:rPr>
              <w:t>9</w:t>
            </w:r>
          </w:p>
        </w:tc>
        <w:tc>
          <w:tcPr>
            <w:tcW w:w="3259" w:type="pct"/>
          </w:tcPr>
          <w:p w14:paraId="1B52D1C2" w14:textId="77777777" w:rsidR="009B3028" w:rsidRDefault="009B3028" w:rsidP="003B6C3E">
            <w:pPr>
              <w:pStyle w:val="a-I-EUBodytextsingle"/>
              <w:rPr>
                <w:lang w:eastAsia="fi-FI"/>
              </w:rPr>
            </w:pPr>
            <w:r w:rsidRPr="00E14342">
              <w:rPr>
                <w:lang w:eastAsia="fi-FI"/>
              </w:rPr>
              <w:t xml:space="preserve">The agrifood sector, through the S3 Agrifood platform, supports the transition process to a new form of building networks and synergies between multi-actors by creating a suitable and inclusive ecosystem that will accompany innovation. The co-creation and interregional cooperation processes that are involved the thematic sub platform “Traceability and Big data" represent a great opportunity for all stakeholders. </w:t>
            </w:r>
          </w:p>
          <w:p w14:paraId="5345CD8D" w14:textId="77777777" w:rsidR="009B3028" w:rsidRDefault="009B3028" w:rsidP="003B6C3E">
            <w:pPr>
              <w:pStyle w:val="a-I-EUBodytextsingle"/>
              <w:rPr>
                <w:lang w:eastAsia="fi-FI"/>
              </w:rPr>
            </w:pPr>
          </w:p>
          <w:p w14:paraId="37EB7E67" w14:textId="496CEC5D" w:rsidR="009B3028" w:rsidRDefault="009B3028" w:rsidP="003B6C3E">
            <w:pPr>
              <w:pStyle w:val="a-I-EUBodytextsingle"/>
              <w:rPr>
                <w:lang w:eastAsia="fi-FI"/>
              </w:rPr>
            </w:pPr>
            <w:r w:rsidRPr="003F1077">
              <w:rPr>
                <w:lang w:eastAsia="fi-FI"/>
              </w:rPr>
              <w:t>GP theme 3</w:t>
            </w:r>
          </w:p>
          <w:p w14:paraId="72B47BF5" w14:textId="11044D7C" w:rsidR="009B3028" w:rsidRDefault="009B3028" w:rsidP="003B6C3E">
            <w:pPr>
              <w:pStyle w:val="a-I-EUBodytextsingle"/>
              <w:rPr>
                <w:lang w:eastAsia="fi-FI"/>
              </w:rPr>
            </w:pPr>
          </w:p>
          <w:p w14:paraId="6D1D3BAD" w14:textId="6B3C5DC1" w:rsidR="009B3028" w:rsidRPr="003F1077" w:rsidRDefault="009B3028" w:rsidP="003B6C3E">
            <w:pPr>
              <w:pStyle w:val="a-I-EUBodytextsingle"/>
              <w:rPr>
                <w:rFonts w:eastAsia="Times New Roman" w:cs="Tahoma"/>
                <w:lang w:eastAsia="fi-FI"/>
              </w:rPr>
            </w:pPr>
            <w:r>
              <w:rPr>
                <w:rFonts w:eastAsia="Times New Roman" w:cs="Tahoma"/>
                <w:lang w:eastAsia="fi-FI"/>
              </w:rPr>
              <w:t xml:space="preserve">Transferability: Sectorial relevance; </w:t>
            </w:r>
            <w:r w:rsidRPr="00C93729">
              <w:t xml:space="preserve">S3 provisions, funding tools are not yet clear; </w:t>
            </w:r>
            <w:r>
              <w:t>demonstrates RIS3 platform.</w:t>
            </w:r>
          </w:p>
          <w:p w14:paraId="605D09A3" w14:textId="77777777" w:rsidR="009B3028" w:rsidRDefault="009B3028" w:rsidP="003B6C3E">
            <w:pPr>
              <w:pStyle w:val="a-I-EUBodytextsingle"/>
              <w:rPr>
                <w:lang w:eastAsia="fi-FI"/>
              </w:rPr>
            </w:pPr>
          </w:p>
          <w:p w14:paraId="6C479258" w14:textId="77777777" w:rsidR="009B3028" w:rsidRPr="00E14342" w:rsidRDefault="009B3028" w:rsidP="003B6C3E">
            <w:pPr>
              <w:pStyle w:val="a-I-EUBodytextsingle"/>
              <w:rPr>
                <w:color w:val="021B2B"/>
                <w:lang w:eastAsia="fi-FI"/>
              </w:rPr>
            </w:pPr>
            <w:r w:rsidRPr="003F1077">
              <w:rPr>
                <w:lang w:eastAsia="fi-FI"/>
              </w:rPr>
              <w:t>Available in the PLP</w:t>
            </w:r>
            <w:r w:rsidRPr="00D3346D">
              <w:rPr>
                <w:color w:val="4472C4" w:themeColor="accent1"/>
                <w:lang w:eastAsia="fi-FI"/>
              </w:rPr>
              <w:t xml:space="preserve">: </w:t>
            </w:r>
            <w:hyperlink r:id="rId12" w:history="1">
              <w:r w:rsidRPr="00995E01">
                <w:rPr>
                  <w:rStyle w:val="Hyperlink"/>
                  <w:rFonts w:eastAsia="Times New Roman" w:cs="Tahoma"/>
                  <w:szCs w:val="16"/>
                  <w:lang w:eastAsia="fi-FI"/>
                </w:rPr>
                <w:t>https://www.interregeurope.eu/policylearning/good-practices/item/162/traceability-and-big-data-for-achieving-european-agrofood-sector-smart-specialisation/</w:t>
              </w:r>
            </w:hyperlink>
          </w:p>
        </w:tc>
      </w:tr>
    </w:tbl>
    <w:p w14:paraId="1FF498D5" w14:textId="77777777" w:rsidR="00A723FC" w:rsidRDefault="00A723FC" w:rsidP="000F381C"/>
    <w:p w14:paraId="0597F8A7" w14:textId="77777777" w:rsidR="00A723FC" w:rsidRPr="00626760" w:rsidRDefault="00A723FC" w:rsidP="000F381C">
      <w:r w:rsidRPr="00626760">
        <w:t>The GPs are further analysed in terms of their contribution to the objectives of the project, i.e. the bridging</w:t>
      </w:r>
      <w:r w:rsidRPr="007A0217">
        <w:t xml:space="preserve"> </w:t>
      </w:r>
      <w:r w:rsidRPr="00626760">
        <w:t>of regional mismatches between the productive and research bases. For this purpose, the eight (8) types of technological connectivity (“bridges”) also adopted in the innovation maps for better understanding the regional innovation s</w:t>
      </w:r>
      <w:r>
        <w:t xml:space="preserve">ystems of the partners, are </w:t>
      </w:r>
      <w:r w:rsidRPr="00626760">
        <w:t>utilised for the GP analysis</w:t>
      </w:r>
      <w:r>
        <w:t>, too</w:t>
      </w:r>
      <w:r w:rsidRPr="00626760">
        <w:t xml:space="preserve">. The eight (8) types of technological connectivity considered in the BRIDGES project are: Type 1 Programme based, Type 2 Access to research services, Type 3 KET applications, Type 4 TRL improvement / certification, Type 5 Innovation management chain, Type 6 Constant renewal services, Type 7 Commercialisation of research, cross border, Type 8 Direct research to business cooperation. </w:t>
      </w:r>
    </w:p>
    <w:p w14:paraId="322AC6E8" w14:textId="441B7D3E" w:rsidR="00A723FC" w:rsidRDefault="00A723FC" w:rsidP="000F381C">
      <w:r w:rsidRPr="00E14342">
        <w:t>Thus, w</w:t>
      </w:r>
      <w:r>
        <w:t xml:space="preserve">e find that out of the </w:t>
      </w:r>
      <w:r w:rsidRPr="00E14342">
        <w:t xml:space="preserve"> GPs, the distribution of contributions to the types of technological connectivity is as follows, including overlaps (</w:t>
      </w:r>
      <w:r w:rsidRPr="00E14342">
        <w:fldChar w:fldCharType="begin"/>
      </w:r>
      <w:r w:rsidRPr="00E14342">
        <w:instrText xml:space="preserve"> REF _Ref501919339 \h </w:instrText>
      </w:r>
      <w:r w:rsidRPr="00E14342">
        <w:fldChar w:fldCharType="separate"/>
      </w:r>
      <w:r w:rsidRPr="006559BC">
        <w:t xml:space="preserve">Table </w:t>
      </w:r>
      <w:r>
        <w:t>2</w:t>
      </w:r>
      <w:r w:rsidRPr="00E14342">
        <w:fldChar w:fldCharType="end"/>
      </w:r>
      <w:r w:rsidRPr="00E14342">
        <w:t>):</w:t>
      </w:r>
    </w:p>
    <w:p w14:paraId="67D006B0" w14:textId="71F5AFA4" w:rsidR="00A723FC" w:rsidRDefault="004338EC" w:rsidP="004338EC">
      <w:pPr>
        <w:pStyle w:val="Caption"/>
      </w:pPr>
      <w:bookmarkStart w:id="91" w:name="_Toc526456802"/>
      <w:r>
        <w:t xml:space="preserve">Table </w:t>
      </w:r>
      <w:r>
        <w:fldChar w:fldCharType="begin"/>
      </w:r>
      <w:r>
        <w:instrText xml:space="preserve"> SEQ Table \* ARABIC </w:instrText>
      </w:r>
      <w:r>
        <w:fldChar w:fldCharType="separate"/>
      </w:r>
      <w:r>
        <w:rPr>
          <w:noProof/>
        </w:rPr>
        <w:t>2</w:t>
      </w:r>
      <w:r>
        <w:fldChar w:fldCharType="end"/>
      </w:r>
      <w:r>
        <w:t xml:space="preserve"> </w:t>
      </w:r>
      <w:r w:rsidR="00A723FC" w:rsidRPr="006559BC">
        <w:t>BRIDGES project,</w:t>
      </w:r>
      <w:bookmarkEnd w:id="91"/>
      <w:r w:rsidR="000F4D00">
        <w:t xml:space="preserve">: </w:t>
      </w:r>
      <w:r w:rsidR="00F1628F">
        <w:t>types of technological connectivity appearances per GP.</w:t>
      </w:r>
    </w:p>
    <w:tbl>
      <w:tblPr>
        <w:tblW w:w="87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dotted" w:sz="4" w:space="0" w:color="A6A6A6" w:themeColor="background1" w:themeShade="A6"/>
          <w:insideV w:val="single" w:sz="4" w:space="0" w:color="A6A6A6" w:themeColor="background1" w:themeShade="A6"/>
        </w:tblBorders>
        <w:tblLook w:val="04A0" w:firstRow="1" w:lastRow="0" w:firstColumn="1" w:lastColumn="0" w:noHBand="0" w:noVBand="1"/>
      </w:tblPr>
      <w:tblGrid>
        <w:gridCol w:w="2448"/>
        <w:gridCol w:w="792"/>
        <w:gridCol w:w="793"/>
        <w:gridCol w:w="793"/>
        <w:gridCol w:w="793"/>
        <w:gridCol w:w="793"/>
        <w:gridCol w:w="793"/>
        <w:gridCol w:w="793"/>
        <w:gridCol w:w="791"/>
      </w:tblGrid>
      <w:tr w:rsidR="00E43D41" w:rsidRPr="00640777" w14:paraId="7D0149B3" w14:textId="77777777" w:rsidTr="00F5402A">
        <w:trPr>
          <w:trHeight w:val="280"/>
          <w:tblHeader/>
        </w:trPr>
        <w:tc>
          <w:tcPr>
            <w:tcW w:w="1393" w:type="pct"/>
            <w:vMerge w:val="restart"/>
            <w:shd w:val="clear" w:color="000000" w:fill="F2F2F2"/>
            <w:vAlign w:val="center"/>
            <w:hideMark/>
          </w:tcPr>
          <w:p w14:paraId="53A46D91" w14:textId="77777777" w:rsidR="00E43D41" w:rsidRPr="00640777" w:rsidRDefault="00E43D41" w:rsidP="003B6C3E">
            <w:pPr>
              <w:pStyle w:val="a-I-EUBodytextsingle"/>
              <w:rPr>
                <w:b/>
                <w:lang w:val="fi-FI"/>
              </w:rPr>
            </w:pPr>
            <w:r w:rsidRPr="00640777">
              <w:rPr>
                <w:b/>
              </w:rPr>
              <w:t>GP name</w:t>
            </w:r>
          </w:p>
        </w:tc>
        <w:tc>
          <w:tcPr>
            <w:tcW w:w="3607" w:type="pct"/>
            <w:gridSpan w:val="8"/>
            <w:shd w:val="clear" w:color="000000" w:fill="F2F2F2"/>
            <w:vAlign w:val="center"/>
            <w:hideMark/>
          </w:tcPr>
          <w:p w14:paraId="660C32AF" w14:textId="6DA53DE1" w:rsidR="00E43D41" w:rsidRPr="00640777" w:rsidRDefault="00E43D41" w:rsidP="003B6C3E">
            <w:pPr>
              <w:pStyle w:val="a-I-EUBodytextsingle"/>
              <w:rPr>
                <w:rFonts w:eastAsia="Times New Roman"/>
                <w:b/>
                <w:color w:val="0563C1"/>
                <w:szCs w:val="16"/>
                <w:u w:val="single"/>
                <w:lang w:val="fi-FI"/>
              </w:rPr>
            </w:pPr>
            <w:r w:rsidRPr="00640777">
              <w:rPr>
                <w:b/>
              </w:rPr>
              <w:t>Types of techological connectivities</w:t>
            </w:r>
            <w:r w:rsidRPr="00640777">
              <w:rPr>
                <w:rStyle w:val="FootnoteReference"/>
                <w:b w:val="0"/>
                <w:szCs w:val="18"/>
              </w:rPr>
              <w:footnoteReference w:id="24"/>
            </w:r>
          </w:p>
        </w:tc>
      </w:tr>
      <w:tr w:rsidR="00E43D41" w:rsidRPr="00E43D41" w14:paraId="188FAD22" w14:textId="77777777" w:rsidTr="00F5402A">
        <w:trPr>
          <w:trHeight w:val="280"/>
          <w:tblHeader/>
        </w:trPr>
        <w:tc>
          <w:tcPr>
            <w:tcW w:w="1393" w:type="pct"/>
            <w:vMerge/>
            <w:vAlign w:val="center"/>
            <w:hideMark/>
          </w:tcPr>
          <w:p w14:paraId="357547F9" w14:textId="77777777" w:rsidR="00E43D41" w:rsidRPr="00E43D41" w:rsidRDefault="00E43D41" w:rsidP="003B6C3E">
            <w:pPr>
              <w:pStyle w:val="a-I-EUBodytextsingle"/>
              <w:rPr>
                <w:lang w:val="fi-FI"/>
              </w:rPr>
            </w:pPr>
          </w:p>
        </w:tc>
        <w:tc>
          <w:tcPr>
            <w:tcW w:w="451" w:type="pct"/>
            <w:shd w:val="clear" w:color="000000" w:fill="F2F2F2"/>
            <w:vAlign w:val="center"/>
            <w:hideMark/>
          </w:tcPr>
          <w:p w14:paraId="6F56DD51" w14:textId="77777777" w:rsidR="00E43D41" w:rsidRPr="00640777" w:rsidRDefault="00E43D41" w:rsidP="003B6C3E">
            <w:pPr>
              <w:pStyle w:val="a-I-EUBodytextsingle"/>
              <w:rPr>
                <w:b/>
                <w:lang w:val="fi-FI"/>
              </w:rPr>
            </w:pPr>
            <w:r w:rsidRPr="00640777">
              <w:rPr>
                <w:b/>
              </w:rPr>
              <w:t>1</w:t>
            </w:r>
          </w:p>
        </w:tc>
        <w:tc>
          <w:tcPr>
            <w:tcW w:w="451" w:type="pct"/>
            <w:shd w:val="clear" w:color="000000" w:fill="F2F2F2"/>
            <w:vAlign w:val="center"/>
            <w:hideMark/>
          </w:tcPr>
          <w:p w14:paraId="72755FAA" w14:textId="77777777" w:rsidR="00E43D41" w:rsidRPr="00640777" w:rsidRDefault="00E43D41" w:rsidP="003B6C3E">
            <w:pPr>
              <w:pStyle w:val="a-I-EUBodytextsingle"/>
              <w:rPr>
                <w:b/>
                <w:lang w:val="fi-FI"/>
              </w:rPr>
            </w:pPr>
            <w:r w:rsidRPr="00640777">
              <w:rPr>
                <w:b/>
              </w:rPr>
              <w:t>2</w:t>
            </w:r>
          </w:p>
        </w:tc>
        <w:tc>
          <w:tcPr>
            <w:tcW w:w="451" w:type="pct"/>
            <w:shd w:val="clear" w:color="000000" w:fill="F2F2F2"/>
            <w:vAlign w:val="center"/>
            <w:hideMark/>
          </w:tcPr>
          <w:p w14:paraId="1BE3E4B0" w14:textId="77777777" w:rsidR="00E43D41" w:rsidRPr="00640777" w:rsidRDefault="00E43D41" w:rsidP="003B6C3E">
            <w:pPr>
              <w:pStyle w:val="a-I-EUBodytextsingle"/>
              <w:rPr>
                <w:b/>
                <w:lang w:val="fi-FI"/>
              </w:rPr>
            </w:pPr>
            <w:r w:rsidRPr="00640777">
              <w:rPr>
                <w:b/>
              </w:rPr>
              <w:t>3</w:t>
            </w:r>
          </w:p>
        </w:tc>
        <w:tc>
          <w:tcPr>
            <w:tcW w:w="451" w:type="pct"/>
            <w:shd w:val="clear" w:color="000000" w:fill="F2F2F2"/>
            <w:vAlign w:val="center"/>
            <w:hideMark/>
          </w:tcPr>
          <w:p w14:paraId="10C8E505" w14:textId="77777777" w:rsidR="00E43D41" w:rsidRPr="00640777" w:rsidRDefault="00E43D41" w:rsidP="003B6C3E">
            <w:pPr>
              <w:pStyle w:val="a-I-EUBodytextsingle"/>
              <w:rPr>
                <w:b/>
                <w:lang w:val="fi-FI"/>
              </w:rPr>
            </w:pPr>
            <w:r w:rsidRPr="00640777">
              <w:rPr>
                <w:b/>
              </w:rPr>
              <w:t>4</w:t>
            </w:r>
          </w:p>
        </w:tc>
        <w:tc>
          <w:tcPr>
            <w:tcW w:w="451" w:type="pct"/>
            <w:shd w:val="clear" w:color="000000" w:fill="F2F2F2"/>
            <w:vAlign w:val="center"/>
            <w:hideMark/>
          </w:tcPr>
          <w:p w14:paraId="0606A352" w14:textId="77777777" w:rsidR="00E43D41" w:rsidRPr="00640777" w:rsidRDefault="00E43D41" w:rsidP="003B6C3E">
            <w:pPr>
              <w:pStyle w:val="a-I-EUBodytextsingle"/>
              <w:rPr>
                <w:b/>
                <w:lang w:val="fi-FI"/>
              </w:rPr>
            </w:pPr>
            <w:r w:rsidRPr="00640777">
              <w:rPr>
                <w:b/>
              </w:rPr>
              <w:t>5</w:t>
            </w:r>
          </w:p>
        </w:tc>
        <w:tc>
          <w:tcPr>
            <w:tcW w:w="451" w:type="pct"/>
            <w:shd w:val="clear" w:color="000000" w:fill="F2F2F2"/>
            <w:vAlign w:val="center"/>
            <w:hideMark/>
          </w:tcPr>
          <w:p w14:paraId="47B44499" w14:textId="77777777" w:rsidR="00E43D41" w:rsidRPr="00640777" w:rsidRDefault="00E43D41" w:rsidP="003B6C3E">
            <w:pPr>
              <w:pStyle w:val="a-I-EUBodytextsingle"/>
              <w:rPr>
                <w:b/>
                <w:lang w:val="fi-FI"/>
              </w:rPr>
            </w:pPr>
            <w:r w:rsidRPr="00640777">
              <w:rPr>
                <w:b/>
              </w:rPr>
              <w:t>6</w:t>
            </w:r>
          </w:p>
        </w:tc>
        <w:tc>
          <w:tcPr>
            <w:tcW w:w="451" w:type="pct"/>
            <w:shd w:val="clear" w:color="000000" w:fill="F2F2F2"/>
            <w:vAlign w:val="center"/>
            <w:hideMark/>
          </w:tcPr>
          <w:p w14:paraId="69B88A2E" w14:textId="77777777" w:rsidR="00E43D41" w:rsidRPr="00640777" w:rsidRDefault="00E43D41" w:rsidP="003B6C3E">
            <w:pPr>
              <w:pStyle w:val="a-I-EUBodytextsingle"/>
              <w:rPr>
                <w:b/>
                <w:lang w:val="fi-FI"/>
              </w:rPr>
            </w:pPr>
            <w:r w:rsidRPr="00640777">
              <w:rPr>
                <w:b/>
              </w:rPr>
              <w:t>7</w:t>
            </w:r>
          </w:p>
        </w:tc>
        <w:tc>
          <w:tcPr>
            <w:tcW w:w="450" w:type="pct"/>
            <w:shd w:val="clear" w:color="000000" w:fill="F2F2F2"/>
            <w:vAlign w:val="center"/>
            <w:hideMark/>
          </w:tcPr>
          <w:p w14:paraId="6799F66D" w14:textId="77777777" w:rsidR="00E43D41" w:rsidRPr="00640777" w:rsidRDefault="00E43D41" w:rsidP="003B6C3E">
            <w:pPr>
              <w:pStyle w:val="a-I-EUBodytextsingle"/>
              <w:rPr>
                <w:b/>
                <w:lang w:val="fi-FI"/>
              </w:rPr>
            </w:pPr>
            <w:r w:rsidRPr="00640777">
              <w:rPr>
                <w:b/>
              </w:rPr>
              <w:t>8</w:t>
            </w:r>
          </w:p>
        </w:tc>
      </w:tr>
      <w:tr w:rsidR="00E43D41" w:rsidRPr="00E43D41" w14:paraId="031DAF73" w14:textId="77777777" w:rsidTr="00F5402A">
        <w:trPr>
          <w:trHeight w:val="280"/>
        </w:trPr>
        <w:tc>
          <w:tcPr>
            <w:tcW w:w="1393" w:type="pct"/>
            <w:shd w:val="clear" w:color="000000" w:fill="FFF2CC"/>
            <w:vAlign w:val="center"/>
            <w:hideMark/>
          </w:tcPr>
          <w:p w14:paraId="5AF1BCA7" w14:textId="15AA33C2" w:rsidR="00E43D41" w:rsidRPr="00E43D41" w:rsidRDefault="000F4D00" w:rsidP="00640777">
            <w:pPr>
              <w:pStyle w:val="a-I-EUBodytextsingle"/>
              <w:jc w:val="right"/>
              <w:rPr>
                <w:lang w:val="fi-FI"/>
              </w:rPr>
            </w:pPr>
            <w:r>
              <w:rPr>
                <w:lang w:val="fi-FI"/>
              </w:rPr>
              <w:t>Total</w:t>
            </w:r>
            <w:r w:rsidR="00F1628F">
              <w:rPr>
                <w:lang w:val="fi-FI"/>
              </w:rPr>
              <w:t>: connectivity appearances per GP</w:t>
            </w:r>
            <w:r w:rsidR="00E43D41" w:rsidRPr="00E43D41">
              <w:rPr>
                <w:lang w:val="fi-FI"/>
              </w:rPr>
              <w:t> </w:t>
            </w:r>
          </w:p>
        </w:tc>
        <w:tc>
          <w:tcPr>
            <w:tcW w:w="451" w:type="pct"/>
            <w:shd w:val="clear" w:color="000000" w:fill="FFF2CC"/>
            <w:vAlign w:val="center"/>
            <w:hideMark/>
          </w:tcPr>
          <w:p w14:paraId="06DF4191" w14:textId="77777777" w:rsidR="00E43D41" w:rsidRPr="00E43D41" w:rsidRDefault="00E43D41" w:rsidP="003B6C3E">
            <w:pPr>
              <w:pStyle w:val="a-I-EUBodytextsingle"/>
              <w:rPr>
                <w:lang w:val="fi-FI"/>
              </w:rPr>
            </w:pPr>
            <w:r w:rsidRPr="00E43D41">
              <w:rPr>
                <w:lang w:val="fi-FI"/>
              </w:rPr>
              <w:t>10</w:t>
            </w:r>
          </w:p>
        </w:tc>
        <w:tc>
          <w:tcPr>
            <w:tcW w:w="451" w:type="pct"/>
            <w:shd w:val="clear" w:color="000000" w:fill="FFF2CC"/>
            <w:vAlign w:val="center"/>
            <w:hideMark/>
          </w:tcPr>
          <w:p w14:paraId="3DE3048F" w14:textId="0832650A" w:rsidR="00E43D41" w:rsidRPr="00E43D41" w:rsidRDefault="00E43D41" w:rsidP="003B6C3E">
            <w:pPr>
              <w:pStyle w:val="a-I-EUBodytextsingle"/>
              <w:rPr>
                <w:lang w:val="fi-FI"/>
              </w:rPr>
            </w:pPr>
            <w:r w:rsidRPr="00E43D41">
              <w:rPr>
                <w:lang w:val="fi-FI"/>
              </w:rPr>
              <w:t>1</w:t>
            </w:r>
            <w:r w:rsidR="00435F9D">
              <w:rPr>
                <w:lang w:val="fi-FI"/>
              </w:rPr>
              <w:t>8</w:t>
            </w:r>
          </w:p>
        </w:tc>
        <w:tc>
          <w:tcPr>
            <w:tcW w:w="451" w:type="pct"/>
            <w:shd w:val="clear" w:color="000000" w:fill="FFF2CC"/>
            <w:vAlign w:val="center"/>
            <w:hideMark/>
          </w:tcPr>
          <w:p w14:paraId="4932B438" w14:textId="77777777" w:rsidR="00E43D41" w:rsidRPr="00E43D41" w:rsidRDefault="00E43D41" w:rsidP="003B6C3E">
            <w:pPr>
              <w:pStyle w:val="a-I-EUBodytextsingle"/>
              <w:rPr>
                <w:lang w:val="fi-FI"/>
              </w:rPr>
            </w:pPr>
            <w:r w:rsidRPr="00E43D41">
              <w:rPr>
                <w:lang w:val="fi-FI"/>
              </w:rPr>
              <w:t>1</w:t>
            </w:r>
          </w:p>
        </w:tc>
        <w:tc>
          <w:tcPr>
            <w:tcW w:w="451" w:type="pct"/>
            <w:shd w:val="clear" w:color="000000" w:fill="FFF2CC"/>
            <w:vAlign w:val="center"/>
            <w:hideMark/>
          </w:tcPr>
          <w:p w14:paraId="3938B31E" w14:textId="77777777" w:rsidR="00E43D41" w:rsidRPr="00E43D41" w:rsidRDefault="00E43D41" w:rsidP="003B6C3E">
            <w:pPr>
              <w:pStyle w:val="a-I-EUBodytextsingle"/>
              <w:rPr>
                <w:lang w:val="fi-FI"/>
              </w:rPr>
            </w:pPr>
            <w:r w:rsidRPr="00E43D41">
              <w:rPr>
                <w:lang w:val="fi-FI"/>
              </w:rPr>
              <w:t>0</w:t>
            </w:r>
          </w:p>
        </w:tc>
        <w:tc>
          <w:tcPr>
            <w:tcW w:w="451" w:type="pct"/>
            <w:shd w:val="clear" w:color="000000" w:fill="FFF2CC"/>
            <w:vAlign w:val="center"/>
            <w:hideMark/>
          </w:tcPr>
          <w:p w14:paraId="4F3C5985" w14:textId="1B66EFFD" w:rsidR="00E43D41" w:rsidRPr="00E43D41" w:rsidRDefault="00435F9D" w:rsidP="003B6C3E">
            <w:pPr>
              <w:pStyle w:val="a-I-EUBodytextsingle"/>
              <w:rPr>
                <w:lang w:val="fi-FI"/>
              </w:rPr>
            </w:pPr>
            <w:r>
              <w:rPr>
                <w:lang w:val="fi-FI"/>
              </w:rPr>
              <w:t>3</w:t>
            </w:r>
          </w:p>
        </w:tc>
        <w:tc>
          <w:tcPr>
            <w:tcW w:w="451" w:type="pct"/>
            <w:shd w:val="clear" w:color="000000" w:fill="FFF2CC"/>
            <w:vAlign w:val="center"/>
            <w:hideMark/>
          </w:tcPr>
          <w:p w14:paraId="59431211" w14:textId="77777777" w:rsidR="00E43D41" w:rsidRPr="00E43D41" w:rsidRDefault="00E43D41" w:rsidP="003B6C3E">
            <w:pPr>
              <w:pStyle w:val="a-I-EUBodytextsingle"/>
              <w:rPr>
                <w:lang w:val="fi-FI"/>
              </w:rPr>
            </w:pPr>
            <w:r w:rsidRPr="00E43D41">
              <w:rPr>
                <w:lang w:val="fi-FI"/>
              </w:rPr>
              <w:t>0</w:t>
            </w:r>
          </w:p>
        </w:tc>
        <w:tc>
          <w:tcPr>
            <w:tcW w:w="451" w:type="pct"/>
            <w:shd w:val="clear" w:color="000000" w:fill="FFF2CC"/>
            <w:vAlign w:val="center"/>
            <w:hideMark/>
          </w:tcPr>
          <w:p w14:paraId="7D18EC57" w14:textId="77777777" w:rsidR="00E43D41" w:rsidRPr="00E43D41" w:rsidRDefault="00E43D41" w:rsidP="003B6C3E">
            <w:pPr>
              <w:pStyle w:val="a-I-EUBodytextsingle"/>
              <w:rPr>
                <w:lang w:val="fi-FI"/>
              </w:rPr>
            </w:pPr>
            <w:r w:rsidRPr="00E43D41">
              <w:rPr>
                <w:lang w:val="fi-FI"/>
              </w:rPr>
              <w:t>2</w:t>
            </w:r>
          </w:p>
        </w:tc>
        <w:tc>
          <w:tcPr>
            <w:tcW w:w="450" w:type="pct"/>
            <w:shd w:val="clear" w:color="000000" w:fill="FFF2CC"/>
            <w:vAlign w:val="center"/>
            <w:hideMark/>
          </w:tcPr>
          <w:p w14:paraId="402FC176" w14:textId="77777777" w:rsidR="00E43D41" w:rsidRPr="00E43D41" w:rsidRDefault="00E43D41" w:rsidP="003B6C3E">
            <w:pPr>
              <w:pStyle w:val="a-I-EUBodytextsingle"/>
              <w:rPr>
                <w:lang w:val="fi-FI"/>
              </w:rPr>
            </w:pPr>
            <w:r w:rsidRPr="00E43D41">
              <w:rPr>
                <w:lang w:val="fi-FI"/>
              </w:rPr>
              <w:t>20</w:t>
            </w:r>
          </w:p>
        </w:tc>
      </w:tr>
      <w:tr w:rsidR="00E43D41" w:rsidRPr="00E43D41" w14:paraId="7A6EA343" w14:textId="77777777" w:rsidTr="00F5402A">
        <w:tc>
          <w:tcPr>
            <w:tcW w:w="1393" w:type="pct"/>
            <w:shd w:val="clear" w:color="auto" w:fill="auto"/>
            <w:vAlign w:val="center"/>
            <w:hideMark/>
          </w:tcPr>
          <w:p w14:paraId="24E0919E" w14:textId="77777777" w:rsidR="00E43D41" w:rsidRPr="00E43D41" w:rsidRDefault="00E43D41" w:rsidP="00F943E7">
            <w:pPr>
              <w:pStyle w:val="a-I-EUBodytextsingle"/>
              <w:spacing w:line="276" w:lineRule="auto"/>
              <w:rPr>
                <w:lang w:val="fi-FI"/>
              </w:rPr>
            </w:pPr>
            <w:r w:rsidRPr="00E43D41">
              <w:lastRenderedPageBreak/>
              <w:t>European Business and Innovation Centre of Burgos (CEEI-Burgos)</w:t>
            </w:r>
          </w:p>
        </w:tc>
        <w:tc>
          <w:tcPr>
            <w:tcW w:w="451" w:type="pct"/>
            <w:shd w:val="clear" w:color="auto" w:fill="auto"/>
            <w:vAlign w:val="center"/>
            <w:hideMark/>
          </w:tcPr>
          <w:p w14:paraId="563F0EC6" w14:textId="77777777" w:rsidR="00E43D41" w:rsidRPr="00E43D41" w:rsidRDefault="00E43D41" w:rsidP="00F943E7">
            <w:pPr>
              <w:pStyle w:val="a-I-EUBodytextsingle"/>
              <w:spacing w:line="276" w:lineRule="auto"/>
              <w:rPr>
                <w:lang w:val="fi-FI"/>
              </w:rPr>
            </w:pPr>
            <w:r w:rsidRPr="00E43D41">
              <w:t>1</w:t>
            </w:r>
          </w:p>
        </w:tc>
        <w:tc>
          <w:tcPr>
            <w:tcW w:w="451" w:type="pct"/>
            <w:shd w:val="clear" w:color="auto" w:fill="auto"/>
            <w:vAlign w:val="center"/>
            <w:hideMark/>
          </w:tcPr>
          <w:p w14:paraId="4C26B17F"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037440BD"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1DE43FD8"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58720940"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29D9B68A"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203CA141" w14:textId="77777777" w:rsidR="00E43D41" w:rsidRPr="00E43D41" w:rsidRDefault="00E43D41" w:rsidP="00F943E7">
            <w:pPr>
              <w:pStyle w:val="a-I-EUBodytextsingle"/>
              <w:spacing w:line="276" w:lineRule="auto"/>
              <w:rPr>
                <w:lang w:val="fi-FI"/>
              </w:rPr>
            </w:pPr>
            <w:r w:rsidRPr="00E43D41">
              <w:t> </w:t>
            </w:r>
          </w:p>
        </w:tc>
        <w:tc>
          <w:tcPr>
            <w:tcW w:w="450" w:type="pct"/>
            <w:shd w:val="clear" w:color="auto" w:fill="auto"/>
            <w:vAlign w:val="center"/>
            <w:hideMark/>
          </w:tcPr>
          <w:p w14:paraId="5102FB47" w14:textId="77777777" w:rsidR="00E43D41" w:rsidRPr="00E43D41" w:rsidRDefault="00E43D41" w:rsidP="00F943E7">
            <w:pPr>
              <w:pStyle w:val="a-I-EUBodytextsingle"/>
              <w:spacing w:line="276" w:lineRule="auto"/>
              <w:rPr>
                <w:lang w:val="fi-FI"/>
              </w:rPr>
            </w:pPr>
            <w:r w:rsidRPr="00E43D41">
              <w:t> </w:t>
            </w:r>
          </w:p>
        </w:tc>
      </w:tr>
      <w:tr w:rsidR="00E43D41" w:rsidRPr="00E43D41" w14:paraId="73C72704" w14:textId="77777777" w:rsidTr="00F5402A">
        <w:tc>
          <w:tcPr>
            <w:tcW w:w="1393" w:type="pct"/>
            <w:shd w:val="clear" w:color="auto" w:fill="auto"/>
            <w:vAlign w:val="center"/>
            <w:hideMark/>
          </w:tcPr>
          <w:p w14:paraId="017A44B1" w14:textId="77777777" w:rsidR="00E43D41" w:rsidRPr="00E43D41" w:rsidRDefault="00E43D41" w:rsidP="00F943E7">
            <w:pPr>
              <w:pStyle w:val="a-I-EUBodytextsingle"/>
              <w:spacing w:line="276" w:lineRule="auto"/>
              <w:rPr>
                <w:lang w:val="fi-FI"/>
              </w:rPr>
            </w:pPr>
            <w:r w:rsidRPr="00E43D41">
              <w:t>Centre of Expertise Bio based Economy (COEBBE)</w:t>
            </w:r>
          </w:p>
        </w:tc>
        <w:tc>
          <w:tcPr>
            <w:tcW w:w="451" w:type="pct"/>
            <w:shd w:val="clear" w:color="auto" w:fill="auto"/>
            <w:vAlign w:val="center"/>
            <w:hideMark/>
          </w:tcPr>
          <w:p w14:paraId="4AA9FDD0" w14:textId="77777777" w:rsidR="00E43D41" w:rsidRPr="00E43D41" w:rsidRDefault="00E43D41" w:rsidP="00F943E7">
            <w:pPr>
              <w:pStyle w:val="a-I-EUBodytextsingle"/>
              <w:spacing w:line="276" w:lineRule="auto"/>
              <w:rPr>
                <w:lang w:val="fi-FI"/>
              </w:rPr>
            </w:pPr>
            <w:r w:rsidRPr="00E43D41">
              <w:t>1</w:t>
            </w:r>
          </w:p>
        </w:tc>
        <w:tc>
          <w:tcPr>
            <w:tcW w:w="451" w:type="pct"/>
            <w:shd w:val="clear" w:color="auto" w:fill="auto"/>
            <w:vAlign w:val="center"/>
            <w:hideMark/>
          </w:tcPr>
          <w:p w14:paraId="767AE14A" w14:textId="77777777" w:rsidR="00E43D41" w:rsidRPr="00E43D41" w:rsidRDefault="00E43D41" w:rsidP="00F943E7">
            <w:pPr>
              <w:pStyle w:val="a-I-EUBodytextsingle"/>
              <w:spacing w:line="276" w:lineRule="auto"/>
              <w:rPr>
                <w:lang w:val="fi-FI"/>
              </w:rPr>
            </w:pPr>
            <w:r w:rsidRPr="00E43D41">
              <w:t>1</w:t>
            </w:r>
          </w:p>
        </w:tc>
        <w:tc>
          <w:tcPr>
            <w:tcW w:w="451" w:type="pct"/>
            <w:shd w:val="clear" w:color="auto" w:fill="auto"/>
            <w:vAlign w:val="center"/>
            <w:hideMark/>
          </w:tcPr>
          <w:p w14:paraId="6321B92F"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1FCA3018"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2AA3D167"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69A5173C"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7D794930" w14:textId="77777777" w:rsidR="00E43D41" w:rsidRPr="00E43D41" w:rsidRDefault="00E43D41" w:rsidP="00F943E7">
            <w:pPr>
              <w:pStyle w:val="a-I-EUBodytextsingle"/>
              <w:spacing w:line="276" w:lineRule="auto"/>
              <w:rPr>
                <w:lang w:val="fi-FI"/>
              </w:rPr>
            </w:pPr>
            <w:r w:rsidRPr="00E43D41">
              <w:t> </w:t>
            </w:r>
          </w:p>
        </w:tc>
        <w:tc>
          <w:tcPr>
            <w:tcW w:w="450" w:type="pct"/>
            <w:shd w:val="clear" w:color="auto" w:fill="auto"/>
            <w:vAlign w:val="center"/>
            <w:hideMark/>
          </w:tcPr>
          <w:p w14:paraId="30F9A1F6" w14:textId="77777777" w:rsidR="00E43D41" w:rsidRPr="00E43D41" w:rsidRDefault="00E43D41" w:rsidP="00F943E7">
            <w:pPr>
              <w:pStyle w:val="a-I-EUBodytextsingle"/>
              <w:spacing w:line="276" w:lineRule="auto"/>
              <w:rPr>
                <w:lang w:val="fi-FI"/>
              </w:rPr>
            </w:pPr>
            <w:r w:rsidRPr="00E43D41">
              <w:t> </w:t>
            </w:r>
          </w:p>
        </w:tc>
      </w:tr>
      <w:tr w:rsidR="00E43D41" w:rsidRPr="00E43D41" w14:paraId="3CA0CB32" w14:textId="77777777" w:rsidTr="00F5402A">
        <w:tc>
          <w:tcPr>
            <w:tcW w:w="1393" w:type="pct"/>
            <w:shd w:val="clear" w:color="auto" w:fill="auto"/>
            <w:vAlign w:val="center"/>
            <w:hideMark/>
          </w:tcPr>
          <w:p w14:paraId="3A30BDB0" w14:textId="77777777" w:rsidR="00E43D41" w:rsidRPr="00E43D41" w:rsidRDefault="00E43D41" w:rsidP="00F943E7">
            <w:pPr>
              <w:pStyle w:val="a-I-EUBodytextsingle"/>
              <w:spacing w:line="276" w:lineRule="auto"/>
              <w:rPr>
                <w:lang w:val="fi-FI"/>
              </w:rPr>
            </w:pPr>
            <w:r w:rsidRPr="00E43D41">
              <w:t>Synberc</w:t>
            </w:r>
          </w:p>
        </w:tc>
        <w:tc>
          <w:tcPr>
            <w:tcW w:w="451" w:type="pct"/>
            <w:shd w:val="clear" w:color="auto" w:fill="auto"/>
            <w:vAlign w:val="center"/>
            <w:hideMark/>
          </w:tcPr>
          <w:p w14:paraId="7AE9DEE1" w14:textId="77777777" w:rsidR="00E43D41" w:rsidRPr="00E43D41" w:rsidRDefault="00E43D41" w:rsidP="00F943E7">
            <w:pPr>
              <w:pStyle w:val="a-I-EUBodytextsingle"/>
              <w:spacing w:line="276" w:lineRule="auto"/>
              <w:rPr>
                <w:lang w:val="fi-FI"/>
              </w:rPr>
            </w:pPr>
            <w:r w:rsidRPr="00E43D41">
              <w:t>1</w:t>
            </w:r>
          </w:p>
        </w:tc>
        <w:tc>
          <w:tcPr>
            <w:tcW w:w="451" w:type="pct"/>
            <w:shd w:val="clear" w:color="auto" w:fill="auto"/>
            <w:vAlign w:val="center"/>
            <w:hideMark/>
          </w:tcPr>
          <w:p w14:paraId="791844B0"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331003F5"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087496C3"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7BC878A0"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54C87E65"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2AA5D4AA" w14:textId="77777777" w:rsidR="00E43D41" w:rsidRPr="00E43D41" w:rsidRDefault="00E43D41" w:rsidP="00F943E7">
            <w:pPr>
              <w:pStyle w:val="a-I-EUBodytextsingle"/>
              <w:spacing w:line="276" w:lineRule="auto"/>
              <w:rPr>
                <w:lang w:val="fi-FI"/>
              </w:rPr>
            </w:pPr>
            <w:r w:rsidRPr="00E43D41">
              <w:t> </w:t>
            </w:r>
          </w:p>
        </w:tc>
        <w:tc>
          <w:tcPr>
            <w:tcW w:w="450" w:type="pct"/>
            <w:shd w:val="clear" w:color="auto" w:fill="auto"/>
            <w:vAlign w:val="center"/>
            <w:hideMark/>
          </w:tcPr>
          <w:p w14:paraId="36DC4DC8" w14:textId="77777777" w:rsidR="00E43D41" w:rsidRPr="00E43D41" w:rsidRDefault="00E43D41" w:rsidP="00F943E7">
            <w:pPr>
              <w:pStyle w:val="a-I-EUBodytextsingle"/>
              <w:spacing w:line="276" w:lineRule="auto"/>
              <w:rPr>
                <w:lang w:val="fi-FI"/>
              </w:rPr>
            </w:pPr>
            <w:r w:rsidRPr="00E43D41">
              <w:t>1</w:t>
            </w:r>
          </w:p>
        </w:tc>
      </w:tr>
      <w:tr w:rsidR="00E43D41" w:rsidRPr="00E43D41" w14:paraId="2D03383B" w14:textId="77777777" w:rsidTr="00F5402A">
        <w:tc>
          <w:tcPr>
            <w:tcW w:w="1393" w:type="pct"/>
            <w:shd w:val="clear" w:color="auto" w:fill="auto"/>
            <w:vAlign w:val="center"/>
            <w:hideMark/>
          </w:tcPr>
          <w:p w14:paraId="7FA01953" w14:textId="77777777" w:rsidR="00E43D41" w:rsidRPr="00E43D41" w:rsidRDefault="00E43D41" w:rsidP="00F943E7">
            <w:pPr>
              <w:pStyle w:val="a-I-EUBodytextsingle"/>
              <w:spacing w:line="276" w:lineRule="auto"/>
              <w:rPr>
                <w:lang w:val="fi-FI"/>
              </w:rPr>
            </w:pPr>
            <w:r w:rsidRPr="00E43D41">
              <w:t>The Bio Economy Science Centre, Jülich (Nordrhein-Westfalen)</w:t>
            </w:r>
          </w:p>
        </w:tc>
        <w:tc>
          <w:tcPr>
            <w:tcW w:w="451" w:type="pct"/>
            <w:shd w:val="clear" w:color="auto" w:fill="auto"/>
            <w:vAlign w:val="center"/>
            <w:hideMark/>
          </w:tcPr>
          <w:p w14:paraId="3BF86F07" w14:textId="77777777" w:rsidR="00E43D41" w:rsidRPr="00E43D41" w:rsidRDefault="00E43D41" w:rsidP="00F943E7">
            <w:pPr>
              <w:pStyle w:val="a-I-EUBodytextsingle"/>
              <w:spacing w:line="276" w:lineRule="auto"/>
              <w:rPr>
                <w:lang w:val="fi-FI"/>
              </w:rPr>
            </w:pPr>
            <w:r w:rsidRPr="00E43D41">
              <w:t>1</w:t>
            </w:r>
          </w:p>
        </w:tc>
        <w:tc>
          <w:tcPr>
            <w:tcW w:w="451" w:type="pct"/>
            <w:shd w:val="clear" w:color="auto" w:fill="auto"/>
            <w:vAlign w:val="center"/>
            <w:hideMark/>
          </w:tcPr>
          <w:p w14:paraId="44C82C58" w14:textId="77777777" w:rsidR="00E43D41" w:rsidRPr="00E43D41" w:rsidRDefault="00E43D41" w:rsidP="00F943E7">
            <w:pPr>
              <w:pStyle w:val="a-I-EUBodytextsingle"/>
              <w:spacing w:line="276" w:lineRule="auto"/>
              <w:rPr>
                <w:lang w:val="fi-FI"/>
              </w:rPr>
            </w:pPr>
            <w:r w:rsidRPr="00E43D41">
              <w:rPr>
                <w:lang w:val="fi-FI"/>
              </w:rPr>
              <w:t> </w:t>
            </w:r>
          </w:p>
        </w:tc>
        <w:tc>
          <w:tcPr>
            <w:tcW w:w="451" w:type="pct"/>
            <w:shd w:val="clear" w:color="auto" w:fill="auto"/>
            <w:vAlign w:val="center"/>
            <w:hideMark/>
          </w:tcPr>
          <w:p w14:paraId="4E5A0CC7"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6FA8FBD7"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40D2673C"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62CF33A6"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41FD52C1" w14:textId="77777777" w:rsidR="00E43D41" w:rsidRPr="00E43D41" w:rsidRDefault="00E43D41" w:rsidP="00F943E7">
            <w:pPr>
              <w:pStyle w:val="a-I-EUBodytextsingle"/>
              <w:spacing w:line="276" w:lineRule="auto"/>
              <w:rPr>
                <w:lang w:val="fi-FI"/>
              </w:rPr>
            </w:pPr>
            <w:r w:rsidRPr="00E43D41">
              <w:t> </w:t>
            </w:r>
          </w:p>
        </w:tc>
        <w:tc>
          <w:tcPr>
            <w:tcW w:w="450" w:type="pct"/>
            <w:shd w:val="clear" w:color="auto" w:fill="auto"/>
            <w:vAlign w:val="center"/>
            <w:hideMark/>
          </w:tcPr>
          <w:p w14:paraId="2E5C7BB9" w14:textId="77777777" w:rsidR="00E43D41" w:rsidRPr="00E43D41" w:rsidRDefault="00E43D41" w:rsidP="00F943E7">
            <w:pPr>
              <w:pStyle w:val="a-I-EUBodytextsingle"/>
              <w:spacing w:line="276" w:lineRule="auto"/>
              <w:rPr>
                <w:lang w:val="fi-FI"/>
              </w:rPr>
            </w:pPr>
            <w:r w:rsidRPr="00E43D41">
              <w:t>1</w:t>
            </w:r>
          </w:p>
        </w:tc>
      </w:tr>
      <w:tr w:rsidR="00BD0C76" w:rsidRPr="00E43D41" w14:paraId="30D6B3D5" w14:textId="77777777" w:rsidTr="00F5402A">
        <w:tc>
          <w:tcPr>
            <w:tcW w:w="1393" w:type="pct"/>
            <w:shd w:val="clear" w:color="auto" w:fill="auto"/>
            <w:vAlign w:val="center"/>
          </w:tcPr>
          <w:p w14:paraId="3A718729" w14:textId="07326209" w:rsidR="00BD0C76" w:rsidRPr="00E43D41" w:rsidRDefault="00202F4A" w:rsidP="00F943E7">
            <w:pPr>
              <w:pStyle w:val="a-I-EUBodytextsingle"/>
              <w:spacing w:line="276" w:lineRule="auto"/>
            </w:pPr>
            <w:r w:rsidRPr="00E43D41">
              <w:t>ETH – Zurich Competence Centre</w:t>
            </w:r>
          </w:p>
        </w:tc>
        <w:tc>
          <w:tcPr>
            <w:tcW w:w="451" w:type="pct"/>
            <w:shd w:val="clear" w:color="auto" w:fill="auto"/>
            <w:vAlign w:val="center"/>
          </w:tcPr>
          <w:p w14:paraId="305B03BE" w14:textId="77777777" w:rsidR="00BD0C76" w:rsidRPr="00E43D41" w:rsidRDefault="00BD0C76" w:rsidP="00F943E7">
            <w:pPr>
              <w:pStyle w:val="a-I-EUBodytextsingle"/>
              <w:spacing w:line="276" w:lineRule="auto"/>
            </w:pPr>
          </w:p>
        </w:tc>
        <w:tc>
          <w:tcPr>
            <w:tcW w:w="451" w:type="pct"/>
            <w:shd w:val="clear" w:color="auto" w:fill="auto"/>
            <w:vAlign w:val="center"/>
          </w:tcPr>
          <w:p w14:paraId="2EAB4D51" w14:textId="77777777" w:rsidR="00BD0C76" w:rsidRPr="00E43D41" w:rsidRDefault="00BD0C76" w:rsidP="00F943E7">
            <w:pPr>
              <w:pStyle w:val="a-I-EUBodytextsingle"/>
              <w:spacing w:line="276" w:lineRule="auto"/>
              <w:rPr>
                <w:lang w:val="fi-FI"/>
              </w:rPr>
            </w:pPr>
          </w:p>
        </w:tc>
        <w:tc>
          <w:tcPr>
            <w:tcW w:w="451" w:type="pct"/>
            <w:shd w:val="clear" w:color="auto" w:fill="auto"/>
            <w:vAlign w:val="center"/>
          </w:tcPr>
          <w:p w14:paraId="7CC1E63A" w14:textId="77777777" w:rsidR="00BD0C76" w:rsidRPr="00E43D41" w:rsidRDefault="00BD0C76" w:rsidP="00F943E7">
            <w:pPr>
              <w:pStyle w:val="a-I-EUBodytextsingle"/>
              <w:spacing w:line="276" w:lineRule="auto"/>
            </w:pPr>
          </w:p>
        </w:tc>
        <w:tc>
          <w:tcPr>
            <w:tcW w:w="451" w:type="pct"/>
            <w:shd w:val="clear" w:color="auto" w:fill="auto"/>
            <w:vAlign w:val="center"/>
          </w:tcPr>
          <w:p w14:paraId="35AA3C0D" w14:textId="77777777" w:rsidR="00BD0C76" w:rsidRPr="00E43D41" w:rsidRDefault="00BD0C76" w:rsidP="00F943E7">
            <w:pPr>
              <w:pStyle w:val="a-I-EUBodytextsingle"/>
              <w:spacing w:line="276" w:lineRule="auto"/>
            </w:pPr>
          </w:p>
        </w:tc>
        <w:tc>
          <w:tcPr>
            <w:tcW w:w="451" w:type="pct"/>
            <w:shd w:val="clear" w:color="auto" w:fill="auto"/>
            <w:vAlign w:val="center"/>
          </w:tcPr>
          <w:p w14:paraId="5ECE97A9" w14:textId="77777777" w:rsidR="00BD0C76" w:rsidRPr="00E43D41" w:rsidRDefault="00BD0C76" w:rsidP="00F943E7">
            <w:pPr>
              <w:pStyle w:val="a-I-EUBodytextsingle"/>
              <w:spacing w:line="276" w:lineRule="auto"/>
            </w:pPr>
          </w:p>
        </w:tc>
        <w:tc>
          <w:tcPr>
            <w:tcW w:w="451" w:type="pct"/>
            <w:shd w:val="clear" w:color="auto" w:fill="auto"/>
            <w:vAlign w:val="center"/>
          </w:tcPr>
          <w:p w14:paraId="369D1F8A" w14:textId="77777777" w:rsidR="00BD0C76" w:rsidRPr="00E43D41" w:rsidRDefault="00BD0C76" w:rsidP="00F943E7">
            <w:pPr>
              <w:pStyle w:val="a-I-EUBodytextsingle"/>
              <w:spacing w:line="276" w:lineRule="auto"/>
            </w:pPr>
          </w:p>
        </w:tc>
        <w:tc>
          <w:tcPr>
            <w:tcW w:w="451" w:type="pct"/>
            <w:shd w:val="clear" w:color="auto" w:fill="auto"/>
            <w:vAlign w:val="center"/>
          </w:tcPr>
          <w:p w14:paraId="44CFAF40" w14:textId="77777777" w:rsidR="00BD0C76" w:rsidRPr="00E43D41" w:rsidRDefault="00BD0C76" w:rsidP="00F943E7">
            <w:pPr>
              <w:pStyle w:val="a-I-EUBodytextsingle"/>
              <w:spacing w:line="276" w:lineRule="auto"/>
            </w:pPr>
          </w:p>
        </w:tc>
        <w:tc>
          <w:tcPr>
            <w:tcW w:w="450" w:type="pct"/>
            <w:shd w:val="clear" w:color="auto" w:fill="auto"/>
            <w:vAlign w:val="center"/>
          </w:tcPr>
          <w:p w14:paraId="6E82F3FA" w14:textId="77777777" w:rsidR="00BD0C76" w:rsidRPr="00E43D41" w:rsidRDefault="00BD0C76" w:rsidP="00F943E7">
            <w:pPr>
              <w:pStyle w:val="a-I-EUBodytextsingle"/>
              <w:spacing w:line="276" w:lineRule="auto"/>
            </w:pPr>
          </w:p>
        </w:tc>
      </w:tr>
      <w:tr w:rsidR="00E43D41" w:rsidRPr="00E43D41" w14:paraId="3CA393CD" w14:textId="77777777" w:rsidTr="00F5402A">
        <w:trPr>
          <w:trHeight w:val="222"/>
        </w:trPr>
        <w:tc>
          <w:tcPr>
            <w:tcW w:w="1393" w:type="pct"/>
            <w:vMerge w:val="restart"/>
            <w:shd w:val="clear" w:color="auto" w:fill="auto"/>
            <w:vAlign w:val="center"/>
            <w:hideMark/>
          </w:tcPr>
          <w:p w14:paraId="6F9108F8" w14:textId="7C47D6F2" w:rsidR="00E43D41" w:rsidRPr="00E43D41" w:rsidRDefault="00202F4A" w:rsidP="00F943E7">
            <w:pPr>
              <w:pStyle w:val="a-I-EUBodytextsingle"/>
              <w:spacing w:line="276" w:lineRule="auto"/>
              <w:rPr>
                <w:lang w:val="fi-FI"/>
              </w:rPr>
            </w:pPr>
            <w:r w:rsidRPr="00E43D41">
              <w:t>Helsinki Innovation Services Ltd</w:t>
            </w:r>
          </w:p>
        </w:tc>
        <w:tc>
          <w:tcPr>
            <w:tcW w:w="451" w:type="pct"/>
            <w:vMerge w:val="restart"/>
            <w:shd w:val="clear" w:color="auto" w:fill="auto"/>
            <w:vAlign w:val="center"/>
            <w:hideMark/>
          </w:tcPr>
          <w:p w14:paraId="2A12149F" w14:textId="77777777" w:rsidR="00E43D41" w:rsidRPr="00E43D41" w:rsidRDefault="00E43D41" w:rsidP="00F943E7">
            <w:pPr>
              <w:pStyle w:val="a-I-EUBodytextsingle"/>
              <w:spacing w:line="276" w:lineRule="auto"/>
              <w:rPr>
                <w:lang w:val="fi-FI"/>
              </w:rPr>
            </w:pPr>
            <w:r w:rsidRPr="00E43D41">
              <w:t>1</w:t>
            </w:r>
          </w:p>
        </w:tc>
        <w:tc>
          <w:tcPr>
            <w:tcW w:w="451" w:type="pct"/>
            <w:vMerge w:val="restart"/>
            <w:shd w:val="clear" w:color="auto" w:fill="auto"/>
            <w:vAlign w:val="center"/>
            <w:hideMark/>
          </w:tcPr>
          <w:p w14:paraId="12ADDB6D" w14:textId="77777777" w:rsidR="00E43D41" w:rsidRPr="00E43D41" w:rsidRDefault="00E43D41" w:rsidP="00F943E7">
            <w:pPr>
              <w:pStyle w:val="a-I-EUBodytextsingle"/>
              <w:spacing w:line="276" w:lineRule="auto"/>
              <w:rPr>
                <w:lang w:val="fi-FI"/>
              </w:rPr>
            </w:pPr>
            <w:r w:rsidRPr="00E43D41">
              <w:t> </w:t>
            </w:r>
          </w:p>
        </w:tc>
        <w:tc>
          <w:tcPr>
            <w:tcW w:w="451" w:type="pct"/>
            <w:vMerge w:val="restart"/>
            <w:shd w:val="clear" w:color="auto" w:fill="auto"/>
            <w:vAlign w:val="center"/>
            <w:hideMark/>
          </w:tcPr>
          <w:p w14:paraId="32C798E6" w14:textId="77777777" w:rsidR="00E43D41" w:rsidRPr="00E43D41" w:rsidRDefault="00E43D41" w:rsidP="00F943E7">
            <w:pPr>
              <w:pStyle w:val="a-I-EUBodytextsingle"/>
              <w:spacing w:line="276" w:lineRule="auto"/>
              <w:rPr>
                <w:lang w:val="fi-FI"/>
              </w:rPr>
            </w:pPr>
            <w:r w:rsidRPr="00E43D41">
              <w:t> </w:t>
            </w:r>
          </w:p>
        </w:tc>
        <w:tc>
          <w:tcPr>
            <w:tcW w:w="451" w:type="pct"/>
            <w:vMerge w:val="restart"/>
            <w:shd w:val="clear" w:color="auto" w:fill="auto"/>
            <w:vAlign w:val="center"/>
            <w:hideMark/>
          </w:tcPr>
          <w:p w14:paraId="2E418127" w14:textId="77777777" w:rsidR="00E43D41" w:rsidRPr="00E43D41" w:rsidRDefault="00E43D41" w:rsidP="00F943E7">
            <w:pPr>
              <w:pStyle w:val="a-I-EUBodytextsingle"/>
              <w:spacing w:line="276" w:lineRule="auto"/>
              <w:rPr>
                <w:lang w:val="fi-FI"/>
              </w:rPr>
            </w:pPr>
            <w:r w:rsidRPr="00E43D41">
              <w:t> </w:t>
            </w:r>
          </w:p>
        </w:tc>
        <w:tc>
          <w:tcPr>
            <w:tcW w:w="451" w:type="pct"/>
            <w:vMerge w:val="restart"/>
            <w:shd w:val="clear" w:color="auto" w:fill="auto"/>
            <w:vAlign w:val="center"/>
            <w:hideMark/>
          </w:tcPr>
          <w:p w14:paraId="22048797" w14:textId="77777777" w:rsidR="00E43D41" w:rsidRPr="00E43D41" w:rsidRDefault="00E43D41" w:rsidP="00F943E7">
            <w:pPr>
              <w:pStyle w:val="a-I-EUBodytextsingle"/>
              <w:spacing w:line="276" w:lineRule="auto"/>
              <w:rPr>
                <w:lang w:val="fi-FI"/>
              </w:rPr>
            </w:pPr>
            <w:r w:rsidRPr="00E43D41">
              <w:t> </w:t>
            </w:r>
          </w:p>
        </w:tc>
        <w:tc>
          <w:tcPr>
            <w:tcW w:w="451" w:type="pct"/>
            <w:vMerge w:val="restart"/>
            <w:shd w:val="clear" w:color="auto" w:fill="auto"/>
            <w:vAlign w:val="center"/>
            <w:hideMark/>
          </w:tcPr>
          <w:p w14:paraId="22D27E34" w14:textId="77777777" w:rsidR="00E43D41" w:rsidRPr="00E43D41" w:rsidRDefault="00E43D41" w:rsidP="00F943E7">
            <w:pPr>
              <w:pStyle w:val="a-I-EUBodytextsingle"/>
              <w:spacing w:line="276" w:lineRule="auto"/>
              <w:rPr>
                <w:lang w:val="fi-FI"/>
              </w:rPr>
            </w:pPr>
            <w:r w:rsidRPr="00E43D41">
              <w:t> </w:t>
            </w:r>
          </w:p>
        </w:tc>
        <w:tc>
          <w:tcPr>
            <w:tcW w:w="451" w:type="pct"/>
            <w:vMerge w:val="restart"/>
            <w:shd w:val="clear" w:color="auto" w:fill="auto"/>
            <w:vAlign w:val="center"/>
            <w:hideMark/>
          </w:tcPr>
          <w:p w14:paraId="00405C46" w14:textId="77777777" w:rsidR="00E43D41" w:rsidRPr="00E43D41" w:rsidRDefault="00E43D41" w:rsidP="00F943E7">
            <w:pPr>
              <w:pStyle w:val="a-I-EUBodytextsingle"/>
              <w:spacing w:line="276" w:lineRule="auto"/>
              <w:rPr>
                <w:lang w:val="fi-FI"/>
              </w:rPr>
            </w:pPr>
            <w:r w:rsidRPr="00E43D41">
              <w:t> </w:t>
            </w:r>
          </w:p>
        </w:tc>
        <w:tc>
          <w:tcPr>
            <w:tcW w:w="450" w:type="pct"/>
            <w:vMerge w:val="restart"/>
            <w:shd w:val="clear" w:color="auto" w:fill="auto"/>
            <w:vAlign w:val="center"/>
            <w:hideMark/>
          </w:tcPr>
          <w:p w14:paraId="40209291" w14:textId="77777777" w:rsidR="00E43D41" w:rsidRPr="00E43D41" w:rsidRDefault="00E43D41" w:rsidP="00F943E7">
            <w:pPr>
              <w:pStyle w:val="a-I-EUBodytextsingle"/>
              <w:spacing w:line="276" w:lineRule="auto"/>
              <w:rPr>
                <w:lang w:val="fi-FI"/>
              </w:rPr>
            </w:pPr>
            <w:r w:rsidRPr="00E43D41">
              <w:t>1</w:t>
            </w:r>
          </w:p>
        </w:tc>
      </w:tr>
      <w:tr w:rsidR="00E43D41" w:rsidRPr="00E43D41" w14:paraId="03224ED0" w14:textId="77777777" w:rsidTr="00F5402A">
        <w:trPr>
          <w:trHeight w:val="217"/>
        </w:trPr>
        <w:tc>
          <w:tcPr>
            <w:tcW w:w="1393" w:type="pct"/>
            <w:vMerge/>
            <w:vAlign w:val="center"/>
            <w:hideMark/>
          </w:tcPr>
          <w:p w14:paraId="6A6A0081" w14:textId="77777777" w:rsidR="00E43D41" w:rsidRPr="00E43D41" w:rsidRDefault="00E43D41" w:rsidP="00F943E7">
            <w:pPr>
              <w:pStyle w:val="a-I-EUBodytextsingle"/>
              <w:spacing w:line="276" w:lineRule="auto"/>
              <w:rPr>
                <w:lang w:val="fi-FI"/>
              </w:rPr>
            </w:pPr>
          </w:p>
        </w:tc>
        <w:tc>
          <w:tcPr>
            <w:tcW w:w="451" w:type="pct"/>
            <w:vMerge/>
            <w:vAlign w:val="center"/>
            <w:hideMark/>
          </w:tcPr>
          <w:p w14:paraId="7FA23751" w14:textId="77777777" w:rsidR="00E43D41" w:rsidRPr="00E43D41" w:rsidRDefault="00E43D41" w:rsidP="00F943E7">
            <w:pPr>
              <w:pStyle w:val="a-I-EUBodytextsingle"/>
              <w:spacing w:line="276" w:lineRule="auto"/>
              <w:rPr>
                <w:lang w:val="fi-FI"/>
              </w:rPr>
            </w:pPr>
          </w:p>
        </w:tc>
        <w:tc>
          <w:tcPr>
            <w:tcW w:w="451" w:type="pct"/>
            <w:vMerge/>
            <w:vAlign w:val="center"/>
            <w:hideMark/>
          </w:tcPr>
          <w:p w14:paraId="0D311232" w14:textId="77777777" w:rsidR="00E43D41" w:rsidRPr="00E43D41" w:rsidRDefault="00E43D41" w:rsidP="00F943E7">
            <w:pPr>
              <w:pStyle w:val="a-I-EUBodytextsingle"/>
              <w:spacing w:line="276" w:lineRule="auto"/>
              <w:rPr>
                <w:lang w:val="fi-FI"/>
              </w:rPr>
            </w:pPr>
          </w:p>
        </w:tc>
        <w:tc>
          <w:tcPr>
            <w:tcW w:w="451" w:type="pct"/>
            <w:vMerge/>
            <w:vAlign w:val="center"/>
            <w:hideMark/>
          </w:tcPr>
          <w:p w14:paraId="2E93ADB4" w14:textId="77777777" w:rsidR="00E43D41" w:rsidRPr="00E43D41" w:rsidRDefault="00E43D41" w:rsidP="00F943E7">
            <w:pPr>
              <w:pStyle w:val="a-I-EUBodytextsingle"/>
              <w:spacing w:line="276" w:lineRule="auto"/>
              <w:rPr>
                <w:lang w:val="fi-FI"/>
              </w:rPr>
            </w:pPr>
          </w:p>
        </w:tc>
        <w:tc>
          <w:tcPr>
            <w:tcW w:w="451" w:type="pct"/>
            <w:vMerge/>
            <w:vAlign w:val="center"/>
            <w:hideMark/>
          </w:tcPr>
          <w:p w14:paraId="727BAC4D" w14:textId="77777777" w:rsidR="00E43D41" w:rsidRPr="00E43D41" w:rsidRDefault="00E43D41" w:rsidP="00F943E7">
            <w:pPr>
              <w:pStyle w:val="a-I-EUBodytextsingle"/>
              <w:spacing w:line="276" w:lineRule="auto"/>
              <w:rPr>
                <w:lang w:val="fi-FI"/>
              </w:rPr>
            </w:pPr>
          </w:p>
        </w:tc>
        <w:tc>
          <w:tcPr>
            <w:tcW w:w="451" w:type="pct"/>
            <w:vMerge/>
            <w:vAlign w:val="center"/>
            <w:hideMark/>
          </w:tcPr>
          <w:p w14:paraId="0D8E04FB" w14:textId="77777777" w:rsidR="00E43D41" w:rsidRPr="00E43D41" w:rsidRDefault="00E43D41" w:rsidP="00F943E7">
            <w:pPr>
              <w:pStyle w:val="a-I-EUBodytextsingle"/>
              <w:spacing w:line="276" w:lineRule="auto"/>
              <w:rPr>
                <w:lang w:val="fi-FI"/>
              </w:rPr>
            </w:pPr>
          </w:p>
        </w:tc>
        <w:tc>
          <w:tcPr>
            <w:tcW w:w="451" w:type="pct"/>
            <w:vMerge/>
            <w:vAlign w:val="center"/>
            <w:hideMark/>
          </w:tcPr>
          <w:p w14:paraId="1C61C02B" w14:textId="77777777" w:rsidR="00E43D41" w:rsidRPr="00E43D41" w:rsidRDefault="00E43D41" w:rsidP="00F943E7">
            <w:pPr>
              <w:pStyle w:val="a-I-EUBodytextsingle"/>
              <w:spacing w:line="276" w:lineRule="auto"/>
              <w:rPr>
                <w:lang w:val="fi-FI"/>
              </w:rPr>
            </w:pPr>
          </w:p>
        </w:tc>
        <w:tc>
          <w:tcPr>
            <w:tcW w:w="451" w:type="pct"/>
            <w:vMerge/>
            <w:vAlign w:val="center"/>
            <w:hideMark/>
          </w:tcPr>
          <w:p w14:paraId="6D15E0D3" w14:textId="77777777" w:rsidR="00E43D41" w:rsidRPr="00E43D41" w:rsidRDefault="00E43D41" w:rsidP="00F943E7">
            <w:pPr>
              <w:pStyle w:val="a-I-EUBodytextsingle"/>
              <w:spacing w:line="276" w:lineRule="auto"/>
              <w:rPr>
                <w:lang w:val="fi-FI"/>
              </w:rPr>
            </w:pPr>
          </w:p>
        </w:tc>
        <w:tc>
          <w:tcPr>
            <w:tcW w:w="450" w:type="pct"/>
            <w:vMerge/>
            <w:vAlign w:val="center"/>
            <w:hideMark/>
          </w:tcPr>
          <w:p w14:paraId="7B5EE91F" w14:textId="77777777" w:rsidR="00E43D41" w:rsidRPr="00E43D41" w:rsidRDefault="00E43D41" w:rsidP="00F943E7">
            <w:pPr>
              <w:pStyle w:val="a-I-EUBodytextsingle"/>
              <w:spacing w:line="276" w:lineRule="auto"/>
              <w:rPr>
                <w:lang w:val="fi-FI"/>
              </w:rPr>
            </w:pPr>
          </w:p>
        </w:tc>
      </w:tr>
      <w:tr w:rsidR="00E43D41" w:rsidRPr="00E43D41" w14:paraId="73727AB8" w14:textId="77777777" w:rsidTr="00F5402A">
        <w:trPr>
          <w:trHeight w:val="222"/>
        </w:trPr>
        <w:tc>
          <w:tcPr>
            <w:tcW w:w="1393" w:type="pct"/>
            <w:vMerge w:val="restart"/>
            <w:shd w:val="clear" w:color="auto" w:fill="auto"/>
            <w:vAlign w:val="center"/>
            <w:hideMark/>
          </w:tcPr>
          <w:p w14:paraId="7B73DF38" w14:textId="77777777" w:rsidR="00E43D41" w:rsidRPr="00E43D41" w:rsidRDefault="00E43D41" w:rsidP="00F943E7">
            <w:pPr>
              <w:pStyle w:val="a-I-EUBodytextsingle"/>
              <w:spacing w:line="276" w:lineRule="auto"/>
              <w:rPr>
                <w:lang w:val="fi-FI"/>
              </w:rPr>
            </w:pPr>
            <w:r w:rsidRPr="00E43D41">
              <w:t>Slovenian national instrument for centres of excellence and competence centres</w:t>
            </w:r>
          </w:p>
        </w:tc>
        <w:tc>
          <w:tcPr>
            <w:tcW w:w="451" w:type="pct"/>
            <w:vMerge w:val="restart"/>
            <w:shd w:val="clear" w:color="auto" w:fill="auto"/>
            <w:vAlign w:val="center"/>
            <w:hideMark/>
          </w:tcPr>
          <w:p w14:paraId="2747715D" w14:textId="77777777" w:rsidR="00E43D41" w:rsidRPr="00E43D41" w:rsidRDefault="00E43D41" w:rsidP="00F943E7">
            <w:pPr>
              <w:pStyle w:val="a-I-EUBodytextsingle"/>
              <w:spacing w:line="276" w:lineRule="auto"/>
              <w:rPr>
                <w:lang w:val="fi-FI"/>
              </w:rPr>
            </w:pPr>
            <w:r w:rsidRPr="00E43D41">
              <w:t>1</w:t>
            </w:r>
          </w:p>
        </w:tc>
        <w:tc>
          <w:tcPr>
            <w:tcW w:w="451" w:type="pct"/>
            <w:vMerge w:val="restart"/>
            <w:shd w:val="clear" w:color="auto" w:fill="auto"/>
            <w:vAlign w:val="center"/>
            <w:hideMark/>
          </w:tcPr>
          <w:p w14:paraId="7AD4C6BC" w14:textId="77777777" w:rsidR="00E43D41" w:rsidRPr="00E43D41" w:rsidRDefault="00E43D41" w:rsidP="00F943E7">
            <w:pPr>
              <w:pStyle w:val="a-I-EUBodytextsingle"/>
              <w:spacing w:line="276" w:lineRule="auto"/>
              <w:rPr>
                <w:lang w:val="fi-FI"/>
              </w:rPr>
            </w:pPr>
            <w:r w:rsidRPr="00E43D41">
              <w:t>1</w:t>
            </w:r>
          </w:p>
        </w:tc>
        <w:tc>
          <w:tcPr>
            <w:tcW w:w="451" w:type="pct"/>
            <w:vMerge w:val="restart"/>
            <w:shd w:val="clear" w:color="auto" w:fill="auto"/>
            <w:vAlign w:val="center"/>
            <w:hideMark/>
          </w:tcPr>
          <w:p w14:paraId="4FD92537" w14:textId="77777777" w:rsidR="00E43D41" w:rsidRPr="00E43D41" w:rsidRDefault="00E43D41" w:rsidP="00F943E7">
            <w:pPr>
              <w:pStyle w:val="a-I-EUBodytextsingle"/>
              <w:spacing w:line="276" w:lineRule="auto"/>
              <w:rPr>
                <w:lang w:val="fi-FI"/>
              </w:rPr>
            </w:pPr>
            <w:r w:rsidRPr="00E43D41">
              <w:t> </w:t>
            </w:r>
          </w:p>
        </w:tc>
        <w:tc>
          <w:tcPr>
            <w:tcW w:w="451" w:type="pct"/>
            <w:vMerge w:val="restart"/>
            <w:shd w:val="clear" w:color="auto" w:fill="auto"/>
            <w:vAlign w:val="center"/>
            <w:hideMark/>
          </w:tcPr>
          <w:p w14:paraId="58757FD4" w14:textId="77777777" w:rsidR="00E43D41" w:rsidRPr="00E43D41" w:rsidRDefault="00E43D41" w:rsidP="00F943E7">
            <w:pPr>
              <w:pStyle w:val="a-I-EUBodytextsingle"/>
              <w:spacing w:line="276" w:lineRule="auto"/>
              <w:rPr>
                <w:lang w:val="fi-FI"/>
              </w:rPr>
            </w:pPr>
            <w:r w:rsidRPr="00E43D41">
              <w:t> </w:t>
            </w:r>
          </w:p>
        </w:tc>
        <w:tc>
          <w:tcPr>
            <w:tcW w:w="451" w:type="pct"/>
            <w:vMerge w:val="restart"/>
            <w:shd w:val="clear" w:color="auto" w:fill="auto"/>
            <w:vAlign w:val="center"/>
            <w:hideMark/>
          </w:tcPr>
          <w:p w14:paraId="2EB5C17B" w14:textId="77777777" w:rsidR="00E43D41" w:rsidRPr="00E43D41" w:rsidRDefault="00E43D41" w:rsidP="00F943E7">
            <w:pPr>
              <w:pStyle w:val="a-I-EUBodytextsingle"/>
              <w:spacing w:line="276" w:lineRule="auto"/>
              <w:rPr>
                <w:lang w:val="fi-FI"/>
              </w:rPr>
            </w:pPr>
            <w:r w:rsidRPr="00E43D41">
              <w:t> </w:t>
            </w:r>
          </w:p>
        </w:tc>
        <w:tc>
          <w:tcPr>
            <w:tcW w:w="451" w:type="pct"/>
            <w:vMerge w:val="restart"/>
            <w:shd w:val="clear" w:color="auto" w:fill="auto"/>
            <w:vAlign w:val="center"/>
            <w:hideMark/>
          </w:tcPr>
          <w:p w14:paraId="0DCC60E1" w14:textId="77777777" w:rsidR="00E43D41" w:rsidRPr="00E43D41" w:rsidRDefault="00E43D41" w:rsidP="00F943E7">
            <w:pPr>
              <w:pStyle w:val="a-I-EUBodytextsingle"/>
              <w:spacing w:line="276" w:lineRule="auto"/>
              <w:rPr>
                <w:lang w:val="fi-FI"/>
              </w:rPr>
            </w:pPr>
            <w:r w:rsidRPr="00E43D41">
              <w:t> </w:t>
            </w:r>
          </w:p>
        </w:tc>
        <w:tc>
          <w:tcPr>
            <w:tcW w:w="451" w:type="pct"/>
            <w:vMerge w:val="restart"/>
            <w:shd w:val="clear" w:color="auto" w:fill="auto"/>
            <w:vAlign w:val="center"/>
            <w:hideMark/>
          </w:tcPr>
          <w:p w14:paraId="74AD5F5E" w14:textId="77777777" w:rsidR="00E43D41" w:rsidRPr="00E43D41" w:rsidRDefault="00E43D41" w:rsidP="00F943E7">
            <w:pPr>
              <w:pStyle w:val="a-I-EUBodytextsingle"/>
              <w:spacing w:line="276" w:lineRule="auto"/>
              <w:rPr>
                <w:lang w:val="fi-FI"/>
              </w:rPr>
            </w:pPr>
            <w:r w:rsidRPr="00E43D41">
              <w:t> </w:t>
            </w:r>
          </w:p>
        </w:tc>
        <w:tc>
          <w:tcPr>
            <w:tcW w:w="450" w:type="pct"/>
            <w:vMerge w:val="restart"/>
            <w:shd w:val="clear" w:color="auto" w:fill="auto"/>
            <w:vAlign w:val="center"/>
            <w:hideMark/>
          </w:tcPr>
          <w:p w14:paraId="3A308BDD" w14:textId="77777777" w:rsidR="00E43D41" w:rsidRPr="00E43D41" w:rsidRDefault="00E43D41" w:rsidP="00F943E7">
            <w:pPr>
              <w:pStyle w:val="a-I-EUBodytextsingle"/>
              <w:spacing w:line="276" w:lineRule="auto"/>
              <w:rPr>
                <w:lang w:val="fi-FI"/>
              </w:rPr>
            </w:pPr>
            <w:r w:rsidRPr="00E43D41">
              <w:t> </w:t>
            </w:r>
          </w:p>
        </w:tc>
      </w:tr>
      <w:tr w:rsidR="00E43D41" w:rsidRPr="00E43D41" w14:paraId="74999CE3" w14:textId="77777777" w:rsidTr="00F5402A">
        <w:trPr>
          <w:trHeight w:val="217"/>
        </w:trPr>
        <w:tc>
          <w:tcPr>
            <w:tcW w:w="1393" w:type="pct"/>
            <w:vMerge/>
            <w:vAlign w:val="center"/>
            <w:hideMark/>
          </w:tcPr>
          <w:p w14:paraId="09DAD218" w14:textId="77777777" w:rsidR="00E43D41" w:rsidRPr="00E43D41" w:rsidRDefault="00E43D41" w:rsidP="00F943E7">
            <w:pPr>
              <w:pStyle w:val="a-I-EUBodytextsingle"/>
              <w:spacing w:line="276" w:lineRule="auto"/>
              <w:rPr>
                <w:lang w:val="fi-FI"/>
              </w:rPr>
            </w:pPr>
          </w:p>
        </w:tc>
        <w:tc>
          <w:tcPr>
            <w:tcW w:w="451" w:type="pct"/>
            <w:vMerge/>
            <w:vAlign w:val="center"/>
            <w:hideMark/>
          </w:tcPr>
          <w:p w14:paraId="2ABA8FE7" w14:textId="77777777" w:rsidR="00E43D41" w:rsidRPr="00E43D41" w:rsidRDefault="00E43D41" w:rsidP="00F943E7">
            <w:pPr>
              <w:pStyle w:val="a-I-EUBodytextsingle"/>
              <w:spacing w:line="276" w:lineRule="auto"/>
              <w:rPr>
                <w:lang w:val="fi-FI"/>
              </w:rPr>
            </w:pPr>
          </w:p>
        </w:tc>
        <w:tc>
          <w:tcPr>
            <w:tcW w:w="451" w:type="pct"/>
            <w:vMerge/>
            <w:vAlign w:val="center"/>
            <w:hideMark/>
          </w:tcPr>
          <w:p w14:paraId="522F58B3" w14:textId="77777777" w:rsidR="00E43D41" w:rsidRPr="00E43D41" w:rsidRDefault="00E43D41" w:rsidP="00F943E7">
            <w:pPr>
              <w:pStyle w:val="a-I-EUBodytextsingle"/>
              <w:spacing w:line="276" w:lineRule="auto"/>
              <w:rPr>
                <w:lang w:val="fi-FI"/>
              </w:rPr>
            </w:pPr>
          </w:p>
        </w:tc>
        <w:tc>
          <w:tcPr>
            <w:tcW w:w="451" w:type="pct"/>
            <w:vMerge/>
            <w:vAlign w:val="center"/>
            <w:hideMark/>
          </w:tcPr>
          <w:p w14:paraId="7D6AA550" w14:textId="77777777" w:rsidR="00E43D41" w:rsidRPr="00E43D41" w:rsidRDefault="00E43D41" w:rsidP="00F943E7">
            <w:pPr>
              <w:pStyle w:val="a-I-EUBodytextsingle"/>
              <w:spacing w:line="276" w:lineRule="auto"/>
              <w:rPr>
                <w:lang w:val="fi-FI"/>
              </w:rPr>
            </w:pPr>
          </w:p>
        </w:tc>
        <w:tc>
          <w:tcPr>
            <w:tcW w:w="451" w:type="pct"/>
            <w:vMerge/>
            <w:vAlign w:val="center"/>
            <w:hideMark/>
          </w:tcPr>
          <w:p w14:paraId="7F54E98A" w14:textId="77777777" w:rsidR="00E43D41" w:rsidRPr="00E43D41" w:rsidRDefault="00E43D41" w:rsidP="00F943E7">
            <w:pPr>
              <w:pStyle w:val="a-I-EUBodytextsingle"/>
              <w:spacing w:line="276" w:lineRule="auto"/>
              <w:rPr>
                <w:lang w:val="fi-FI"/>
              </w:rPr>
            </w:pPr>
          </w:p>
        </w:tc>
        <w:tc>
          <w:tcPr>
            <w:tcW w:w="451" w:type="pct"/>
            <w:vMerge/>
            <w:vAlign w:val="center"/>
            <w:hideMark/>
          </w:tcPr>
          <w:p w14:paraId="77906085" w14:textId="77777777" w:rsidR="00E43D41" w:rsidRPr="00E43D41" w:rsidRDefault="00E43D41" w:rsidP="00F943E7">
            <w:pPr>
              <w:pStyle w:val="a-I-EUBodytextsingle"/>
              <w:spacing w:line="276" w:lineRule="auto"/>
              <w:rPr>
                <w:lang w:val="fi-FI"/>
              </w:rPr>
            </w:pPr>
          </w:p>
        </w:tc>
        <w:tc>
          <w:tcPr>
            <w:tcW w:w="451" w:type="pct"/>
            <w:vMerge/>
            <w:vAlign w:val="center"/>
            <w:hideMark/>
          </w:tcPr>
          <w:p w14:paraId="78D3C539" w14:textId="77777777" w:rsidR="00E43D41" w:rsidRPr="00E43D41" w:rsidRDefault="00E43D41" w:rsidP="00F943E7">
            <w:pPr>
              <w:pStyle w:val="a-I-EUBodytextsingle"/>
              <w:spacing w:line="276" w:lineRule="auto"/>
              <w:rPr>
                <w:lang w:val="fi-FI"/>
              </w:rPr>
            </w:pPr>
          </w:p>
        </w:tc>
        <w:tc>
          <w:tcPr>
            <w:tcW w:w="451" w:type="pct"/>
            <w:vMerge/>
            <w:vAlign w:val="center"/>
            <w:hideMark/>
          </w:tcPr>
          <w:p w14:paraId="6F422619" w14:textId="77777777" w:rsidR="00E43D41" w:rsidRPr="00E43D41" w:rsidRDefault="00E43D41" w:rsidP="00F943E7">
            <w:pPr>
              <w:pStyle w:val="a-I-EUBodytextsingle"/>
              <w:spacing w:line="276" w:lineRule="auto"/>
              <w:rPr>
                <w:lang w:val="fi-FI"/>
              </w:rPr>
            </w:pPr>
          </w:p>
        </w:tc>
        <w:tc>
          <w:tcPr>
            <w:tcW w:w="450" w:type="pct"/>
            <w:vMerge/>
            <w:vAlign w:val="center"/>
            <w:hideMark/>
          </w:tcPr>
          <w:p w14:paraId="57BC79CD" w14:textId="77777777" w:rsidR="00E43D41" w:rsidRPr="00E43D41" w:rsidRDefault="00E43D41" w:rsidP="00F943E7">
            <w:pPr>
              <w:pStyle w:val="a-I-EUBodytextsingle"/>
              <w:spacing w:line="276" w:lineRule="auto"/>
              <w:rPr>
                <w:lang w:val="fi-FI"/>
              </w:rPr>
            </w:pPr>
          </w:p>
        </w:tc>
      </w:tr>
      <w:tr w:rsidR="00E43D41" w:rsidRPr="00E43D41" w14:paraId="3D0AA804" w14:textId="77777777" w:rsidTr="00F5402A">
        <w:tc>
          <w:tcPr>
            <w:tcW w:w="1393" w:type="pct"/>
            <w:shd w:val="clear" w:color="auto" w:fill="auto"/>
            <w:vAlign w:val="center"/>
            <w:hideMark/>
          </w:tcPr>
          <w:p w14:paraId="4424B47D" w14:textId="77777777" w:rsidR="00E43D41" w:rsidRPr="00E43D41" w:rsidRDefault="00E43D41" w:rsidP="00F943E7">
            <w:pPr>
              <w:pStyle w:val="a-I-EUBodytextsingle"/>
              <w:spacing w:line="276" w:lineRule="auto"/>
              <w:rPr>
                <w:lang w:val="fi-FI"/>
              </w:rPr>
            </w:pPr>
            <w:r w:rsidRPr="00E43D41">
              <w:t>Kantola Industrial Estate and Woodpolis</w:t>
            </w:r>
          </w:p>
        </w:tc>
        <w:tc>
          <w:tcPr>
            <w:tcW w:w="451" w:type="pct"/>
            <w:shd w:val="clear" w:color="auto" w:fill="auto"/>
            <w:vAlign w:val="center"/>
            <w:hideMark/>
          </w:tcPr>
          <w:p w14:paraId="4F2CFB59" w14:textId="77777777" w:rsidR="00E43D41" w:rsidRPr="00E43D41" w:rsidRDefault="00E43D41" w:rsidP="00F943E7">
            <w:pPr>
              <w:pStyle w:val="a-I-EUBodytextsingle"/>
              <w:spacing w:line="276" w:lineRule="auto"/>
              <w:rPr>
                <w:lang w:val="fi-FI"/>
              </w:rPr>
            </w:pPr>
            <w:r w:rsidRPr="00E43D41">
              <w:t>1</w:t>
            </w:r>
          </w:p>
        </w:tc>
        <w:tc>
          <w:tcPr>
            <w:tcW w:w="451" w:type="pct"/>
            <w:shd w:val="clear" w:color="auto" w:fill="auto"/>
            <w:vAlign w:val="center"/>
            <w:hideMark/>
          </w:tcPr>
          <w:p w14:paraId="0BB35A4E" w14:textId="77777777" w:rsidR="00E43D41" w:rsidRPr="00E43D41" w:rsidRDefault="00E43D41" w:rsidP="00F943E7">
            <w:pPr>
              <w:pStyle w:val="a-I-EUBodytextsingle"/>
              <w:spacing w:line="276" w:lineRule="auto"/>
              <w:rPr>
                <w:lang w:val="fi-FI"/>
              </w:rPr>
            </w:pPr>
            <w:r w:rsidRPr="00E43D41">
              <w:t>1</w:t>
            </w:r>
          </w:p>
        </w:tc>
        <w:tc>
          <w:tcPr>
            <w:tcW w:w="451" w:type="pct"/>
            <w:shd w:val="clear" w:color="auto" w:fill="auto"/>
            <w:vAlign w:val="center"/>
            <w:hideMark/>
          </w:tcPr>
          <w:p w14:paraId="7A9C150F"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50E0DF87"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5DEC1A47"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45B906A3"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664063D1" w14:textId="77777777" w:rsidR="00E43D41" w:rsidRPr="00E43D41" w:rsidRDefault="00E43D41" w:rsidP="00F943E7">
            <w:pPr>
              <w:pStyle w:val="a-I-EUBodytextsingle"/>
              <w:spacing w:line="276" w:lineRule="auto"/>
              <w:rPr>
                <w:lang w:val="fi-FI"/>
              </w:rPr>
            </w:pPr>
            <w:r w:rsidRPr="00E43D41">
              <w:t> </w:t>
            </w:r>
          </w:p>
        </w:tc>
        <w:tc>
          <w:tcPr>
            <w:tcW w:w="450" w:type="pct"/>
            <w:shd w:val="clear" w:color="auto" w:fill="auto"/>
            <w:vAlign w:val="center"/>
            <w:hideMark/>
          </w:tcPr>
          <w:p w14:paraId="4F424981" w14:textId="77777777" w:rsidR="00E43D41" w:rsidRPr="00E43D41" w:rsidRDefault="00E43D41" w:rsidP="00F943E7">
            <w:pPr>
              <w:pStyle w:val="a-I-EUBodytextsingle"/>
              <w:spacing w:line="276" w:lineRule="auto"/>
              <w:rPr>
                <w:lang w:val="fi-FI"/>
              </w:rPr>
            </w:pPr>
            <w:r w:rsidRPr="00E43D41">
              <w:t> </w:t>
            </w:r>
          </w:p>
        </w:tc>
      </w:tr>
      <w:tr w:rsidR="00E43D41" w:rsidRPr="00E43D41" w14:paraId="5C84092F" w14:textId="77777777" w:rsidTr="00F5402A">
        <w:tc>
          <w:tcPr>
            <w:tcW w:w="1393" w:type="pct"/>
            <w:shd w:val="clear" w:color="auto" w:fill="auto"/>
            <w:vAlign w:val="center"/>
            <w:hideMark/>
          </w:tcPr>
          <w:p w14:paraId="5CDC663C" w14:textId="77777777" w:rsidR="00E43D41" w:rsidRPr="00E43D41" w:rsidRDefault="00E43D41" w:rsidP="00F943E7">
            <w:pPr>
              <w:pStyle w:val="a-I-EUBodytextsingle"/>
              <w:spacing w:line="276" w:lineRule="auto"/>
              <w:rPr>
                <w:lang w:val="fi-FI"/>
              </w:rPr>
            </w:pPr>
            <w:r w:rsidRPr="00E43D41">
              <w:t>Centre for Measurement and Information Systems</w:t>
            </w:r>
          </w:p>
        </w:tc>
        <w:tc>
          <w:tcPr>
            <w:tcW w:w="451" w:type="pct"/>
            <w:shd w:val="clear" w:color="auto" w:fill="auto"/>
            <w:vAlign w:val="center"/>
            <w:hideMark/>
          </w:tcPr>
          <w:p w14:paraId="0E4B0243" w14:textId="77777777" w:rsidR="00E43D41" w:rsidRPr="00E43D41" w:rsidRDefault="00E43D41" w:rsidP="00F943E7">
            <w:pPr>
              <w:pStyle w:val="a-I-EUBodytextsingle"/>
              <w:spacing w:line="276" w:lineRule="auto"/>
              <w:rPr>
                <w:lang w:val="fi-FI"/>
              </w:rPr>
            </w:pPr>
            <w:r w:rsidRPr="00E43D41">
              <w:t>1</w:t>
            </w:r>
          </w:p>
        </w:tc>
        <w:tc>
          <w:tcPr>
            <w:tcW w:w="451" w:type="pct"/>
            <w:shd w:val="clear" w:color="auto" w:fill="auto"/>
            <w:vAlign w:val="center"/>
            <w:hideMark/>
          </w:tcPr>
          <w:p w14:paraId="6EA27E7B"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6ADB3316"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7643BD50"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1FC29CAD"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08016102"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37F33A22" w14:textId="77777777" w:rsidR="00E43D41" w:rsidRPr="00E43D41" w:rsidRDefault="00E43D41" w:rsidP="00F943E7">
            <w:pPr>
              <w:pStyle w:val="a-I-EUBodytextsingle"/>
              <w:spacing w:line="276" w:lineRule="auto"/>
              <w:rPr>
                <w:lang w:val="fi-FI"/>
              </w:rPr>
            </w:pPr>
            <w:r w:rsidRPr="00E43D41">
              <w:t> </w:t>
            </w:r>
          </w:p>
        </w:tc>
        <w:tc>
          <w:tcPr>
            <w:tcW w:w="450" w:type="pct"/>
            <w:shd w:val="clear" w:color="auto" w:fill="auto"/>
            <w:vAlign w:val="center"/>
            <w:hideMark/>
          </w:tcPr>
          <w:p w14:paraId="0909EADE" w14:textId="77777777" w:rsidR="00E43D41" w:rsidRPr="00E43D41" w:rsidRDefault="00E43D41" w:rsidP="00F943E7">
            <w:pPr>
              <w:pStyle w:val="a-I-EUBodytextsingle"/>
              <w:spacing w:line="276" w:lineRule="auto"/>
              <w:rPr>
                <w:lang w:val="fi-FI"/>
              </w:rPr>
            </w:pPr>
            <w:r w:rsidRPr="00E43D41">
              <w:t> </w:t>
            </w:r>
          </w:p>
        </w:tc>
      </w:tr>
      <w:tr w:rsidR="00E43D41" w:rsidRPr="00E43D41" w14:paraId="3F822445" w14:textId="77777777" w:rsidTr="00F5402A">
        <w:trPr>
          <w:trHeight w:val="217"/>
        </w:trPr>
        <w:tc>
          <w:tcPr>
            <w:tcW w:w="1393" w:type="pct"/>
            <w:vMerge w:val="restart"/>
            <w:shd w:val="clear" w:color="auto" w:fill="auto"/>
            <w:vAlign w:val="center"/>
            <w:hideMark/>
          </w:tcPr>
          <w:p w14:paraId="5061354D" w14:textId="77777777" w:rsidR="00E43D41" w:rsidRPr="00E43D41" w:rsidRDefault="00E43D41" w:rsidP="00F943E7">
            <w:pPr>
              <w:pStyle w:val="a-I-EUBodytextsingle"/>
              <w:spacing w:line="276" w:lineRule="auto"/>
              <w:rPr>
                <w:lang w:val="fi-FI"/>
              </w:rPr>
            </w:pPr>
            <w:r w:rsidRPr="00E43D41">
              <w:t>Large research infrastructure services for SMEs (Science Link &amp; Baltic TRAM projects)</w:t>
            </w:r>
          </w:p>
        </w:tc>
        <w:tc>
          <w:tcPr>
            <w:tcW w:w="451" w:type="pct"/>
            <w:vMerge w:val="restart"/>
            <w:shd w:val="clear" w:color="auto" w:fill="auto"/>
            <w:vAlign w:val="center"/>
            <w:hideMark/>
          </w:tcPr>
          <w:p w14:paraId="3C46B406" w14:textId="77777777" w:rsidR="00E43D41" w:rsidRPr="00E43D41" w:rsidRDefault="00E43D41" w:rsidP="00F943E7">
            <w:pPr>
              <w:pStyle w:val="a-I-EUBodytextsingle"/>
              <w:spacing w:line="276" w:lineRule="auto"/>
              <w:rPr>
                <w:lang w:val="fi-FI"/>
              </w:rPr>
            </w:pPr>
            <w:r w:rsidRPr="00E43D41">
              <w:t> </w:t>
            </w:r>
          </w:p>
        </w:tc>
        <w:tc>
          <w:tcPr>
            <w:tcW w:w="451" w:type="pct"/>
            <w:vMerge w:val="restart"/>
            <w:shd w:val="clear" w:color="auto" w:fill="auto"/>
            <w:vAlign w:val="center"/>
            <w:hideMark/>
          </w:tcPr>
          <w:p w14:paraId="7F7516FA" w14:textId="77777777" w:rsidR="00E43D41" w:rsidRPr="00E43D41" w:rsidRDefault="00E43D41" w:rsidP="00F943E7">
            <w:pPr>
              <w:pStyle w:val="a-I-EUBodytextsingle"/>
              <w:spacing w:line="276" w:lineRule="auto"/>
              <w:rPr>
                <w:lang w:val="fi-FI"/>
              </w:rPr>
            </w:pPr>
            <w:r w:rsidRPr="00E43D41">
              <w:t>1</w:t>
            </w:r>
          </w:p>
        </w:tc>
        <w:tc>
          <w:tcPr>
            <w:tcW w:w="451" w:type="pct"/>
            <w:vMerge w:val="restart"/>
            <w:shd w:val="clear" w:color="auto" w:fill="auto"/>
            <w:vAlign w:val="center"/>
            <w:hideMark/>
          </w:tcPr>
          <w:p w14:paraId="49FF7BFE" w14:textId="77777777" w:rsidR="00E43D41" w:rsidRPr="00E43D41" w:rsidRDefault="00E43D41" w:rsidP="00F943E7">
            <w:pPr>
              <w:pStyle w:val="a-I-EUBodytextsingle"/>
              <w:spacing w:line="276" w:lineRule="auto"/>
              <w:rPr>
                <w:lang w:val="fi-FI"/>
              </w:rPr>
            </w:pPr>
            <w:r w:rsidRPr="00E43D41">
              <w:t> </w:t>
            </w:r>
          </w:p>
        </w:tc>
        <w:tc>
          <w:tcPr>
            <w:tcW w:w="451" w:type="pct"/>
            <w:vMerge w:val="restart"/>
            <w:shd w:val="clear" w:color="auto" w:fill="auto"/>
            <w:vAlign w:val="center"/>
            <w:hideMark/>
          </w:tcPr>
          <w:p w14:paraId="69448CD2" w14:textId="77777777" w:rsidR="00E43D41" w:rsidRPr="00E43D41" w:rsidRDefault="00E43D41" w:rsidP="00F943E7">
            <w:pPr>
              <w:pStyle w:val="a-I-EUBodytextsingle"/>
              <w:spacing w:line="276" w:lineRule="auto"/>
              <w:rPr>
                <w:lang w:val="fi-FI"/>
              </w:rPr>
            </w:pPr>
            <w:r w:rsidRPr="00E43D41">
              <w:t> </w:t>
            </w:r>
          </w:p>
        </w:tc>
        <w:tc>
          <w:tcPr>
            <w:tcW w:w="451" w:type="pct"/>
            <w:vMerge w:val="restart"/>
            <w:shd w:val="clear" w:color="auto" w:fill="auto"/>
            <w:vAlign w:val="center"/>
            <w:hideMark/>
          </w:tcPr>
          <w:p w14:paraId="05DB546C" w14:textId="77777777" w:rsidR="00E43D41" w:rsidRPr="00E43D41" w:rsidRDefault="00E43D41" w:rsidP="00F943E7">
            <w:pPr>
              <w:pStyle w:val="a-I-EUBodytextsingle"/>
              <w:spacing w:line="276" w:lineRule="auto"/>
              <w:rPr>
                <w:lang w:val="fi-FI"/>
              </w:rPr>
            </w:pPr>
            <w:r w:rsidRPr="00E43D41">
              <w:t> </w:t>
            </w:r>
          </w:p>
        </w:tc>
        <w:tc>
          <w:tcPr>
            <w:tcW w:w="451" w:type="pct"/>
            <w:vMerge w:val="restart"/>
            <w:shd w:val="clear" w:color="auto" w:fill="auto"/>
            <w:vAlign w:val="center"/>
            <w:hideMark/>
          </w:tcPr>
          <w:p w14:paraId="4A425793" w14:textId="77777777" w:rsidR="00E43D41" w:rsidRPr="00E43D41" w:rsidRDefault="00E43D41" w:rsidP="00F943E7">
            <w:pPr>
              <w:pStyle w:val="a-I-EUBodytextsingle"/>
              <w:spacing w:line="276" w:lineRule="auto"/>
              <w:rPr>
                <w:lang w:val="fi-FI"/>
              </w:rPr>
            </w:pPr>
            <w:r w:rsidRPr="00E43D41">
              <w:t> </w:t>
            </w:r>
          </w:p>
        </w:tc>
        <w:tc>
          <w:tcPr>
            <w:tcW w:w="451" w:type="pct"/>
            <w:vMerge w:val="restart"/>
            <w:shd w:val="clear" w:color="auto" w:fill="auto"/>
            <w:vAlign w:val="center"/>
            <w:hideMark/>
          </w:tcPr>
          <w:p w14:paraId="6E267FE9" w14:textId="77777777" w:rsidR="00E43D41" w:rsidRPr="00E43D41" w:rsidRDefault="00E43D41" w:rsidP="00F943E7">
            <w:pPr>
              <w:pStyle w:val="a-I-EUBodytextsingle"/>
              <w:spacing w:line="276" w:lineRule="auto"/>
              <w:rPr>
                <w:lang w:val="fi-FI"/>
              </w:rPr>
            </w:pPr>
            <w:r w:rsidRPr="00E43D41">
              <w:t> </w:t>
            </w:r>
          </w:p>
        </w:tc>
        <w:tc>
          <w:tcPr>
            <w:tcW w:w="450" w:type="pct"/>
            <w:vMerge w:val="restart"/>
            <w:shd w:val="clear" w:color="auto" w:fill="auto"/>
            <w:vAlign w:val="center"/>
            <w:hideMark/>
          </w:tcPr>
          <w:p w14:paraId="560601DB" w14:textId="77777777" w:rsidR="00E43D41" w:rsidRPr="00E43D41" w:rsidRDefault="00E43D41" w:rsidP="00F943E7">
            <w:pPr>
              <w:pStyle w:val="a-I-EUBodytextsingle"/>
              <w:spacing w:line="276" w:lineRule="auto"/>
              <w:rPr>
                <w:lang w:val="fi-FI"/>
              </w:rPr>
            </w:pPr>
            <w:r w:rsidRPr="00E43D41">
              <w:t> </w:t>
            </w:r>
          </w:p>
        </w:tc>
      </w:tr>
      <w:tr w:rsidR="00E43D41" w:rsidRPr="00E43D41" w14:paraId="7F2E91E0" w14:textId="77777777" w:rsidTr="00F5402A">
        <w:trPr>
          <w:trHeight w:val="217"/>
        </w:trPr>
        <w:tc>
          <w:tcPr>
            <w:tcW w:w="1393" w:type="pct"/>
            <w:vMerge/>
            <w:vAlign w:val="center"/>
            <w:hideMark/>
          </w:tcPr>
          <w:p w14:paraId="7EB6529D" w14:textId="77777777" w:rsidR="00E43D41" w:rsidRPr="00E43D41" w:rsidRDefault="00E43D41" w:rsidP="00F943E7">
            <w:pPr>
              <w:pStyle w:val="a-I-EUBodytextsingle"/>
              <w:spacing w:line="276" w:lineRule="auto"/>
              <w:rPr>
                <w:lang w:val="fi-FI"/>
              </w:rPr>
            </w:pPr>
          </w:p>
        </w:tc>
        <w:tc>
          <w:tcPr>
            <w:tcW w:w="451" w:type="pct"/>
            <w:vMerge/>
            <w:vAlign w:val="center"/>
            <w:hideMark/>
          </w:tcPr>
          <w:p w14:paraId="338C524A" w14:textId="77777777" w:rsidR="00E43D41" w:rsidRPr="00E43D41" w:rsidRDefault="00E43D41" w:rsidP="00F943E7">
            <w:pPr>
              <w:pStyle w:val="a-I-EUBodytextsingle"/>
              <w:spacing w:line="276" w:lineRule="auto"/>
              <w:rPr>
                <w:lang w:val="fi-FI"/>
              </w:rPr>
            </w:pPr>
          </w:p>
        </w:tc>
        <w:tc>
          <w:tcPr>
            <w:tcW w:w="451" w:type="pct"/>
            <w:vMerge/>
            <w:vAlign w:val="center"/>
            <w:hideMark/>
          </w:tcPr>
          <w:p w14:paraId="293DA119" w14:textId="77777777" w:rsidR="00E43D41" w:rsidRPr="00E43D41" w:rsidRDefault="00E43D41" w:rsidP="00F943E7">
            <w:pPr>
              <w:pStyle w:val="a-I-EUBodytextsingle"/>
              <w:spacing w:line="276" w:lineRule="auto"/>
              <w:rPr>
                <w:lang w:val="fi-FI"/>
              </w:rPr>
            </w:pPr>
          </w:p>
        </w:tc>
        <w:tc>
          <w:tcPr>
            <w:tcW w:w="451" w:type="pct"/>
            <w:vMerge/>
            <w:vAlign w:val="center"/>
            <w:hideMark/>
          </w:tcPr>
          <w:p w14:paraId="3C5A091C" w14:textId="77777777" w:rsidR="00E43D41" w:rsidRPr="00E43D41" w:rsidRDefault="00E43D41" w:rsidP="00F943E7">
            <w:pPr>
              <w:pStyle w:val="a-I-EUBodytextsingle"/>
              <w:spacing w:line="276" w:lineRule="auto"/>
              <w:rPr>
                <w:lang w:val="fi-FI"/>
              </w:rPr>
            </w:pPr>
          </w:p>
        </w:tc>
        <w:tc>
          <w:tcPr>
            <w:tcW w:w="451" w:type="pct"/>
            <w:vMerge/>
            <w:vAlign w:val="center"/>
            <w:hideMark/>
          </w:tcPr>
          <w:p w14:paraId="651C4685" w14:textId="77777777" w:rsidR="00E43D41" w:rsidRPr="00E43D41" w:rsidRDefault="00E43D41" w:rsidP="00F943E7">
            <w:pPr>
              <w:pStyle w:val="a-I-EUBodytextsingle"/>
              <w:spacing w:line="276" w:lineRule="auto"/>
              <w:rPr>
                <w:lang w:val="fi-FI"/>
              </w:rPr>
            </w:pPr>
          </w:p>
        </w:tc>
        <w:tc>
          <w:tcPr>
            <w:tcW w:w="451" w:type="pct"/>
            <w:vMerge/>
            <w:vAlign w:val="center"/>
            <w:hideMark/>
          </w:tcPr>
          <w:p w14:paraId="08CA43DF" w14:textId="77777777" w:rsidR="00E43D41" w:rsidRPr="00E43D41" w:rsidRDefault="00E43D41" w:rsidP="00F943E7">
            <w:pPr>
              <w:pStyle w:val="a-I-EUBodytextsingle"/>
              <w:spacing w:line="276" w:lineRule="auto"/>
              <w:rPr>
                <w:lang w:val="fi-FI"/>
              </w:rPr>
            </w:pPr>
          </w:p>
        </w:tc>
        <w:tc>
          <w:tcPr>
            <w:tcW w:w="451" w:type="pct"/>
            <w:vMerge/>
            <w:vAlign w:val="center"/>
            <w:hideMark/>
          </w:tcPr>
          <w:p w14:paraId="529A7689" w14:textId="77777777" w:rsidR="00E43D41" w:rsidRPr="00E43D41" w:rsidRDefault="00E43D41" w:rsidP="00F943E7">
            <w:pPr>
              <w:pStyle w:val="a-I-EUBodytextsingle"/>
              <w:spacing w:line="276" w:lineRule="auto"/>
              <w:rPr>
                <w:lang w:val="fi-FI"/>
              </w:rPr>
            </w:pPr>
          </w:p>
        </w:tc>
        <w:tc>
          <w:tcPr>
            <w:tcW w:w="451" w:type="pct"/>
            <w:vMerge/>
            <w:vAlign w:val="center"/>
            <w:hideMark/>
          </w:tcPr>
          <w:p w14:paraId="0AC24C46" w14:textId="77777777" w:rsidR="00E43D41" w:rsidRPr="00E43D41" w:rsidRDefault="00E43D41" w:rsidP="00F943E7">
            <w:pPr>
              <w:pStyle w:val="a-I-EUBodytextsingle"/>
              <w:spacing w:line="276" w:lineRule="auto"/>
              <w:rPr>
                <w:lang w:val="fi-FI"/>
              </w:rPr>
            </w:pPr>
          </w:p>
        </w:tc>
        <w:tc>
          <w:tcPr>
            <w:tcW w:w="450" w:type="pct"/>
            <w:vMerge/>
            <w:vAlign w:val="center"/>
            <w:hideMark/>
          </w:tcPr>
          <w:p w14:paraId="5AF4DF7C" w14:textId="77777777" w:rsidR="00E43D41" w:rsidRPr="00E43D41" w:rsidRDefault="00E43D41" w:rsidP="00F943E7">
            <w:pPr>
              <w:pStyle w:val="a-I-EUBodytextsingle"/>
              <w:spacing w:line="276" w:lineRule="auto"/>
              <w:rPr>
                <w:lang w:val="fi-FI"/>
              </w:rPr>
            </w:pPr>
          </w:p>
        </w:tc>
      </w:tr>
      <w:tr w:rsidR="00E43D41" w:rsidRPr="00E43D41" w14:paraId="7B94D55C" w14:textId="77777777" w:rsidTr="00F5402A">
        <w:tc>
          <w:tcPr>
            <w:tcW w:w="1393" w:type="pct"/>
            <w:shd w:val="clear" w:color="auto" w:fill="auto"/>
            <w:vAlign w:val="center"/>
            <w:hideMark/>
          </w:tcPr>
          <w:p w14:paraId="389F4BEA" w14:textId="77777777" w:rsidR="00E43D41" w:rsidRPr="00E43D41" w:rsidRDefault="00E43D41" w:rsidP="00F943E7">
            <w:pPr>
              <w:pStyle w:val="a-I-EUBodytextsingle"/>
              <w:spacing w:line="276" w:lineRule="auto"/>
              <w:rPr>
                <w:lang w:val="fi-FI"/>
              </w:rPr>
            </w:pPr>
            <w:r w:rsidRPr="00E43D41">
              <w:t>Online precise irrigation scheduling / OpIris</w:t>
            </w:r>
          </w:p>
        </w:tc>
        <w:tc>
          <w:tcPr>
            <w:tcW w:w="451" w:type="pct"/>
            <w:shd w:val="clear" w:color="auto" w:fill="auto"/>
            <w:vAlign w:val="center"/>
            <w:hideMark/>
          </w:tcPr>
          <w:p w14:paraId="52302E7E"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1D74737D" w14:textId="77777777" w:rsidR="00E43D41" w:rsidRPr="00E43D41" w:rsidRDefault="00E43D41" w:rsidP="00F943E7">
            <w:pPr>
              <w:pStyle w:val="a-I-EUBodytextsingle"/>
              <w:spacing w:line="276" w:lineRule="auto"/>
              <w:rPr>
                <w:lang w:val="fi-FI"/>
              </w:rPr>
            </w:pPr>
            <w:r w:rsidRPr="00E43D41">
              <w:rPr>
                <w:lang w:eastAsia="fi-FI"/>
              </w:rPr>
              <w:t>1</w:t>
            </w:r>
          </w:p>
        </w:tc>
        <w:tc>
          <w:tcPr>
            <w:tcW w:w="451" w:type="pct"/>
            <w:shd w:val="clear" w:color="auto" w:fill="auto"/>
            <w:vAlign w:val="center"/>
            <w:hideMark/>
          </w:tcPr>
          <w:p w14:paraId="177F427A" w14:textId="77777777" w:rsidR="00E43D41" w:rsidRPr="00E43D41" w:rsidRDefault="00E43D41" w:rsidP="00F943E7">
            <w:pPr>
              <w:pStyle w:val="a-I-EUBodytextsingle"/>
              <w:spacing w:line="276" w:lineRule="auto"/>
              <w:rPr>
                <w:lang w:val="fi-FI"/>
              </w:rPr>
            </w:pPr>
            <w:r w:rsidRPr="00E43D41">
              <w:rPr>
                <w:lang w:eastAsia="fi-FI"/>
              </w:rPr>
              <w:t> </w:t>
            </w:r>
          </w:p>
        </w:tc>
        <w:tc>
          <w:tcPr>
            <w:tcW w:w="451" w:type="pct"/>
            <w:shd w:val="clear" w:color="auto" w:fill="auto"/>
            <w:vAlign w:val="center"/>
            <w:hideMark/>
          </w:tcPr>
          <w:p w14:paraId="0826016A" w14:textId="77777777" w:rsidR="00E43D41" w:rsidRPr="00E43D41" w:rsidRDefault="00E43D41" w:rsidP="00F943E7">
            <w:pPr>
              <w:pStyle w:val="a-I-EUBodytextsingle"/>
              <w:spacing w:line="276" w:lineRule="auto"/>
              <w:rPr>
                <w:lang w:val="fi-FI"/>
              </w:rPr>
            </w:pPr>
            <w:r w:rsidRPr="00E43D41">
              <w:rPr>
                <w:lang w:eastAsia="fi-FI"/>
              </w:rPr>
              <w:t> </w:t>
            </w:r>
          </w:p>
        </w:tc>
        <w:tc>
          <w:tcPr>
            <w:tcW w:w="451" w:type="pct"/>
            <w:shd w:val="clear" w:color="auto" w:fill="auto"/>
            <w:vAlign w:val="center"/>
            <w:hideMark/>
          </w:tcPr>
          <w:p w14:paraId="3510F0BD" w14:textId="77777777" w:rsidR="00E43D41" w:rsidRPr="00E43D41" w:rsidRDefault="00E43D41" w:rsidP="00F943E7">
            <w:pPr>
              <w:pStyle w:val="a-I-EUBodytextsingle"/>
              <w:spacing w:line="276" w:lineRule="auto"/>
              <w:rPr>
                <w:lang w:val="fi-FI"/>
              </w:rPr>
            </w:pPr>
            <w:r w:rsidRPr="00E43D41">
              <w:rPr>
                <w:lang w:eastAsia="fi-FI"/>
              </w:rPr>
              <w:t> </w:t>
            </w:r>
          </w:p>
        </w:tc>
        <w:tc>
          <w:tcPr>
            <w:tcW w:w="451" w:type="pct"/>
            <w:shd w:val="clear" w:color="auto" w:fill="auto"/>
            <w:vAlign w:val="center"/>
            <w:hideMark/>
          </w:tcPr>
          <w:p w14:paraId="65F04319" w14:textId="77777777" w:rsidR="00E43D41" w:rsidRPr="00E43D41" w:rsidRDefault="00E43D41" w:rsidP="00F943E7">
            <w:pPr>
              <w:pStyle w:val="a-I-EUBodytextsingle"/>
              <w:spacing w:line="276" w:lineRule="auto"/>
              <w:rPr>
                <w:lang w:val="fi-FI"/>
              </w:rPr>
            </w:pPr>
            <w:r w:rsidRPr="00E43D41">
              <w:rPr>
                <w:lang w:eastAsia="fi-FI"/>
              </w:rPr>
              <w:t> </w:t>
            </w:r>
          </w:p>
        </w:tc>
        <w:tc>
          <w:tcPr>
            <w:tcW w:w="451" w:type="pct"/>
            <w:shd w:val="clear" w:color="auto" w:fill="auto"/>
            <w:vAlign w:val="center"/>
            <w:hideMark/>
          </w:tcPr>
          <w:p w14:paraId="4D4AF803" w14:textId="77777777" w:rsidR="00E43D41" w:rsidRPr="00E43D41" w:rsidRDefault="00E43D41" w:rsidP="00F943E7">
            <w:pPr>
              <w:pStyle w:val="a-I-EUBodytextsingle"/>
              <w:spacing w:line="276" w:lineRule="auto"/>
              <w:rPr>
                <w:lang w:val="fi-FI"/>
              </w:rPr>
            </w:pPr>
            <w:r w:rsidRPr="00E43D41">
              <w:rPr>
                <w:lang w:eastAsia="fi-FI"/>
              </w:rPr>
              <w:t> </w:t>
            </w:r>
          </w:p>
        </w:tc>
        <w:tc>
          <w:tcPr>
            <w:tcW w:w="450" w:type="pct"/>
            <w:shd w:val="clear" w:color="auto" w:fill="auto"/>
            <w:vAlign w:val="center"/>
            <w:hideMark/>
          </w:tcPr>
          <w:p w14:paraId="50197470" w14:textId="77777777" w:rsidR="00E43D41" w:rsidRPr="00E43D41" w:rsidRDefault="00E43D41" w:rsidP="00F943E7">
            <w:pPr>
              <w:pStyle w:val="a-I-EUBodytextsingle"/>
              <w:spacing w:line="276" w:lineRule="auto"/>
              <w:rPr>
                <w:lang w:val="fi-FI"/>
              </w:rPr>
            </w:pPr>
            <w:r w:rsidRPr="00E43D41">
              <w:rPr>
                <w:lang w:eastAsia="fi-FI"/>
              </w:rPr>
              <w:t> </w:t>
            </w:r>
          </w:p>
        </w:tc>
      </w:tr>
      <w:tr w:rsidR="00E43D41" w:rsidRPr="00E43D41" w14:paraId="405FF755" w14:textId="77777777" w:rsidTr="00F5402A">
        <w:tc>
          <w:tcPr>
            <w:tcW w:w="1393" w:type="pct"/>
            <w:shd w:val="clear" w:color="auto" w:fill="auto"/>
            <w:vAlign w:val="center"/>
            <w:hideMark/>
          </w:tcPr>
          <w:p w14:paraId="17CA211C" w14:textId="77777777" w:rsidR="00E43D41" w:rsidRPr="00E43D41" w:rsidRDefault="00E43D41" w:rsidP="00F943E7">
            <w:pPr>
              <w:pStyle w:val="a-I-EUBodytextsingle"/>
              <w:spacing w:line="276" w:lineRule="auto"/>
              <w:rPr>
                <w:lang w:val="fi-FI"/>
              </w:rPr>
            </w:pPr>
            <w:r w:rsidRPr="00E43D41">
              <w:t>Amsterdam Institute for Advanced Metropolitan Solutions (AMS)</w:t>
            </w:r>
          </w:p>
        </w:tc>
        <w:tc>
          <w:tcPr>
            <w:tcW w:w="451" w:type="pct"/>
            <w:shd w:val="clear" w:color="auto" w:fill="auto"/>
            <w:vAlign w:val="center"/>
            <w:hideMark/>
          </w:tcPr>
          <w:p w14:paraId="4064FE39" w14:textId="77777777" w:rsidR="00E43D41" w:rsidRPr="00E43D41" w:rsidRDefault="00E43D41" w:rsidP="00F943E7">
            <w:pPr>
              <w:pStyle w:val="a-I-EUBodytextsingle"/>
              <w:spacing w:line="276" w:lineRule="auto"/>
              <w:rPr>
                <w:lang w:val="fi-FI"/>
              </w:rPr>
            </w:pPr>
            <w:r w:rsidRPr="00E43D41">
              <w:t>1</w:t>
            </w:r>
          </w:p>
        </w:tc>
        <w:tc>
          <w:tcPr>
            <w:tcW w:w="451" w:type="pct"/>
            <w:shd w:val="clear" w:color="auto" w:fill="auto"/>
            <w:vAlign w:val="center"/>
            <w:hideMark/>
          </w:tcPr>
          <w:p w14:paraId="7D799C62"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3D7146F9"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3DBCA389"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08DA99E3"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454E4825"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6732937F" w14:textId="77777777" w:rsidR="00E43D41" w:rsidRPr="00E43D41" w:rsidRDefault="00E43D41" w:rsidP="00F943E7">
            <w:pPr>
              <w:pStyle w:val="a-I-EUBodytextsingle"/>
              <w:spacing w:line="276" w:lineRule="auto"/>
              <w:rPr>
                <w:lang w:val="fi-FI"/>
              </w:rPr>
            </w:pPr>
            <w:r w:rsidRPr="00E43D41">
              <w:t> </w:t>
            </w:r>
          </w:p>
        </w:tc>
        <w:tc>
          <w:tcPr>
            <w:tcW w:w="450" w:type="pct"/>
            <w:shd w:val="clear" w:color="auto" w:fill="auto"/>
            <w:vAlign w:val="center"/>
            <w:hideMark/>
          </w:tcPr>
          <w:p w14:paraId="1A516A19" w14:textId="77777777" w:rsidR="00E43D41" w:rsidRPr="00E43D41" w:rsidRDefault="00E43D41" w:rsidP="00F943E7">
            <w:pPr>
              <w:pStyle w:val="a-I-EUBodytextsingle"/>
              <w:spacing w:line="276" w:lineRule="auto"/>
              <w:rPr>
                <w:lang w:val="fi-FI"/>
              </w:rPr>
            </w:pPr>
            <w:r w:rsidRPr="00E43D41">
              <w:t>1</w:t>
            </w:r>
          </w:p>
        </w:tc>
      </w:tr>
      <w:tr w:rsidR="00E43D41" w:rsidRPr="00E43D41" w14:paraId="6D5E72F1" w14:textId="77777777" w:rsidTr="00F5402A">
        <w:tc>
          <w:tcPr>
            <w:tcW w:w="1393" w:type="pct"/>
            <w:shd w:val="clear" w:color="auto" w:fill="auto"/>
            <w:vAlign w:val="center"/>
            <w:hideMark/>
          </w:tcPr>
          <w:p w14:paraId="3CA03ED6" w14:textId="77777777" w:rsidR="00E43D41" w:rsidRPr="00E43D41" w:rsidRDefault="00E43D41" w:rsidP="00F943E7">
            <w:pPr>
              <w:pStyle w:val="a-I-EUBodytextsingle"/>
              <w:spacing w:line="276" w:lineRule="auto"/>
              <w:rPr>
                <w:lang w:val="fi-FI"/>
              </w:rPr>
            </w:pPr>
            <w:r w:rsidRPr="00E43D41">
              <w:t>Sustainable Urban Models Toolkit / SUMO Toolkit</w:t>
            </w:r>
          </w:p>
        </w:tc>
        <w:tc>
          <w:tcPr>
            <w:tcW w:w="451" w:type="pct"/>
            <w:shd w:val="clear" w:color="auto" w:fill="auto"/>
            <w:vAlign w:val="center"/>
            <w:hideMark/>
          </w:tcPr>
          <w:p w14:paraId="6A97721A"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4F0151E5"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00AFA11A"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6CC40CED"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3830DFED"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460B67D4"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3E9B1CF6" w14:textId="77777777" w:rsidR="00E43D41" w:rsidRPr="00E43D41" w:rsidRDefault="00E43D41" w:rsidP="00F943E7">
            <w:pPr>
              <w:pStyle w:val="a-I-EUBodytextsingle"/>
              <w:spacing w:line="276" w:lineRule="auto"/>
              <w:rPr>
                <w:lang w:val="fi-FI"/>
              </w:rPr>
            </w:pPr>
            <w:r w:rsidRPr="00E43D41">
              <w:t> </w:t>
            </w:r>
          </w:p>
        </w:tc>
        <w:tc>
          <w:tcPr>
            <w:tcW w:w="450" w:type="pct"/>
            <w:shd w:val="clear" w:color="auto" w:fill="auto"/>
            <w:vAlign w:val="center"/>
            <w:hideMark/>
          </w:tcPr>
          <w:p w14:paraId="5FB2E740" w14:textId="77777777" w:rsidR="00E43D41" w:rsidRPr="00E43D41" w:rsidRDefault="00E43D41" w:rsidP="00F943E7">
            <w:pPr>
              <w:pStyle w:val="a-I-EUBodytextsingle"/>
              <w:spacing w:line="276" w:lineRule="auto"/>
              <w:rPr>
                <w:lang w:val="fi-FI"/>
              </w:rPr>
            </w:pPr>
            <w:r w:rsidRPr="00E43D41">
              <w:t>1</w:t>
            </w:r>
          </w:p>
        </w:tc>
      </w:tr>
      <w:tr w:rsidR="00E43D41" w:rsidRPr="00E43D41" w14:paraId="34F2D5F1" w14:textId="77777777" w:rsidTr="00F5402A">
        <w:tc>
          <w:tcPr>
            <w:tcW w:w="1393" w:type="pct"/>
            <w:shd w:val="clear" w:color="auto" w:fill="auto"/>
            <w:vAlign w:val="center"/>
            <w:hideMark/>
          </w:tcPr>
          <w:p w14:paraId="5B6C6895" w14:textId="77777777" w:rsidR="00E43D41" w:rsidRPr="00E43D41" w:rsidRDefault="00E43D41" w:rsidP="00F943E7">
            <w:pPr>
              <w:pStyle w:val="a-I-EUBodytextsingle"/>
              <w:spacing w:line="276" w:lineRule="auto"/>
              <w:rPr>
                <w:lang w:val="fi-FI"/>
              </w:rPr>
            </w:pPr>
            <w:r w:rsidRPr="00E43D41">
              <w:t>Saffronomics</w:t>
            </w:r>
          </w:p>
        </w:tc>
        <w:tc>
          <w:tcPr>
            <w:tcW w:w="451" w:type="pct"/>
            <w:shd w:val="clear" w:color="auto" w:fill="auto"/>
            <w:vAlign w:val="center"/>
            <w:hideMark/>
          </w:tcPr>
          <w:p w14:paraId="68F4FEA8"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19DA6DC4" w14:textId="77777777" w:rsidR="00E43D41" w:rsidRPr="00E43D41" w:rsidRDefault="00E43D41" w:rsidP="00F943E7">
            <w:pPr>
              <w:pStyle w:val="a-I-EUBodytextsingle"/>
              <w:spacing w:line="276" w:lineRule="auto"/>
              <w:rPr>
                <w:lang w:val="fi-FI"/>
              </w:rPr>
            </w:pPr>
            <w:r w:rsidRPr="00E43D41">
              <w:t>1</w:t>
            </w:r>
          </w:p>
        </w:tc>
        <w:tc>
          <w:tcPr>
            <w:tcW w:w="451" w:type="pct"/>
            <w:shd w:val="clear" w:color="auto" w:fill="auto"/>
            <w:vAlign w:val="center"/>
            <w:hideMark/>
          </w:tcPr>
          <w:p w14:paraId="6BB1BFE8"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1D1C20F8"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5B297CF8"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61AC1CBE"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22D79F62" w14:textId="77777777" w:rsidR="00E43D41" w:rsidRPr="00E43D41" w:rsidRDefault="00E43D41" w:rsidP="00F943E7">
            <w:pPr>
              <w:pStyle w:val="a-I-EUBodytextsingle"/>
              <w:spacing w:line="276" w:lineRule="auto"/>
              <w:rPr>
                <w:lang w:val="fi-FI"/>
              </w:rPr>
            </w:pPr>
            <w:r w:rsidRPr="00E43D41">
              <w:t> </w:t>
            </w:r>
          </w:p>
        </w:tc>
        <w:tc>
          <w:tcPr>
            <w:tcW w:w="450" w:type="pct"/>
            <w:shd w:val="clear" w:color="auto" w:fill="auto"/>
            <w:vAlign w:val="center"/>
            <w:hideMark/>
          </w:tcPr>
          <w:p w14:paraId="450A3DD4" w14:textId="77777777" w:rsidR="00E43D41" w:rsidRPr="00E43D41" w:rsidRDefault="00E43D41" w:rsidP="00F943E7">
            <w:pPr>
              <w:pStyle w:val="a-I-EUBodytextsingle"/>
              <w:spacing w:line="276" w:lineRule="auto"/>
              <w:rPr>
                <w:lang w:val="fi-FI"/>
              </w:rPr>
            </w:pPr>
            <w:r w:rsidRPr="00E43D41">
              <w:t> </w:t>
            </w:r>
          </w:p>
        </w:tc>
      </w:tr>
      <w:tr w:rsidR="00E43D41" w:rsidRPr="00E43D41" w14:paraId="510FC4CC" w14:textId="77777777" w:rsidTr="00F5402A">
        <w:tc>
          <w:tcPr>
            <w:tcW w:w="1393" w:type="pct"/>
            <w:shd w:val="clear" w:color="auto" w:fill="auto"/>
            <w:vAlign w:val="center"/>
            <w:hideMark/>
          </w:tcPr>
          <w:p w14:paraId="630655EA" w14:textId="77777777" w:rsidR="00E43D41" w:rsidRPr="00E43D41" w:rsidRDefault="00E43D41" w:rsidP="00F943E7">
            <w:pPr>
              <w:pStyle w:val="a-I-EUBodytextsingle"/>
              <w:spacing w:line="276" w:lineRule="auto"/>
              <w:rPr>
                <w:lang w:val="fi-FI"/>
              </w:rPr>
            </w:pPr>
            <w:r w:rsidRPr="00E43D41">
              <w:t>STEINBEIS NETWORK</w:t>
            </w:r>
          </w:p>
        </w:tc>
        <w:tc>
          <w:tcPr>
            <w:tcW w:w="451" w:type="pct"/>
            <w:shd w:val="clear" w:color="auto" w:fill="auto"/>
            <w:vAlign w:val="center"/>
            <w:hideMark/>
          </w:tcPr>
          <w:p w14:paraId="051AEA46"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749A20FF" w14:textId="77777777" w:rsidR="00E43D41" w:rsidRPr="00E43D41" w:rsidRDefault="00E43D41" w:rsidP="00F943E7">
            <w:pPr>
              <w:pStyle w:val="a-I-EUBodytextsingle"/>
              <w:spacing w:line="276" w:lineRule="auto"/>
              <w:rPr>
                <w:lang w:val="fi-FI"/>
              </w:rPr>
            </w:pPr>
            <w:r w:rsidRPr="00E43D41">
              <w:t>1</w:t>
            </w:r>
          </w:p>
        </w:tc>
        <w:tc>
          <w:tcPr>
            <w:tcW w:w="451" w:type="pct"/>
            <w:shd w:val="clear" w:color="auto" w:fill="auto"/>
            <w:vAlign w:val="center"/>
            <w:hideMark/>
          </w:tcPr>
          <w:p w14:paraId="57F0BEDC"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49D6F13C"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55F1798A" w14:textId="77777777" w:rsidR="00E43D41" w:rsidRPr="00E43D41" w:rsidRDefault="00E43D41" w:rsidP="00F943E7">
            <w:pPr>
              <w:pStyle w:val="a-I-EUBodytextsingle"/>
              <w:spacing w:line="276" w:lineRule="auto"/>
              <w:rPr>
                <w:lang w:val="fi-FI"/>
              </w:rPr>
            </w:pPr>
            <w:r w:rsidRPr="00E43D41">
              <w:t>1</w:t>
            </w:r>
          </w:p>
        </w:tc>
        <w:tc>
          <w:tcPr>
            <w:tcW w:w="451" w:type="pct"/>
            <w:shd w:val="clear" w:color="auto" w:fill="auto"/>
            <w:vAlign w:val="center"/>
            <w:hideMark/>
          </w:tcPr>
          <w:p w14:paraId="2BD08ECE"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7B034F59" w14:textId="77777777" w:rsidR="00E43D41" w:rsidRPr="00E43D41" w:rsidRDefault="00E43D41" w:rsidP="00F943E7">
            <w:pPr>
              <w:pStyle w:val="a-I-EUBodytextsingle"/>
              <w:spacing w:line="276" w:lineRule="auto"/>
              <w:rPr>
                <w:lang w:val="fi-FI"/>
              </w:rPr>
            </w:pPr>
            <w:r w:rsidRPr="00E43D41">
              <w:t> </w:t>
            </w:r>
          </w:p>
        </w:tc>
        <w:tc>
          <w:tcPr>
            <w:tcW w:w="450" w:type="pct"/>
            <w:shd w:val="clear" w:color="auto" w:fill="auto"/>
            <w:vAlign w:val="center"/>
            <w:hideMark/>
          </w:tcPr>
          <w:p w14:paraId="4907F35B" w14:textId="77777777" w:rsidR="00E43D41" w:rsidRPr="00E43D41" w:rsidRDefault="00E43D41" w:rsidP="00F943E7">
            <w:pPr>
              <w:pStyle w:val="a-I-EUBodytextsingle"/>
              <w:spacing w:line="276" w:lineRule="auto"/>
              <w:rPr>
                <w:lang w:val="fi-FI"/>
              </w:rPr>
            </w:pPr>
            <w:r w:rsidRPr="00E43D41">
              <w:t>1</w:t>
            </w:r>
          </w:p>
        </w:tc>
      </w:tr>
      <w:tr w:rsidR="00E43D41" w:rsidRPr="00E43D41" w14:paraId="34942130" w14:textId="77777777" w:rsidTr="00F5402A">
        <w:tc>
          <w:tcPr>
            <w:tcW w:w="1393" w:type="pct"/>
            <w:shd w:val="clear" w:color="auto" w:fill="auto"/>
            <w:vAlign w:val="center"/>
            <w:hideMark/>
          </w:tcPr>
          <w:p w14:paraId="64FD9EAC" w14:textId="77777777" w:rsidR="00E43D41" w:rsidRPr="00E43D41" w:rsidRDefault="00E43D41" w:rsidP="00F943E7">
            <w:pPr>
              <w:pStyle w:val="a-I-EUBodytextsingle"/>
              <w:spacing w:line="276" w:lineRule="auto"/>
              <w:rPr>
                <w:lang w:val="fi-FI"/>
              </w:rPr>
            </w:pPr>
            <w:r w:rsidRPr="00E43D41">
              <w:t>SCALE UP DENMARK</w:t>
            </w:r>
          </w:p>
        </w:tc>
        <w:tc>
          <w:tcPr>
            <w:tcW w:w="451" w:type="pct"/>
            <w:shd w:val="clear" w:color="auto" w:fill="auto"/>
            <w:vAlign w:val="center"/>
            <w:hideMark/>
          </w:tcPr>
          <w:p w14:paraId="70BD2125"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22AD8187" w14:textId="77777777" w:rsidR="00E43D41" w:rsidRPr="00E43D41" w:rsidRDefault="00E43D41" w:rsidP="00F943E7">
            <w:pPr>
              <w:pStyle w:val="a-I-EUBodytextsingle"/>
              <w:spacing w:line="276" w:lineRule="auto"/>
              <w:rPr>
                <w:lang w:val="fi-FI"/>
              </w:rPr>
            </w:pPr>
            <w:r w:rsidRPr="00E43D41">
              <w:t>1</w:t>
            </w:r>
          </w:p>
        </w:tc>
        <w:tc>
          <w:tcPr>
            <w:tcW w:w="451" w:type="pct"/>
            <w:shd w:val="clear" w:color="auto" w:fill="auto"/>
            <w:vAlign w:val="center"/>
            <w:hideMark/>
          </w:tcPr>
          <w:p w14:paraId="754EDFE5"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6DF05BCF"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38FF0BB6"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2B71142B"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2C1F814D" w14:textId="77777777" w:rsidR="00E43D41" w:rsidRPr="00E43D41" w:rsidRDefault="00E43D41" w:rsidP="00F943E7">
            <w:pPr>
              <w:pStyle w:val="a-I-EUBodytextsingle"/>
              <w:spacing w:line="276" w:lineRule="auto"/>
              <w:rPr>
                <w:lang w:val="fi-FI"/>
              </w:rPr>
            </w:pPr>
            <w:r w:rsidRPr="00E43D41">
              <w:t> </w:t>
            </w:r>
          </w:p>
        </w:tc>
        <w:tc>
          <w:tcPr>
            <w:tcW w:w="450" w:type="pct"/>
            <w:shd w:val="clear" w:color="auto" w:fill="auto"/>
            <w:vAlign w:val="center"/>
            <w:hideMark/>
          </w:tcPr>
          <w:p w14:paraId="4FB02BFB" w14:textId="77777777" w:rsidR="00E43D41" w:rsidRPr="00E43D41" w:rsidRDefault="00E43D41" w:rsidP="00F943E7">
            <w:pPr>
              <w:pStyle w:val="a-I-EUBodytextsingle"/>
              <w:spacing w:line="276" w:lineRule="auto"/>
              <w:rPr>
                <w:lang w:val="fi-FI"/>
              </w:rPr>
            </w:pPr>
            <w:r w:rsidRPr="00E43D41">
              <w:t>1</w:t>
            </w:r>
          </w:p>
        </w:tc>
      </w:tr>
      <w:tr w:rsidR="00E43D41" w:rsidRPr="00E43D41" w14:paraId="2199DD83" w14:textId="77777777" w:rsidTr="00F5402A">
        <w:tc>
          <w:tcPr>
            <w:tcW w:w="1393" w:type="pct"/>
            <w:shd w:val="clear" w:color="auto" w:fill="auto"/>
            <w:vAlign w:val="center"/>
            <w:hideMark/>
          </w:tcPr>
          <w:p w14:paraId="31CA0295" w14:textId="77777777" w:rsidR="00E43D41" w:rsidRPr="00E43D41" w:rsidRDefault="00E43D41" w:rsidP="00F943E7">
            <w:pPr>
              <w:pStyle w:val="a-I-EUBodytextsingle"/>
              <w:spacing w:line="276" w:lineRule="auto"/>
              <w:rPr>
                <w:lang w:val="fi-FI"/>
              </w:rPr>
            </w:pPr>
            <w:r w:rsidRPr="00E43D41">
              <w:t>Bank of patents</w:t>
            </w:r>
          </w:p>
        </w:tc>
        <w:tc>
          <w:tcPr>
            <w:tcW w:w="451" w:type="pct"/>
            <w:shd w:val="clear" w:color="auto" w:fill="auto"/>
            <w:vAlign w:val="center"/>
            <w:hideMark/>
          </w:tcPr>
          <w:p w14:paraId="2DD1E74C"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68A307ED" w14:textId="095E9CF6" w:rsidR="00E43D41" w:rsidRPr="00E43D41" w:rsidRDefault="00E43D41" w:rsidP="00F943E7">
            <w:pPr>
              <w:pStyle w:val="a-I-EUBodytextsingle"/>
              <w:spacing w:line="276" w:lineRule="auto"/>
              <w:rPr>
                <w:lang w:val="fi-FI"/>
              </w:rPr>
            </w:pPr>
            <w:r w:rsidRPr="00E43D41">
              <w:t> </w:t>
            </w:r>
            <w:r w:rsidR="00435F9D">
              <w:t>1</w:t>
            </w:r>
          </w:p>
        </w:tc>
        <w:tc>
          <w:tcPr>
            <w:tcW w:w="451" w:type="pct"/>
            <w:shd w:val="clear" w:color="auto" w:fill="auto"/>
            <w:vAlign w:val="center"/>
            <w:hideMark/>
          </w:tcPr>
          <w:p w14:paraId="51740D93"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6C39B19E"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7C5FE5D8" w14:textId="0DB84A2F" w:rsidR="00E43D41" w:rsidRPr="00E43D41" w:rsidRDefault="00435F9D" w:rsidP="00F943E7">
            <w:pPr>
              <w:pStyle w:val="a-I-EUBodytextsingle"/>
              <w:spacing w:line="276" w:lineRule="auto"/>
              <w:rPr>
                <w:lang w:val="fi-FI"/>
              </w:rPr>
            </w:pPr>
            <w:r>
              <w:t>1</w:t>
            </w:r>
            <w:r w:rsidR="00E43D41" w:rsidRPr="00E43D41">
              <w:t> </w:t>
            </w:r>
          </w:p>
        </w:tc>
        <w:tc>
          <w:tcPr>
            <w:tcW w:w="451" w:type="pct"/>
            <w:shd w:val="clear" w:color="auto" w:fill="auto"/>
            <w:vAlign w:val="center"/>
            <w:hideMark/>
          </w:tcPr>
          <w:p w14:paraId="06017B98"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01EF2DE5" w14:textId="77777777" w:rsidR="00E43D41" w:rsidRPr="00E43D41" w:rsidRDefault="00E43D41" w:rsidP="00F943E7">
            <w:pPr>
              <w:pStyle w:val="a-I-EUBodytextsingle"/>
              <w:spacing w:line="276" w:lineRule="auto"/>
              <w:rPr>
                <w:lang w:val="fi-FI"/>
              </w:rPr>
            </w:pPr>
            <w:r w:rsidRPr="00E43D41">
              <w:t> </w:t>
            </w:r>
          </w:p>
        </w:tc>
        <w:tc>
          <w:tcPr>
            <w:tcW w:w="450" w:type="pct"/>
            <w:shd w:val="clear" w:color="auto" w:fill="auto"/>
            <w:vAlign w:val="center"/>
            <w:hideMark/>
          </w:tcPr>
          <w:p w14:paraId="4FC05C18" w14:textId="77777777" w:rsidR="00E43D41" w:rsidRPr="00E43D41" w:rsidRDefault="00E43D41" w:rsidP="00F943E7">
            <w:pPr>
              <w:pStyle w:val="a-I-EUBodytextsingle"/>
              <w:spacing w:line="276" w:lineRule="auto"/>
              <w:rPr>
                <w:lang w:val="fi-FI"/>
              </w:rPr>
            </w:pPr>
            <w:r w:rsidRPr="00E43D41">
              <w:t> </w:t>
            </w:r>
          </w:p>
        </w:tc>
      </w:tr>
      <w:tr w:rsidR="00E43D41" w:rsidRPr="00E43D41" w14:paraId="6CB0A85A" w14:textId="77777777" w:rsidTr="00F5402A">
        <w:trPr>
          <w:trHeight w:val="217"/>
        </w:trPr>
        <w:tc>
          <w:tcPr>
            <w:tcW w:w="1393" w:type="pct"/>
            <w:vMerge w:val="restart"/>
            <w:shd w:val="clear" w:color="auto" w:fill="auto"/>
            <w:vAlign w:val="center"/>
            <w:hideMark/>
          </w:tcPr>
          <w:p w14:paraId="26D3BE70" w14:textId="77777777" w:rsidR="00E43D41" w:rsidRPr="00E43D41" w:rsidRDefault="00E43D41" w:rsidP="00F943E7">
            <w:pPr>
              <w:pStyle w:val="a-I-EUBodytextsingle"/>
              <w:spacing w:line="276" w:lineRule="auto"/>
              <w:rPr>
                <w:lang w:val="fi-FI"/>
              </w:rPr>
            </w:pPr>
            <w:r w:rsidRPr="00E43D41">
              <w:t>Unit of Measurement Technology (MITY) - University of Oulu, as regional specilisation infrastructure</w:t>
            </w:r>
          </w:p>
        </w:tc>
        <w:tc>
          <w:tcPr>
            <w:tcW w:w="451" w:type="pct"/>
            <w:vMerge w:val="restart"/>
            <w:shd w:val="clear" w:color="auto" w:fill="auto"/>
            <w:vAlign w:val="center"/>
            <w:hideMark/>
          </w:tcPr>
          <w:p w14:paraId="243D8BFB" w14:textId="77777777" w:rsidR="00E43D41" w:rsidRPr="00E43D41" w:rsidRDefault="00E43D41" w:rsidP="00F943E7">
            <w:pPr>
              <w:pStyle w:val="a-I-EUBodytextsingle"/>
              <w:spacing w:line="276" w:lineRule="auto"/>
              <w:rPr>
                <w:lang w:val="fi-FI"/>
              </w:rPr>
            </w:pPr>
            <w:r w:rsidRPr="00E43D41">
              <w:t>1</w:t>
            </w:r>
          </w:p>
        </w:tc>
        <w:tc>
          <w:tcPr>
            <w:tcW w:w="451" w:type="pct"/>
            <w:vMerge w:val="restart"/>
            <w:shd w:val="clear" w:color="auto" w:fill="auto"/>
            <w:vAlign w:val="center"/>
            <w:hideMark/>
          </w:tcPr>
          <w:p w14:paraId="682FE5FC" w14:textId="77777777" w:rsidR="00E43D41" w:rsidRPr="00E43D41" w:rsidRDefault="00E43D41" w:rsidP="00F943E7">
            <w:pPr>
              <w:pStyle w:val="a-I-EUBodytextsingle"/>
              <w:spacing w:line="276" w:lineRule="auto"/>
              <w:rPr>
                <w:lang w:val="fi-FI"/>
              </w:rPr>
            </w:pPr>
            <w:r w:rsidRPr="00E43D41">
              <w:t>1</w:t>
            </w:r>
          </w:p>
        </w:tc>
        <w:tc>
          <w:tcPr>
            <w:tcW w:w="451" w:type="pct"/>
            <w:vMerge w:val="restart"/>
            <w:shd w:val="clear" w:color="auto" w:fill="auto"/>
            <w:vAlign w:val="center"/>
            <w:hideMark/>
          </w:tcPr>
          <w:p w14:paraId="1096F188" w14:textId="77777777" w:rsidR="00E43D41" w:rsidRPr="00E43D41" w:rsidRDefault="00E43D41" w:rsidP="00F943E7">
            <w:pPr>
              <w:pStyle w:val="a-I-EUBodytextsingle"/>
              <w:spacing w:line="276" w:lineRule="auto"/>
              <w:rPr>
                <w:lang w:val="fi-FI"/>
              </w:rPr>
            </w:pPr>
            <w:r w:rsidRPr="00E43D41">
              <w:t> </w:t>
            </w:r>
          </w:p>
        </w:tc>
        <w:tc>
          <w:tcPr>
            <w:tcW w:w="451" w:type="pct"/>
            <w:vMerge w:val="restart"/>
            <w:shd w:val="clear" w:color="auto" w:fill="auto"/>
            <w:vAlign w:val="center"/>
            <w:hideMark/>
          </w:tcPr>
          <w:p w14:paraId="09BCA0FD" w14:textId="77777777" w:rsidR="00E43D41" w:rsidRPr="00E43D41" w:rsidRDefault="00E43D41" w:rsidP="00F943E7">
            <w:pPr>
              <w:pStyle w:val="a-I-EUBodytextsingle"/>
              <w:spacing w:line="276" w:lineRule="auto"/>
              <w:rPr>
                <w:lang w:val="fi-FI"/>
              </w:rPr>
            </w:pPr>
            <w:r w:rsidRPr="00E43D41">
              <w:t> </w:t>
            </w:r>
          </w:p>
        </w:tc>
        <w:tc>
          <w:tcPr>
            <w:tcW w:w="451" w:type="pct"/>
            <w:vMerge w:val="restart"/>
            <w:shd w:val="clear" w:color="auto" w:fill="auto"/>
            <w:vAlign w:val="center"/>
            <w:hideMark/>
          </w:tcPr>
          <w:p w14:paraId="2478AE54" w14:textId="77777777" w:rsidR="00E43D41" w:rsidRPr="00E43D41" w:rsidRDefault="00E43D41" w:rsidP="00F943E7">
            <w:pPr>
              <w:pStyle w:val="a-I-EUBodytextsingle"/>
              <w:spacing w:line="276" w:lineRule="auto"/>
              <w:rPr>
                <w:lang w:val="fi-FI"/>
              </w:rPr>
            </w:pPr>
            <w:r w:rsidRPr="00E43D41">
              <w:t> </w:t>
            </w:r>
          </w:p>
        </w:tc>
        <w:tc>
          <w:tcPr>
            <w:tcW w:w="451" w:type="pct"/>
            <w:vMerge w:val="restart"/>
            <w:shd w:val="clear" w:color="auto" w:fill="auto"/>
            <w:vAlign w:val="center"/>
            <w:hideMark/>
          </w:tcPr>
          <w:p w14:paraId="44C48AA2" w14:textId="77777777" w:rsidR="00E43D41" w:rsidRPr="00E43D41" w:rsidRDefault="00E43D41" w:rsidP="00F943E7">
            <w:pPr>
              <w:pStyle w:val="a-I-EUBodytextsingle"/>
              <w:spacing w:line="276" w:lineRule="auto"/>
              <w:rPr>
                <w:lang w:val="fi-FI"/>
              </w:rPr>
            </w:pPr>
            <w:r w:rsidRPr="00E43D41">
              <w:t> </w:t>
            </w:r>
          </w:p>
        </w:tc>
        <w:tc>
          <w:tcPr>
            <w:tcW w:w="451" w:type="pct"/>
            <w:vMerge w:val="restart"/>
            <w:shd w:val="clear" w:color="auto" w:fill="auto"/>
            <w:vAlign w:val="center"/>
            <w:hideMark/>
          </w:tcPr>
          <w:p w14:paraId="43073295" w14:textId="77777777" w:rsidR="00E43D41" w:rsidRPr="00E43D41" w:rsidRDefault="00E43D41" w:rsidP="00F943E7">
            <w:pPr>
              <w:pStyle w:val="a-I-EUBodytextsingle"/>
              <w:spacing w:line="276" w:lineRule="auto"/>
              <w:rPr>
                <w:lang w:val="fi-FI"/>
              </w:rPr>
            </w:pPr>
            <w:r w:rsidRPr="00E43D41">
              <w:t> </w:t>
            </w:r>
          </w:p>
        </w:tc>
        <w:tc>
          <w:tcPr>
            <w:tcW w:w="450" w:type="pct"/>
            <w:vMerge w:val="restart"/>
            <w:shd w:val="clear" w:color="auto" w:fill="auto"/>
            <w:vAlign w:val="center"/>
            <w:hideMark/>
          </w:tcPr>
          <w:p w14:paraId="062C4DC8" w14:textId="77777777" w:rsidR="00E43D41" w:rsidRPr="00E43D41" w:rsidRDefault="00E43D41" w:rsidP="00F943E7">
            <w:pPr>
              <w:pStyle w:val="a-I-EUBodytextsingle"/>
              <w:spacing w:line="276" w:lineRule="auto"/>
              <w:rPr>
                <w:lang w:val="fi-FI"/>
              </w:rPr>
            </w:pPr>
            <w:r w:rsidRPr="00E43D41">
              <w:t> </w:t>
            </w:r>
          </w:p>
        </w:tc>
      </w:tr>
      <w:tr w:rsidR="00E43D41" w:rsidRPr="00E43D41" w14:paraId="260324FF" w14:textId="77777777" w:rsidTr="00F5402A">
        <w:trPr>
          <w:trHeight w:val="217"/>
        </w:trPr>
        <w:tc>
          <w:tcPr>
            <w:tcW w:w="1393" w:type="pct"/>
            <w:vMerge/>
            <w:vAlign w:val="center"/>
            <w:hideMark/>
          </w:tcPr>
          <w:p w14:paraId="50377576" w14:textId="77777777" w:rsidR="00E43D41" w:rsidRPr="00E43D41" w:rsidRDefault="00E43D41" w:rsidP="00F943E7">
            <w:pPr>
              <w:pStyle w:val="a-I-EUBodytextsingle"/>
              <w:spacing w:line="276" w:lineRule="auto"/>
              <w:rPr>
                <w:lang w:val="fi-FI"/>
              </w:rPr>
            </w:pPr>
          </w:p>
        </w:tc>
        <w:tc>
          <w:tcPr>
            <w:tcW w:w="451" w:type="pct"/>
            <w:vMerge/>
            <w:vAlign w:val="center"/>
            <w:hideMark/>
          </w:tcPr>
          <w:p w14:paraId="7AA217F0" w14:textId="77777777" w:rsidR="00E43D41" w:rsidRPr="00E43D41" w:rsidRDefault="00E43D41" w:rsidP="00F943E7">
            <w:pPr>
              <w:pStyle w:val="a-I-EUBodytextsingle"/>
              <w:spacing w:line="276" w:lineRule="auto"/>
              <w:rPr>
                <w:lang w:val="fi-FI"/>
              </w:rPr>
            </w:pPr>
          </w:p>
        </w:tc>
        <w:tc>
          <w:tcPr>
            <w:tcW w:w="451" w:type="pct"/>
            <w:vMerge/>
            <w:vAlign w:val="center"/>
            <w:hideMark/>
          </w:tcPr>
          <w:p w14:paraId="377D5DDB" w14:textId="77777777" w:rsidR="00E43D41" w:rsidRPr="00E43D41" w:rsidRDefault="00E43D41" w:rsidP="00F943E7">
            <w:pPr>
              <w:pStyle w:val="a-I-EUBodytextsingle"/>
              <w:spacing w:line="276" w:lineRule="auto"/>
              <w:rPr>
                <w:lang w:val="fi-FI"/>
              </w:rPr>
            </w:pPr>
          </w:p>
        </w:tc>
        <w:tc>
          <w:tcPr>
            <w:tcW w:w="451" w:type="pct"/>
            <w:vMerge/>
            <w:vAlign w:val="center"/>
            <w:hideMark/>
          </w:tcPr>
          <w:p w14:paraId="5F866436" w14:textId="77777777" w:rsidR="00E43D41" w:rsidRPr="00E43D41" w:rsidRDefault="00E43D41" w:rsidP="00F943E7">
            <w:pPr>
              <w:pStyle w:val="a-I-EUBodytextsingle"/>
              <w:spacing w:line="276" w:lineRule="auto"/>
              <w:rPr>
                <w:lang w:val="fi-FI"/>
              </w:rPr>
            </w:pPr>
          </w:p>
        </w:tc>
        <w:tc>
          <w:tcPr>
            <w:tcW w:w="451" w:type="pct"/>
            <w:vMerge/>
            <w:vAlign w:val="center"/>
            <w:hideMark/>
          </w:tcPr>
          <w:p w14:paraId="41BF5AA9" w14:textId="77777777" w:rsidR="00E43D41" w:rsidRPr="00E43D41" w:rsidRDefault="00E43D41" w:rsidP="00F943E7">
            <w:pPr>
              <w:pStyle w:val="a-I-EUBodytextsingle"/>
              <w:spacing w:line="276" w:lineRule="auto"/>
              <w:rPr>
                <w:lang w:val="fi-FI"/>
              </w:rPr>
            </w:pPr>
          </w:p>
        </w:tc>
        <w:tc>
          <w:tcPr>
            <w:tcW w:w="451" w:type="pct"/>
            <w:vMerge/>
            <w:vAlign w:val="center"/>
            <w:hideMark/>
          </w:tcPr>
          <w:p w14:paraId="6505E693" w14:textId="77777777" w:rsidR="00E43D41" w:rsidRPr="00E43D41" w:rsidRDefault="00E43D41" w:rsidP="00F943E7">
            <w:pPr>
              <w:pStyle w:val="a-I-EUBodytextsingle"/>
              <w:spacing w:line="276" w:lineRule="auto"/>
              <w:rPr>
                <w:lang w:val="fi-FI"/>
              </w:rPr>
            </w:pPr>
          </w:p>
        </w:tc>
        <w:tc>
          <w:tcPr>
            <w:tcW w:w="451" w:type="pct"/>
            <w:vMerge/>
            <w:vAlign w:val="center"/>
            <w:hideMark/>
          </w:tcPr>
          <w:p w14:paraId="2E6B85CC" w14:textId="77777777" w:rsidR="00E43D41" w:rsidRPr="00E43D41" w:rsidRDefault="00E43D41" w:rsidP="00F943E7">
            <w:pPr>
              <w:pStyle w:val="a-I-EUBodytextsingle"/>
              <w:spacing w:line="276" w:lineRule="auto"/>
              <w:rPr>
                <w:lang w:val="fi-FI"/>
              </w:rPr>
            </w:pPr>
          </w:p>
        </w:tc>
        <w:tc>
          <w:tcPr>
            <w:tcW w:w="451" w:type="pct"/>
            <w:vMerge/>
            <w:vAlign w:val="center"/>
            <w:hideMark/>
          </w:tcPr>
          <w:p w14:paraId="6DF8A844" w14:textId="77777777" w:rsidR="00E43D41" w:rsidRPr="00E43D41" w:rsidRDefault="00E43D41" w:rsidP="00F943E7">
            <w:pPr>
              <w:pStyle w:val="a-I-EUBodytextsingle"/>
              <w:spacing w:line="276" w:lineRule="auto"/>
              <w:rPr>
                <w:lang w:val="fi-FI"/>
              </w:rPr>
            </w:pPr>
          </w:p>
        </w:tc>
        <w:tc>
          <w:tcPr>
            <w:tcW w:w="450" w:type="pct"/>
            <w:vMerge/>
            <w:vAlign w:val="center"/>
            <w:hideMark/>
          </w:tcPr>
          <w:p w14:paraId="775C2BA4" w14:textId="77777777" w:rsidR="00E43D41" w:rsidRPr="00E43D41" w:rsidRDefault="00E43D41" w:rsidP="00F943E7">
            <w:pPr>
              <w:pStyle w:val="a-I-EUBodytextsingle"/>
              <w:spacing w:line="276" w:lineRule="auto"/>
              <w:rPr>
                <w:lang w:val="fi-FI"/>
              </w:rPr>
            </w:pPr>
          </w:p>
        </w:tc>
      </w:tr>
      <w:tr w:rsidR="00E43D41" w:rsidRPr="00E43D41" w14:paraId="12DACA37" w14:textId="77777777" w:rsidTr="00F5402A">
        <w:tc>
          <w:tcPr>
            <w:tcW w:w="1393" w:type="pct"/>
            <w:shd w:val="clear" w:color="auto" w:fill="auto"/>
            <w:vAlign w:val="center"/>
            <w:hideMark/>
          </w:tcPr>
          <w:p w14:paraId="61AF0C32" w14:textId="77777777" w:rsidR="00E43D41" w:rsidRPr="00E43D41" w:rsidRDefault="00E43D41" w:rsidP="00F943E7">
            <w:pPr>
              <w:pStyle w:val="a-I-EUBodytextsingle"/>
              <w:spacing w:line="276" w:lineRule="auto"/>
              <w:rPr>
                <w:lang w:val="fi-FI"/>
              </w:rPr>
            </w:pPr>
            <w:r w:rsidRPr="00E43D41">
              <w:t>Novel product in dairy and wineries using herbs</w:t>
            </w:r>
          </w:p>
        </w:tc>
        <w:tc>
          <w:tcPr>
            <w:tcW w:w="451" w:type="pct"/>
            <w:shd w:val="clear" w:color="auto" w:fill="auto"/>
            <w:vAlign w:val="center"/>
            <w:hideMark/>
          </w:tcPr>
          <w:p w14:paraId="1373D7E6"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5E2E3E16" w14:textId="77777777" w:rsidR="00E43D41" w:rsidRPr="00E43D41" w:rsidRDefault="00E43D41" w:rsidP="00F943E7">
            <w:pPr>
              <w:pStyle w:val="a-I-EUBodytextsingle"/>
              <w:spacing w:line="276" w:lineRule="auto"/>
              <w:rPr>
                <w:lang w:val="fi-FI"/>
              </w:rPr>
            </w:pPr>
            <w:r w:rsidRPr="00E43D41">
              <w:t>1</w:t>
            </w:r>
          </w:p>
        </w:tc>
        <w:tc>
          <w:tcPr>
            <w:tcW w:w="451" w:type="pct"/>
            <w:shd w:val="clear" w:color="auto" w:fill="auto"/>
            <w:vAlign w:val="center"/>
            <w:hideMark/>
          </w:tcPr>
          <w:p w14:paraId="2F10C04A"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30AD98BF"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0EC9A444"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68AF861D"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30B8F654" w14:textId="77777777" w:rsidR="00E43D41" w:rsidRPr="00E43D41" w:rsidRDefault="00E43D41" w:rsidP="00F943E7">
            <w:pPr>
              <w:pStyle w:val="a-I-EUBodytextsingle"/>
              <w:spacing w:line="276" w:lineRule="auto"/>
              <w:rPr>
                <w:lang w:val="fi-FI"/>
              </w:rPr>
            </w:pPr>
            <w:r w:rsidRPr="00E43D41">
              <w:t> </w:t>
            </w:r>
          </w:p>
        </w:tc>
        <w:tc>
          <w:tcPr>
            <w:tcW w:w="450" w:type="pct"/>
            <w:shd w:val="clear" w:color="auto" w:fill="auto"/>
            <w:vAlign w:val="center"/>
            <w:hideMark/>
          </w:tcPr>
          <w:p w14:paraId="42CECEA8" w14:textId="77777777" w:rsidR="00E43D41" w:rsidRPr="00E43D41" w:rsidRDefault="00E43D41" w:rsidP="00F943E7">
            <w:pPr>
              <w:pStyle w:val="a-I-EUBodytextsingle"/>
              <w:spacing w:line="276" w:lineRule="auto"/>
              <w:rPr>
                <w:lang w:val="fi-FI"/>
              </w:rPr>
            </w:pPr>
            <w:r w:rsidRPr="00E43D41">
              <w:t> </w:t>
            </w:r>
          </w:p>
        </w:tc>
      </w:tr>
      <w:tr w:rsidR="00E43D41" w:rsidRPr="00E43D41" w14:paraId="55528296" w14:textId="77777777" w:rsidTr="00F5402A">
        <w:tc>
          <w:tcPr>
            <w:tcW w:w="1393" w:type="pct"/>
            <w:shd w:val="clear" w:color="auto" w:fill="auto"/>
            <w:vAlign w:val="center"/>
            <w:hideMark/>
          </w:tcPr>
          <w:p w14:paraId="6E8C68E2" w14:textId="4452E649" w:rsidR="00E43D41" w:rsidRPr="00E43D41" w:rsidRDefault="00E43D41" w:rsidP="00F943E7">
            <w:pPr>
              <w:pStyle w:val="a-I-EUBodytextsingle"/>
              <w:spacing w:line="276" w:lineRule="auto"/>
              <w:rPr>
                <w:lang w:val="fi-FI"/>
              </w:rPr>
            </w:pPr>
            <w:r w:rsidRPr="00E43D41">
              <w:t xml:space="preserve">«DIOFARM» - PROMIXTURE OF FEED ADDITIVES: R2B &amp; B2B collaboration between </w:t>
            </w:r>
            <w:r w:rsidRPr="004E6E3F">
              <w:rPr>
                <w:color w:val="000000"/>
              </w:rPr>
              <w:t>Dioscuri</w:t>
            </w:r>
            <w:r w:rsidR="004E6E3F">
              <w:rPr>
                <w:color w:val="000000"/>
              </w:rPr>
              <w:t>-</w:t>
            </w:r>
            <w:r w:rsidRPr="004E6E3F">
              <w:rPr>
                <w:color w:val="000000"/>
              </w:rPr>
              <w:t>des</w:t>
            </w:r>
            <w:r w:rsidRPr="00E43D41">
              <w:t xml:space="preserve"> and Greek Honey “Attiki -Pittas”</w:t>
            </w:r>
          </w:p>
        </w:tc>
        <w:tc>
          <w:tcPr>
            <w:tcW w:w="451" w:type="pct"/>
            <w:shd w:val="clear" w:color="auto" w:fill="auto"/>
            <w:vAlign w:val="center"/>
            <w:hideMark/>
          </w:tcPr>
          <w:p w14:paraId="1BA09C31"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7B94C177" w14:textId="77777777" w:rsidR="00E43D41" w:rsidRPr="00E43D41" w:rsidRDefault="00E43D41" w:rsidP="00F943E7">
            <w:pPr>
              <w:pStyle w:val="a-I-EUBodytextsingle"/>
              <w:spacing w:line="276" w:lineRule="auto"/>
              <w:rPr>
                <w:lang w:val="fi-FI"/>
              </w:rPr>
            </w:pPr>
            <w:r w:rsidRPr="00E43D41">
              <w:t>1</w:t>
            </w:r>
          </w:p>
        </w:tc>
        <w:tc>
          <w:tcPr>
            <w:tcW w:w="451" w:type="pct"/>
            <w:shd w:val="clear" w:color="auto" w:fill="auto"/>
            <w:vAlign w:val="center"/>
            <w:hideMark/>
          </w:tcPr>
          <w:p w14:paraId="14CEDEE1"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5F491FE6"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1359A34F"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70DABEA0"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12CFF16B" w14:textId="77777777" w:rsidR="00E43D41" w:rsidRPr="00E43D41" w:rsidRDefault="00E43D41" w:rsidP="00F943E7">
            <w:pPr>
              <w:pStyle w:val="a-I-EUBodytextsingle"/>
              <w:spacing w:line="276" w:lineRule="auto"/>
              <w:rPr>
                <w:lang w:val="fi-FI"/>
              </w:rPr>
            </w:pPr>
            <w:r w:rsidRPr="00E43D41">
              <w:t> </w:t>
            </w:r>
          </w:p>
        </w:tc>
        <w:tc>
          <w:tcPr>
            <w:tcW w:w="450" w:type="pct"/>
            <w:shd w:val="clear" w:color="auto" w:fill="auto"/>
            <w:vAlign w:val="center"/>
            <w:hideMark/>
          </w:tcPr>
          <w:p w14:paraId="4E6D61EC" w14:textId="77777777" w:rsidR="00E43D41" w:rsidRPr="00E43D41" w:rsidRDefault="00E43D41" w:rsidP="00F943E7">
            <w:pPr>
              <w:pStyle w:val="a-I-EUBodytextsingle"/>
              <w:spacing w:line="276" w:lineRule="auto"/>
              <w:rPr>
                <w:lang w:val="fi-FI"/>
              </w:rPr>
            </w:pPr>
            <w:r w:rsidRPr="00E43D41">
              <w:t> </w:t>
            </w:r>
          </w:p>
        </w:tc>
      </w:tr>
      <w:tr w:rsidR="00E43D41" w:rsidRPr="00E43D41" w14:paraId="158A5F85" w14:textId="77777777" w:rsidTr="00F5402A">
        <w:tc>
          <w:tcPr>
            <w:tcW w:w="1393" w:type="pct"/>
            <w:shd w:val="clear" w:color="auto" w:fill="auto"/>
            <w:vAlign w:val="center"/>
            <w:hideMark/>
          </w:tcPr>
          <w:p w14:paraId="596884E4" w14:textId="77777777" w:rsidR="00E43D41" w:rsidRPr="00E43D41" w:rsidRDefault="00E43D41" w:rsidP="00F943E7">
            <w:pPr>
              <w:pStyle w:val="a-I-EUBodytextsingle"/>
              <w:spacing w:line="276" w:lineRule="auto"/>
              <w:rPr>
                <w:lang w:val="fi-FI"/>
              </w:rPr>
            </w:pPr>
            <w:r w:rsidRPr="00E43D41">
              <w:t>IntoA! Lean Business</w:t>
            </w:r>
          </w:p>
        </w:tc>
        <w:tc>
          <w:tcPr>
            <w:tcW w:w="451" w:type="pct"/>
            <w:shd w:val="clear" w:color="auto" w:fill="auto"/>
            <w:vAlign w:val="center"/>
            <w:hideMark/>
          </w:tcPr>
          <w:p w14:paraId="19BEF4D9"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4DC3F063" w14:textId="77777777" w:rsidR="00E43D41" w:rsidRPr="00E43D41" w:rsidRDefault="00E43D41" w:rsidP="00F943E7">
            <w:pPr>
              <w:pStyle w:val="a-I-EUBodytextsingle"/>
              <w:spacing w:line="276" w:lineRule="auto"/>
              <w:rPr>
                <w:lang w:val="fi-FI"/>
              </w:rPr>
            </w:pPr>
            <w:r w:rsidRPr="00E43D41">
              <w:t>1</w:t>
            </w:r>
          </w:p>
        </w:tc>
        <w:tc>
          <w:tcPr>
            <w:tcW w:w="451" w:type="pct"/>
            <w:shd w:val="clear" w:color="auto" w:fill="auto"/>
            <w:vAlign w:val="center"/>
            <w:hideMark/>
          </w:tcPr>
          <w:p w14:paraId="70E9F1B6"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59EAB499"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1C1F3790"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74A34AF4"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377F62F6" w14:textId="77777777" w:rsidR="00E43D41" w:rsidRPr="00E43D41" w:rsidRDefault="00E43D41" w:rsidP="00F943E7">
            <w:pPr>
              <w:pStyle w:val="a-I-EUBodytextsingle"/>
              <w:spacing w:line="276" w:lineRule="auto"/>
              <w:rPr>
                <w:lang w:val="fi-FI"/>
              </w:rPr>
            </w:pPr>
            <w:r w:rsidRPr="00E43D41">
              <w:t> </w:t>
            </w:r>
          </w:p>
        </w:tc>
        <w:tc>
          <w:tcPr>
            <w:tcW w:w="450" w:type="pct"/>
            <w:shd w:val="clear" w:color="auto" w:fill="auto"/>
            <w:vAlign w:val="center"/>
            <w:hideMark/>
          </w:tcPr>
          <w:p w14:paraId="2D0435A2" w14:textId="77777777" w:rsidR="00E43D41" w:rsidRPr="00E43D41" w:rsidRDefault="00E43D41" w:rsidP="00F943E7">
            <w:pPr>
              <w:pStyle w:val="a-I-EUBodytextsingle"/>
              <w:spacing w:line="276" w:lineRule="auto"/>
              <w:rPr>
                <w:lang w:val="fi-FI"/>
              </w:rPr>
            </w:pPr>
            <w:r w:rsidRPr="00E43D41">
              <w:t>11</w:t>
            </w:r>
          </w:p>
        </w:tc>
      </w:tr>
      <w:tr w:rsidR="00E43D41" w:rsidRPr="00E43D41" w14:paraId="24676143" w14:textId="77777777" w:rsidTr="00F5402A">
        <w:tc>
          <w:tcPr>
            <w:tcW w:w="1393" w:type="pct"/>
            <w:shd w:val="clear" w:color="auto" w:fill="auto"/>
            <w:vAlign w:val="center"/>
            <w:hideMark/>
          </w:tcPr>
          <w:p w14:paraId="787F38B8" w14:textId="77777777" w:rsidR="00E43D41" w:rsidRPr="00E43D41" w:rsidRDefault="00E43D41" w:rsidP="00F943E7">
            <w:pPr>
              <w:pStyle w:val="a-I-EUBodytextsingle"/>
              <w:spacing w:line="276" w:lineRule="auto"/>
              <w:rPr>
                <w:lang w:val="fi-FI"/>
              </w:rPr>
            </w:pPr>
            <w:r w:rsidRPr="00E43D41">
              <w:t>Hellenic Photonics Cluster with applications in agro food sector</w:t>
            </w:r>
          </w:p>
        </w:tc>
        <w:tc>
          <w:tcPr>
            <w:tcW w:w="451" w:type="pct"/>
            <w:shd w:val="clear" w:color="auto" w:fill="auto"/>
            <w:vAlign w:val="center"/>
            <w:hideMark/>
          </w:tcPr>
          <w:p w14:paraId="43AFEF04"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4F71562D"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4A03E180" w14:textId="77777777" w:rsidR="00E43D41" w:rsidRPr="00E43D41" w:rsidRDefault="00E43D41" w:rsidP="00F943E7">
            <w:pPr>
              <w:pStyle w:val="a-I-EUBodytextsingle"/>
              <w:spacing w:line="276" w:lineRule="auto"/>
              <w:rPr>
                <w:lang w:val="fi-FI"/>
              </w:rPr>
            </w:pPr>
            <w:r w:rsidRPr="00E43D41">
              <w:t>1</w:t>
            </w:r>
          </w:p>
        </w:tc>
        <w:tc>
          <w:tcPr>
            <w:tcW w:w="451" w:type="pct"/>
            <w:shd w:val="clear" w:color="auto" w:fill="auto"/>
            <w:vAlign w:val="center"/>
            <w:hideMark/>
          </w:tcPr>
          <w:p w14:paraId="11EECD96"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11519E0E"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03293929"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5F82849A" w14:textId="77777777" w:rsidR="00E43D41" w:rsidRPr="00E43D41" w:rsidRDefault="00E43D41" w:rsidP="00F943E7">
            <w:pPr>
              <w:pStyle w:val="a-I-EUBodytextsingle"/>
              <w:spacing w:line="276" w:lineRule="auto"/>
              <w:rPr>
                <w:lang w:val="fi-FI"/>
              </w:rPr>
            </w:pPr>
            <w:r w:rsidRPr="00E43D41">
              <w:t> </w:t>
            </w:r>
          </w:p>
        </w:tc>
        <w:tc>
          <w:tcPr>
            <w:tcW w:w="450" w:type="pct"/>
            <w:shd w:val="clear" w:color="auto" w:fill="auto"/>
            <w:vAlign w:val="center"/>
            <w:hideMark/>
          </w:tcPr>
          <w:p w14:paraId="2D25F652" w14:textId="77777777" w:rsidR="00E43D41" w:rsidRPr="00E43D41" w:rsidRDefault="00E43D41" w:rsidP="00F943E7">
            <w:pPr>
              <w:pStyle w:val="a-I-EUBodytextsingle"/>
              <w:spacing w:line="276" w:lineRule="auto"/>
              <w:rPr>
                <w:lang w:val="fi-FI"/>
              </w:rPr>
            </w:pPr>
            <w:r w:rsidRPr="00E43D41">
              <w:t> </w:t>
            </w:r>
          </w:p>
        </w:tc>
      </w:tr>
      <w:tr w:rsidR="00E43D41" w:rsidRPr="00E43D41" w14:paraId="0056C4F6" w14:textId="77777777" w:rsidTr="00F5402A">
        <w:trPr>
          <w:trHeight w:val="222"/>
        </w:trPr>
        <w:tc>
          <w:tcPr>
            <w:tcW w:w="1393" w:type="pct"/>
            <w:vMerge w:val="restart"/>
            <w:shd w:val="clear" w:color="auto" w:fill="auto"/>
            <w:vAlign w:val="center"/>
            <w:hideMark/>
          </w:tcPr>
          <w:p w14:paraId="2D0B0708" w14:textId="77777777" w:rsidR="00E43D41" w:rsidRPr="00E43D41" w:rsidRDefault="00E43D41" w:rsidP="00F943E7">
            <w:pPr>
              <w:pStyle w:val="a-I-EUBodytextsingle"/>
              <w:spacing w:line="276" w:lineRule="auto"/>
              <w:rPr>
                <w:lang w:val="fi-FI"/>
              </w:rPr>
            </w:pPr>
            <w:r w:rsidRPr="00E43D41">
              <w:t>AUTODIAGNOSTIC TOOL FOR AGRO-SMEs</w:t>
            </w:r>
          </w:p>
        </w:tc>
        <w:tc>
          <w:tcPr>
            <w:tcW w:w="451" w:type="pct"/>
            <w:vMerge w:val="restart"/>
            <w:shd w:val="clear" w:color="auto" w:fill="auto"/>
            <w:vAlign w:val="center"/>
            <w:hideMark/>
          </w:tcPr>
          <w:p w14:paraId="1B198085" w14:textId="77777777" w:rsidR="00E43D41" w:rsidRPr="00E43D41" w:rsidRDefault="00E43D41" w:rsidP="00F943E7">
            <w:pPr>
              <w:pStyle w:val="a-I-EUBodytextsingle"/>
              <w:spacing w:line="276" w:lineRule="auto"/>
              <w:rPr>
                <w:lang w:val="fi-FI"/>
              </w:rPr>
            </w:pPr>
            <w:r w:rsidRPr="00E43D41">
              <w:t> </w:t>
            </w:r>
          </w:p>
        </w:tc>
        <w:tc>
          <w:tcPr>
            <w:tcW w:w="451" w:type="pct"/>
            <w:vMerge w:val="restart"/>
            <w:shd w:val="clear" w:color="auto" w:fill="auto"/>
            <w:vAlign w:val="center"/>
            <w:hideMark/>
          </w:tcPr>
          <w:p w14:paraId="3C643426" w14:textId="77777777" w:rsidR="00E43D41" w:rsidRPr="00E43D41" w:rsidRDefault="00E43D41" w:rsidP="00F943E7">
            <w:pPr>
              <w:pStyle w:val="a-I-EUBodytextsingle"/>
              <w:spacing w:line="276" w:lineRule="auto"/>
              <w:rPr>
                <w:lang w:val="fi-FI"/>
              </w:rPr>
            </w:pPr>
            <w:r w:rsidRPr="00E43D41">
              <w:t>1</w:t>
            </w:r>
          </w:p>
        </w:tc>
        <w:tc>
          <w:tcPr>
            <w:tcW w:w="451" w:type="pct"/>
            <w:vMerge w:val="restart"/>
            <w:shd w:val="clear" w:color="auto" w:fill="auto"/>
            <w:vAlign w:val="center"/>
            <w:hideMark/>
          </w:tcPr>
          <w:p w14:paraId="6B317ABB" w14:textId="77777777" w:rsidR="00E43D41" w:rsidRPr="00E43D41" w:rsidRDefault="00E43D41" w:rsidP="00F943E7">
            <w:pPr>
              <w:pStyle w:val="a-I-EUBodytextsingle"/>
              <w:spacing w:line="276" w:lineRule="auto"/>
              <w:rPr>
                <w:lang w:val="fi-FI"/>
              </w:rPr>
            </w:pPr>
            <w:r w:rsidRPr="00E43D41">
              <w:t> </w:t>
            </w:r>
          </w:p>
        </w:tc>
        <w:tc>
          <w:tcPr>
            <w:tcW w:w="451" w:type="pct"/>
            <w:vMerge w:val="restart"/>
            <w:shd w:val="clear" w:color="auto" w:fill="auto"/>
            <w:vAlign w:val="center"/>
            <w:hideMark/>
          </w:tcPr>
          <w:p w14:paraId="643E4B79" w14:textId="77777777" w:rsidR="00E43D41" w:rsidRPr="00E43D41" w:rsidRDefault="00E43D41" w:rsidP="00F943E7">
            <w:pPr>
              <w:pStyle w:val="a-I-EUBodytextsingle"/>
              <w:spacing w:line="276" w:lineRule="auto"/>
              <w:rPr>
                <w:lang w:val="fi-FI"/>
              </w:rPr>
            </w:pPr>
            <w:r w:rsidRPr="00E43D41">
              <w:t> </w:t>
            </w:r>
          </w:p>
        </w:tc>
        <w:tc>
          <w:tcPr>
            <w:tcW w:w="451" w:type="pct"/>
            <w:vMerge w:val="restart"/>
            <w:shd w:val="clear" w:color="auto" w:fill="auto"/>
            <w:vAlign w:val="center"/>
            <w:hideMark/>
          </w:tcPr>
          <w:p w14:paraId="44E23E65" w14:textId="77777777" w:rsidR="00E43D41" w:rsidRPr="00E43D41" w:rsidRDefault="00E43D41" w:rsidP="00F943E7">
            <w:pPr>
              <w:pStyle w:val="a-I-EUBodytextsingle"/>
              <w:spacing w:line="276" w:lineRule="auto"/>
              <w:rPr>
                <w:lang w:val="fi-FI"/>
              </w:rPr>
            </w:pPr>
            <w:r w:rsidRPr="00E43D41">
              <w:t> </w:t>
            </w:r>
          </w:p>
        </w:tc>
        <w:tc>
          <w:tcPr>
            <w:tcW w:w="451" w:type="pct"/>
            <w:vMerge w:val="restart"/>
            <w:shd w:val="clear" w:color="auto" w:fill="auto"/>
            <w:vAlign w:val="center"/>
            <w:hideMark/>
          </w:tcPr>
          <w:p w14:paraId="36806F93" w14:textId="77777777" w:rsidR="00E43D41" w:rsidRPr="00E43D41" w:rsidRDefault="00E43D41" w:rsidP="00F943E7">
            <w:pPr>
              <w:pStyle w:val="a-I-EUBodytextsingle"/>
              <w:spacing w:line="276" w:lineRule="auto"/>
              <w:rPr>
                <w:lang w:val="fi-FI"/>
              </w:rPr>
            </w:pPr>
            <w:r w:rsidRPr="00E43D41">
              <w:t> </w:t>
            </w:r>
          </w:p>
        </w:tc>
        <w:tc>
          <w:tcPr>
            <w:tcW w:w="451" w:type="pct"/>
            <w:vMerge w:val="restart"/>
            <w:shd w:val="clear" w:color="auto" w:fill="auto"/>
            <w:vAlign w:val="center"/>
            <w:hideMark/>
          </w:tcPr>
          <w:p w14:paraId="78452DCB" w14:textId="77777777" w:rsidR="00E43D41" w:rsidRPr="00E43D41" w:rsidRDefault="00E43D41" w:rsidP="00F943E7">
            <w:pPr>
              <w:pStyle w:val="a-I-EUBodytextsingle"/>
              <w:spacing w:line="276" w:lineRule="auto"/>
              <w:rPr>
                <w:lang w:val="fi-FI"/>
              </w:rPr>
            </w:pPr>
            <w:r w:rsidRPr="00E43D41">
              <w:t> </w:t>
            </w:r>
          </w:p>
        </w:tc>
        <w:tc>
          <w:tcPr>
            <w:tcW w:w="450" w:type="pct"/>
            <w:vMerge w:val="restart"/>
            <w:shd w:val="clear" w:color="auto" w:fill="auto"/>
            <w:vAlign w:val="center"/>
            <w:hideMark/>
          </w:tcPr>
          <w:p w14:paraId="10FACB52" w14:textId="77777777" w:rsidR="00E43D41" w:rsidRPr="00E43D41" w:rsidRDefault="00E43D41" w:rsidP="00F943E7">
            <w:pPr>
              <w:pStyle w:val="a-I-EUBodytextsingle"/>
              <w:spacing w:line="276" w:lineRule="auto"/>
              <w:rPr>
                <w:lang w:val="fi-FI"/>
              </w:rPr>
            </w:pPr>
            <w:r w:rsidRPr="00E43D41">
              <w:t> </w:t>
            </w:r>
          </w:p>
        </w:tc>
      </w:tr>
      <w:tr w:rsidR="00E43D41" w:rsidRPr="00E43D41" w14:paraId="7EFDC178" w14:textId="77777777" w:rsidTr="00F5402A">
        <w:trPr>
          <w:trHeight w:val="217"/>
        </w:trPr>
        <w:tc>
          <w:tcPr>
            <w:tcW w:w="1393" w:type="pct"/>
            <w:vMerge/>
            <w:vAlign w:val="center"/>
            <w:hideMark/>
          </w:tcPr>
          <w:p w14:paraId="1BCEBF60" w14:textId="77777777" w:rsidR="00E43D41" w:rsidRPr="00E43D41" w:rsidRDefault="00E43D41" w:rsidP="00F943E7">
            <w:pPr>
              <w:pStyle w:val="a-I-EUBodytextsingle"/>
              <w:spacing w:line="276" w:lineRule="auto"/>
              <w:rPr>
                <w:lang w:val="fi-FI"/>
              </w:rPr>
            </w:pPr>
          </w:p>
        </w:tc>
        <w:tc>
          <w:tcPr>
            <w:tcW w:w="451" w:type="pct"/>
            <w:vMerge/>
            <w:vAlign w:val="center"/>
            <w:hideMark/>
          </w:tcPr>
          <w:p w14:paraId="65908D95" w14:textId="77777777" w:rsidR="00E43D41" w:rsidRPr="00E43D41" w:rsidRDefault="00E43D41" w:rsidP="00F943E7">
            <w:pPr>
              <w:pStyle w:val="a-I-EUBodytextsingle"/>
              <w:spacing w:line="276" w:lineRule="auto"/>
              <w:rPr>
                <w:lang w:val="fi-FI"/>
              </w:rPr>
            </w:pPr>
          </w:p>
        </w:tc>
        <w:tc>
          <w:tcPr>
            <w:tcW w:w="451" w:type="pct"/>
            <w:vMerge/>
            <w:vAlign w:val="center"/>
            <w:hideMark/>
          </w:tcPr>
          <w:p w14:paraId="75946ED5" w14:textId="77777777" w:rsidR="00E43D41" w:rsidRPr="00E43D41" w:rsidRDefault="00E43D41" w:rsidP="00F943E7">
            <w:pPr>
              <w:pStyle w:val="a-I-EUBodytextsingle"/>
              <w:spacing w:line="276" w:lineRule="auto"/>
              <w:rPr>
                <w:lang w:val="fi-FI"/>
              </w:rPr>
            </w:pPr>
          </w:p>
        </w:tc>
        <w:tc>
          <w:tcPr>
            <w:tcW w:w="451" w:type="pct"/>
            <w:vMerge/>
            <w:vAlign w:val="center"/>
            <w:hideMark/>
          </w:tcPr>
          <w:p w14:paraId="5A6CDC2F" w14:textId="77777777" w:rsidR="00E43D41" w:rsidRPr="00E43D41" w:rsidRDefault="00E43D41" w:rsidP="00F943E7">
            <w:pPr>
              <w:pStyle w:val="a-I-EUBodytextsingle"/>
              <w:spacing w:line="276" w:lineRule="auto"/>
              <w:rPr>
                <w:lang w:val="fi-FI"/>
              </w:rPr>
            </w:pPr>
          </w:p>
        </w:tc>
        <w:tc>
          <w:tcPr>
            <w:tcW w:w="451" w:type="pct"/>
            <w:vMerge/>
            <w:vAlign w:val="center"/>
            <w:hideMark/>
          </w:tcPr>
          <w:p w14:paraId="1D47EC31" w14:textId="77777777" w:rsidR="00E43D41" w:rsidRPr="00E43D41" w:rsidRDefault="00E43D41" w:rsidP="00F943E7">
            <w:pPr>
              <w:pStyle w:val="a-I-EUBodytextsingle"/>
              <w:spacing w:line="276" w:lineRule="auto"/>
              <w:rPr>
                <w:lang w:val="fi-FI"/>
              </w:rPr>
            </w:pPr>
          </w:p>
        </w:tc>
        <w:tc>
          <w:tcPr>
            <w:tcW w:w="451" w:type="pct"/>
            <w:vMerge/>
            <w:vAlign w:val="center"/>
            <w:hideMark/>
          </w:tcPr>
          <w:p w14:paraId="6B3CC39A" w14:textId="77777777" w:rsidR="00E43D41" w:rsidRPr="00E43D41" w:rsidRDefault="00E43D41" w:rsidP="00F943E7">
            <w:pPr>
              <w:pStyle w:val="a-I-EUBodytextsingle"/>
              <w:spacing w:line="276" w:lineRule="auto"/>
              <w:rPr>
                <w:lang w:val="fi-FI"/>
              </w:rPr>
            </w:pPr>
          </w:p>
        </w:tc>
        <w:tc>
          <w:tcPr>
            <w:tcW w:w="451" w:type="pct"/>
            <w:vMerge/>
            <w:vAlign w:val="center"/>
            <w:hideMark/>
          </w:tcPr>
          <w:p w14:paraId="1528E6CE" w14:textId="77777777" w:rsidR="00E43D41" w:rsidRPr="00E43D41" w:rsidRDefault="00E43D41" w:rsidP="00F943E7">
            <w:pPr>
              <w:pStyle w:val="a-I-EUBodytextsingle"/>
              <w:spacing w:line="276" w:lineRule="auto"/>
              <w:rPr>
                <w:lang w:val="fi-FI"/>
              </w:rPr>
            </w:pPr>
          </w:p>
        </w:tc>
        <w:tc>
          <w:tcPr>
            <w:tcW w:w="451" w:type="pct"/>
            <w:vMerge/>
            <w:vAlign w:val="center"/>
            <w:hideMark/>
          </w:tcPr>
          <w:p w14:paraId="5D2B2A0D" w14:textId="77777777" w:rsidR="00E43D41" w:rsidRPr="00E43D41" w:rsidRDefault="00E43D41" w:rsidP="00F943E7">
            <w:pPr>
              <w:pStyle w:val="a-I-EUBodytextsingle"/>
              <w:spacing w:line="276" w:lineRule="auto"/>
              <w:rPr>
                <w:lang w:val="fi-FI"/>
              </w:rPr>
            </w:pPr>
          </w:p>
        </w:tc>
        <w:tc>
          <w:tcPr>
            <w:tcW w:w="450" w:type="pct"/>
            <w:vMerge/>
            <w:vAlign w:val="center"/>
            <w:hideMark/>
          </w:tcPr>
          <w:p w14:paraId="5BF91DEC" w14:textId="77777777" w:rsidR="00E43D41" w:rsidRPr="00E43D41" w:rsidRDefault="00E43D41" w:rsidP="00F943E7">
            <w:pPr>
              <w:pStyle w:val="a-I-EUBodytextsingle"/>
              <w:spacing w:line="276" w:lineRule="auto"/>
              <w:rPr>
                <w:lang w:val="fi-FI"/>
              </w:rPr>
            </w:pPr>
          </w:p>
        </w:tc>
      </w:tr>
      <w:tr w:rsidR="00E43D41" w:rsidRPr="00E43D41" w14:paraId="43EFA7AB" w14:textId="77777777" w:rsidTr="00F5402A">
        <w:tc>
          <w:tcPr>
            <w:tcW w:w="1393" w:type="pct"/>
            <w:shd w:val="clear" w:color="auto" w:fill="auto"/>
            <w:vAlign w:val="center"/>
            <w:hideMark/>
          </w:tcPr>
          <w:p w14:paraId="67F41785" w14:textId="77777777" w:rsidR="00E43D41" w:rsidRPr="00E43D41" w:rsidRDefault="00E43D41" w:rsidP="00F943E7">
            <w:pPr>
              <w:pStyle w:val="a-I-EUBodytextsingle"/>
              <w:spacing w:line="276" w:lineRule="auto"/>
              <w:rPr>
                <w:lang w:val="fi-FI"/>
              </w:rPr>
            </w:pPr>
            <w:r w:rsidRPr="00E43D41">
              <w:t>Voucher for innovation</w:t>
            </w:r>
          </w:p>
        </w:tc>
        <w:tc>
          <w:tcPr>
            <w:tcW w:w="451" w:type="pct"/>
            <w:shd w:val="clear" w:color="auto" w:fill="auto"/>
            <w:vAlign w:val="center"/>
            <w:hideMark/>
          </w:tcPr>
          <w:p w14:paraId="1A373E22"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545758A5" w14:textId="77777777" w:rsidR="00E43D41" w:rsidRPr="00E43D41" w:rsidRDefault="00E43D41" w:rsidP="00F943E7">
            <w:pPr>
              <w:pStyle w:val="a-I-EUBodytextsingle"/>
              <w:spacing w:line="276" w:lineRule="auto"/>
              <w:rPr>
                <w:lang w:val="fi-FI"/>
              </w:rPr>
            </w:pPr>
            <w:r w:rsidRPr="00E43D41">
              <w:t>1</w:t>
            </w:r>
          </w:p>
        </w:tc>
        <w:tc>
          <w:tcPr>
            <w:tcW w:w="451" w:type="pct"/>
            <w:shd w:val="clear" w:color="auto" w:fill="auto"/>
            <w:vAlign w:val="center"/>
            <w:hideMark/>
          </w:tcPr>
          <w:p w14:paraId="35F097EB"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6A00F460"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41ABF731"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7D36F75A"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40BC2EC2" w14:textId="77777777" w:rsidR="00E43D41" w:rsidRPr="00E43D41" w:rsidRDefault="00E43D41" w:rsidP="00F943E7">
            <w:pPr>
              <w:pStyle w:val="a-I-EUBodytextsingle"/>
              <w:spacing w:line="276" w:lineRule="auto"/>
              <w:rPr>
                <w:lang w:val="fi-FI"/>
              </w:rPr>
            </w:pPr>
            <w:r w:rsidRPr="00E43D41">
              <w:t> </w:t>
            </w:r>
          </w:p>
        </w:tc>
        <w:tc>
          <w:tcPr>
            <w:tcW w:w="450" w:type="pct"/>
            <w:shd w:val="clear" w:color="auto" w:fill="auto"/>
            <w:vAlign w:val="center"/>
            <w:hideMark/>
          </w:tcPr>
          <w:p w14:paraId="0E5A9415" w14:textId="77777777" w:rsidR="00E43D41" w:rsidRPr="00E43D41" w:rsidRDefault="00E43D41" w:rsidP="00F943E7">
            <w:pPr>
              <w:pStyle w:val="a-I-EUBodytextsingle"/>
              <w:spacing w:line="276" w:lineRule="auto"/>
              <w:rPr>
                <w:lang w:val="fi-FI"/>
              </w:rPr>
            </w:pPr>
            <w:r w:rsidRPr="00E43D41">
              <w:t> </w:t>
            </w:r>
          </w:p>
        </w:tc>
      </w:tr>
      <w:tr w:rsidR="00E43D41" w:rsidRPr="00E43D41" w14:paraId="46A1CBAB" w14:textId="77777777" w:rsidTr="00F5402A">
        <w:tc>
          <w:tcPr>
            <w:tcW w:w="1393" w:type="pct"/>
            <w:shd w:val="clear" w:color="auto" w:fill="auto"/>
            <w:vAlign w:val="center"/>
            <w:hideMark/>
          </w:tcPr>
          <w:p w14:paraId="5C00343E" w14:textId="5F30F08F" w:rsidR="00E43D41" w:rsidRPr="00E43D41" w:rsidRDefault="00554978" w:rsidP="00F943E7">
            <w:pPr>
              <w:pStyle w:val="a-I-EUBodytextsingle"/>
              <w:spacing w:line="276" w:lineRule="auto"/>
              <w:rPr>
                <w:lang w:val="fi-FI"/>
              </w:rPr>
            </w:pPr>
            <w:r>
              <w:lastRenderedPageBreak/>
              <w:t>CENTROPE</w:t>
            </w:r>
            <w:r w:rsidR="00E43D41" w:rsidRPr="00E43D41">
              <w:t>_tt innovation voucher</w:t>
            </w:r>
          </w:p>
        </w:tc>
        <w:tc>
          <w:tcPr>
            <w:tcW w:w="451" w:type="pct"/>
            <w:shd w:val="clear" w:color="auto" w:fill="auto"/>
            <w:vAlign w:val="center"/>
            <w:hideMark/>
          </w:tcPr>
          <w:p w14:paraId="0EE128A9"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6EE191B7" w14:textId="77777777" w:rsidR="00E43D41" w:rsidRPr="00E43D41" w:rsidRDefault="00E43D41" w:rsidP="00F943E7">
            <w:pPr>
              <w:pStyle w:val="a-I-EUBodytextsingle"/>
              <w:spacing w:line="276" w:lineRule="auto"/>
              <w:rPr>
                <w:lang w:val="fi-FI"/>
              </w:rPr>
            </w:pPr>
            <w:r w:rsidRPr="00E43D41">
              <w:t>1</w:t>
            </w:r>
          </w:p>
        </w:tc>
        <w:tc>
          <w:tcPr>
            <w:tcW w:w="451" w:type="pct"/>
            <w:shd w:val="clear" w:color="auto" w:fill="auto"/>
            <w:vAlign w:val="center"/>
            <w:hideMark/>
          </w:tcPr>
          <w:p w14:paraId="5EA00DC5"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3D3D14CF"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6B5425A9"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1635A3C8"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22D8EBFA" w14:textId="77777777" w:rsidR="00E43D41" w:rsidRPr="00E43D41" w:rsidRDefault="00E43D41" w:rsidP="00F943E7">
            <w:pPr>
              <w:pStyle w:val="a-I-EUBodytextsingle"/>
              <w:spacing w:line="276" w:lineRule="auto"/>
              <w:rPr>
                <w:lang w:val="fi-FI"/>
              </w:rPr>
            </w:pPr>
            <w:r w:rsidRPr="00E43D41">
              <w:t> </w:t>
            </w:r>
          </w:p>
        </w:tc>
        <w:tc>
          <w:tcPr>
            <w:tcW w:w="450" w:type="pct"/>
            <w:shd w:val="clear" w:color="auto" w:fill="auto"/>
            <w:vAlign w:val="center"/>
            <w:hideMark/>
          </w:tcPr>
          <w:p w14:paraId="76E191C3" w14:textId="77777777" w:rsidR="00E43D41" w:rsidRPr="00E43D41" w:rsidRDefault="00E43D41" w:rsidP="00F943E7">
            <w:pPr>
              <w:pStyle w:val="a-I-EUBodytextsingle"/>
              <w:spacing w:line="276" w:lineRule="auto"/>
              <w:rPr>
                <w:lang w:val="fi-FI"/>
              </w:rPr>
            </w:pPr>
            <w:r w:rsidRPr="00E43D41">
              <w:t> </w:t>
            </w:r>
          </w:p>
        </w:tc>
      </w:tr>
      <w:tr w:rsidR="00E43D41" w:rsidRPr="00E43D41" w14:paraId="2176EA8E" w14:textId="77777777" w:rsidTr="00F5402A">
        <w:trPr>
          <w:trHeight w:val="217"/>
        </w:trPr>
        <w:tc>
          <w:tcPr>
            <w:tcW w:w="1393" w:type="pct"/>
            <w:vMerge w:val="restart"/>
            <w:shd w:val="clear" w:color="auto" w:fill="auto"/>
            <w:vAlign w:val="center"/>
            <w:hideMark/>
          </w:tcPr>
          <w:p w14:paraId="480F3344" w14:textId="77777777" w:rsidR="00E43D41" w:rsidRPr="00E43D41" w:rsidRDefault="00E43D41" w:rsidP="00F943E7">
            <w:pPr>
              <w:pStyle w:val="a-I-EUBodytextsingle"/>
              <w:spacing w:line="276" w:lineRule="auto"/>
              <w:rPr>
                <w:lang w:val="fi-FI"/>
              </w:rPr>
            </w:pPr>
            <w:r w:rsidRPr="00E43D41">
              <w:t>Innocsekk Plusz 2008 innovation voucher</w:t>
            </w:r>
          </w:p>
        </w:tc>
        <w:tc>
          <w:tcPr>
            <w:tcW w:w="451" w:type="pct"/>
            <w:vMerge w:val="restart"/>
            <w:shd w:val="clear" w:color="auto" w:fill="auto"/>
            <w:vAlign w:val="center"/>
            <w:hideMark/>
          </w:tcPr>
          <w:p w14:paraId="0A2E90DF" w14:textId="77777777" w:rsidR="00E43D41" w:rsidRPr="00E43D41" w:rsidRDefault="00E43D41" w:rsidP="00F943E7">
            <w:pPr>
              <w:pStyle w:val="a-I-EUBodytextsingle"/>
              <w:spacing w:line="276" w:lineRule="auto"/>
              <w:rPr>
                <w:lang w:val="fi-FI"/>
              </w:rPr>
            </w:pPr>
            <w:r w:rsidRPr="00E43D41">
              <w:t> </w:t>
            </w:r>
          </w:p>
        </w:tc>
        <w:tc>
          <w:tcPr>
            <w:tcW w:w="451" w:type="pct"/>
            <w:vMerge w:val="restart"/>
            <w:shd w:val="clear" w:color="auto" w:fill="auto"/>
            <w:vAlign w:val="center"/>
            <w:hideMark/>
          </w:tcPr>
          <w:p w14:paraId="37787455" w14:textId="77777777" w:rsidR="00E43D41" w:rsidRPr="00E43D41" w:rsidRDefault="00E43D41" w:rsidP="00F943E7">
            <w:pPr>
              <w:pStyle w:val="a-I-EUBodytextsingle"/>
              <w:spacing w:line="276" w:lineRule="auto"/>
              <w:rPr>
                <w:lang w:val="fi-FI"/>
              </w:rPr>
            </w:pPr>
            <w:r w:rsidRPr="00E43D41">
              <w:t>1</w:t>
            </w:r>
          </w:p>
        </w:tc>
        <w:tc>
          <w:tcPr>
            <w:tcW w:w="451" w:type="pct"/>
            <w:vMerge w:val="restart"/>
            <w:shd w:val="clear" w:color="auto" w:fill="auto"/>
            <w:vAlign w:val="center"/>
            <w:hideMark/>
          </w:tcPr>
          <w:p w14:paraId="2313B8FF" w14:textId="77777777" w:rsidR="00E43D41" w:rsidRPr="00E43D41" w:rsidRDefault="00E43D41" w:rsidP="00F943E7">
            <w:pPr>
              <w:pStyle w:val="a-I-EUBodytextsingle"/>
              <w:spacing w:line="276" w:lineRule="auto"/>
              <w:rPr>
                <w:lang w:val="fi-FI"/>
              </w:rPr>
            </w:pPr>
            <w:r w:rsidRPr="00E43D41">
              <w:t> </w:t>
            </w:r>
          </w:p>
        </w:tc>
        <w:tc>
          <w:tcPr>
            <w:tcW w:w="451" w:type="pct"/>
            <w:vMerge w:val="restart"/>
            <w:shd w:val="clear" w:color="auto" w:fill="auto"/>
            <w:vAlign w:val="center"/>
            <w:hideMark/>
          </w:tcPr>
          <w:p w14:paraId="46ACD97D" w14:textId="77777777" w:rsidR="00E43D41" w:rsidRPr="00E43D41" w:rsidRDefault="00E43D41" w:rsidP="00F943E7">
            <w:pPr>
              <w:pStyle w:val="a-I-EUBodytextsingle"/>
              <w:spacing w:line="276" w:lineRule="auto"/>
              <w:rPr>
                <w:lang w:val="fi-FI"/>
              </w:rPr>
            </w:pPr>
            <w:r w:rsidRPr="00E43D41">
              <w:t> </w:t>
            </w:r>
          </w:p>
        </w:tc>
        <w:tc>
          <w:tcPr>
            <w:tcW w:w="451" w:type="pct"/>
            <w:vMerge w:val="restart"/>
            <w:shd w:val="clear" w:color="auto" w:fill="auto"/>
            <w:vAlign w:val="center"/>
            <w:hideMark/>
          </w:tcPr>
          <w:p w14:paraId="70207BDB" w14:textId="77777777" w:rsidR="00E43D41" w:rsidRPr="00E43D41" w:rsidRDefault="00E43D41" w:rsidP="00F943E7">
            <w:pPr>
              <w:pStyle w:val="a-I-EUBodytextsingle"/>
              <w:spacing w:line="276" w:lineRule="auto"/>
              <w:rPr>
                <w:lang w:val="fi-FI"/>
              </w:rPr>
            </w:pPr>
            <w:r w:rsidRPr="00E43D41">
              <w:t> </w:t>
            </w:r>
          </w:p>
        </w:tc>
        <w:tc>
          <w:tcPr>
            <w:tcW w:w="451" w:type="pct"/>
            <w:vMerge w:val="restart"/>
            <w:shd w:val="clear" w:color="auto" w:fill="auto"/>
            <w:vAlign w:val="center"/>
            <w:hideMark/>
          </w:tcPr>
          <w:p w14:paraId="293C6C88" w14:textId="77777777" w:rsidR="00E43D41" w:rsidRPr="00E43D41" w:rsidRDefault="00E43D41" w:rsidP="00F943E7">
            <w:pPr>
              <w:pStyle w:val="a-I-EUBodytextsingle"/>
              <w:spacing w:line="276" w:lineRule="auto"/>
              <w:rPr>
                <w:lang w:val="fi-FI"/>
              </w:rPr>
            </w:pPr>
            <w:r w:rsidRPr="00E43D41">
              <w:t> </w:t>
            </w:r>
          </w:p>
        </w:tc>
        <w:tc>
          <w:tcPr>
            <w:tcW w:w="451" w:type="pct"/>
            <w:vMerge w:val="restart"/>
            <w:shd w:val="clear" w:color="auto" w:fill="auto"/>
            <w:vAlign w:val="center"/>
            <w:hideMark/>
          </w:tcPr>
          <w:p w14:paraId="0E1C6D82" w14:textId="77777777" w:rsidR="00E43D41" w:rsidRPr="00E43D41" w:rsidRDefault="00E43D41" w:rsidP="00F943E7">
            <w:pPr>
              <w:pStyle w:val="a-I-EUBodytextsingle"/>
              <w:spacing w:line="276" w:lineRule="auto"/>
              <w:rPr>
                <w:lang w:val="fi-FI"/>
              </w:rPr>
            </w:pPr>
            <w:r w:rsidRPr="00E43D41">
              <w:t> </w:t>
            </w:r>
          </w:p>
        </w:tc>
        <w:tc>
          <w:tcPr>
            <w:tcW w:w="450" w:type="pct"/>
            <w:vMerge w:val="restart"/>
            <w:shd w:val="clear" w:color="auto" w:fill="auto"/>
            <w:vAlign w:val="center"/>
            <w:hideMark/>
          </w:tcPr>
          <w:p w14:paraId="73A1CE5E" w14:textId="77777777" w:rsidR="00E43D41" w:rsidRPr="00E43D41" w:rsidRDefault="00E43D41" w:rsidP="00F943E7">
            <w:pPr>
              <w:pStyle w:val="a-I-EUBodytextsingle"/>
              <w:spacing w:line="276" w:lineRule="auto"/>
              <w:rPr>
                <w:lang w:val="fi-FI"/>
              </w:rPr>
            </w:pPr>
            <w:r w:rsidRPr="00E43D41">
              <w:t> </w:t>
            </w:r>
          </w:p>
        </w:tc>
      </w:tr>
      <w:tr w:rsidR="00E43D41" w:rsidRPr="00E43D41" w14:paraId="1B3F1E15" w14:textId="77777777" w:rsidTr="00F5402A">
        <w:trPr>
          <w:trHeight w:val="217"/>
        </w:trPr>
        <w:tc>
          <w:tcPr>
            <w:tcW w:w="1393" w:type="pct"/>
            <w:vMerge/>
            <w:vAlign w:val="center"/>
            <w:hideMark/>
          </w:tcPr>
          <w:p w14:paraId="6A110D8B" w14:textId="77777777" w:rsidR="00E43D41" w:rsidRPr="00E43D41" w:rsidRDefault="00E43D41" w:rsidP="00F943E7">
            <w:pPr>
              <w:pStyle w:val="a-I-EUBodytextsingle"/>
              <w:spacing w:line="276" w:lineRule="auto"/>
              <w:rPr>
                <w:lang w:val="fi-FI"/>
              </w:rPr>
            </w:pPr>
          </w:p>
        </w:tc>
        <w:tc>
          <w:tcPr>
            <w:tcW w:w="451" w:type="pct"/>
            <w:vMerge/>
            <w:vAlign w:val="center"/>
            <w:hideMark/>
          </w:tcPr>
          <w:p w14:paraId="2B418409" w14:textId="77777777" w:rsidR="00E43D41" w:rsidRPr="00E43D41" w:rsidRDefault="00E43D41" w:rsidP="00F943E7">
            <w:pPr>
              <w:pStyle w:val="a-I-EUBodytextsingle"/>
              <w:spacing w:line="276" w:lineRule="auto"/>
              <w:rPr>
                <w:lang w:val="fi-FI"/>
              </w:rPr>
            </w:pPr>
          </w:p>
        </w:tc>
        <w:tc>
          <w:tcPr>
            <w:tcW w:w="451" w:type="pct"/>
            <w:vMerge/>
            <w:vAlign w:val="center"/>
            <w:hideMark/>
          </w:tcPr>
          <w:p w14:paraId="0B730E63" w14:textId="77777777" w:rsidR="00E43D41" w:rsidRPr="00E43D41" w:rsidRDefault="00E43D41" w:rsidP="00F943E7">
            <w:pPr>
              <w:pStyle w:val="a-I-EUBodytextsingle"/>
              <w:spacing w:line="276" w:lineRule="auto"/>
              <w:rPr>
                <w:lang w:val="fi-FI"/>
              </w:rPr>
            </w:pPr>
          </w:p>
        </w:tc>
        <w:tc>
          <w:tcPr>
            <w:tcW w:w="451" w:type="pct"/>
            <w:vMerge/>
            <w:vAlign w:val="center"/>
            <w:hideMark/>
          </w:tcPr>
          <w:p w14:paraId="57FB9985" w14:textId="77777777" w:rsidR="00E43D41" w:rsidRPr="00E43D41" w:rsidRDefault="00E43D41" w:rsidP="00F943E7">
            <w:pPr>
              <w:pStyle w:val="a-I-EUBodytextsingle"/>
              <w:spacing w:line="276" w:lineRule="auto"/>
              <w:rPr>
                <w:lang w:val="fi-FI"/>
              </w:rPr>
            </w:pPr>
          </w:p>
        </w:tc>
        <w:tc>
          <w:tcPr>
            <w:tcW w:w="451" w:type="pct"/>
            <w:vMerge/>
            <w:vAlign w:val="center"/>
            <w:hideMark/>
          </w:tcPr>
          <w:p w14:paraId="6A3D6DF0" w14:textId="77777777" w:rsidR="00E43D41" w:rsidRPr="00E43D41" w:rsidRDefault="00E43D41" w:rsidP="00F943E7">
            <w:pPr>
              <w:pStyle w:val="a-I-EUBodytextsingle"/>
              <w:spacing w:line="276" w:lineRule="auto"/>
              <w:rPr>
                <w:lang w:val="fi-FI"/>
              </w:rPr>
            </w:pPr>
          </w:p>
        </w:tc>
        <w:tc>
          <w:tcPr>
            <w:tcW w:w="451" w:type="pct"/>
            <w:vMerge/>
            <w:vAlign w:val="center"/>
            <w:hideMark/>
          </w:tcPr>
          <w:p w14:paraId="51AF7C3C" w14:textId="77777777" w:rsidR="00E43D41" w:rsidRPr="00E43D41" w:rsidRDefault="00E43D41" w:rsidP="00F943E7">
            <w:pPr>
              <w:pStyle w:val="a-I-EUBodytextsingle"/>
              <w:spacing w:line="276" w:lineRule="auto"/>
              <w:rPr>
                <w:lang w:val="fi-FI"/>
              </w:rPr>
            </w:pPr>
          </w:p>
        </w:tc>
        <w:tc>
          <w:tcPr>
            <w:tcW w:w="451" w:type="pct"/>
            <w:vMerge/>
            <w:vAlign w:val="center"/>
            <w:hideMark/>
          </w:tcPr>
          <w:p w14:paraId="543DE0CA" w14:textId="77777777" w:rsidR="00E43D41" w:rsidRPr="00E43D41" w:rsidRDefault="00E43D41" w:rsidP="00F943E7">
            <w:pPr>
              <w:pStyle w:val="a-I-EUBodytextsingle"/>
              <w:spacing w:line="276" w:lineRule="auto"/>
              <w:rPr>
                <w:lang w:val="fi-FI"/>
              </w:rPr>
            </w:pPr>
          </w:p>
        </w:tc>
        <w:tc>
          <w:tcPr>
            <w:tcW w:w="451" w:type="pct"/>
            <w:vMerge/>
            <w:vAlign w:val="center"/>
            <w:hideMark/>
          </w:tcPr>
          <w:p w14:paraId="64E57ACD" w14:textId="77777777" w:rsidR="00E43D41" w:rsidRPr="00E43D41" w:rsidRDefault="00E43D41" w:rsidP="00F943E7">
            <w:pPr>
              <w:pStyle w:val="a-I-EUBodytextsingle"/>
              <w:spacing w:line="276" w:lineRule="auto"/>
              <w:rPr>
                <w:lang w:val="fi-FI"/>
              </w:rPr>
            </w:pPr>
          </w:p>
        </w:tc>
        <w:tc>
          <w:tcPr>
            <w:tcW w:w="450" w:type="pct"/>
            <w:vMerge/>
            <w:vAlign w:val="center"/>
            <w:hideMark/>
          </w:tcPr>
          <w:p w14:paraId="52A4E702" w14:textId="77777777" w:rsidR="00E43D41" w:rsidRPr="00E43D41" w:rsidRDefault="00E43D41" w:rsidP="00F943E7">
            <w:pPr>
              <w:pStyle w:val="a-I-EUBodytextsingle"/>
              <w:spacing w:line="276" w:lineRule="auto"/>
              <w:rPr>
                <w:lang w:val="fi-FI"/>
              </w:rPr>
            </w:pPr>
          </w:p>
        </w:tc>
      </w:tr>
      <w:tr w:rsidR="00E43D41" w:rsidRPr="00E43D41" w14:paraId="0EC53257" w14:textId="77777777" w:rsidTr="00F5402A">
        <w:trPr>
          <w:trHeight w:val="217"/>
        </w:trPr>
        <w:tc>
          <w:tcPr>
            <w:tcW w:w="1393" w:type="pct"/>
            <w:vMerge/>
            <w:vAlign w:val="center"/>
            <w:hideMark/>
          </w:tcPr>
          <w:p w14:paraId="5F71C3C0" w14:textId="77777777" w:rsidR="00E43D41" w:rsidRPr="00E43D41" w:rsidRDefault="00E43D41" w:rsidP="00F943E7">
            <w:pPr>
              <w:pStyle w:val="a-I-EUBodytextsingle"/>
              <w:spacing w:line="276" w:lineRule="auto"/>
              <w:rPr>
                <w:lang w:val="fi-FI"/>
              </w:rPr>
            </w:pPr>
          </w:p>
        </w:tc>
        <w:tc>
          <w:tcPr>
            <w:tcW w:w="451" w:type="pct"/>
            <w:vMerge/>
            <w:vAlign w:val="center"/>
            <w:hideMark/>
          </w:tcPr>
          <w:p w14:paraId="2A6F7877" w14:textId="77777777" w:rsidR="00E43D41" w:rsidRPr="00E43D41" w:rsidRDefault="00E43D41" w:rsidP="00F943E7">
            <w:pPr>
              <w:pStyle w:val="a-I-EUBodytextsingle"/>
              <w:spacing w:line="276" w:lineRule="auto"/>
              <w:rPr>
                <w:lang w:val="fi-FI"/>
              </w:rPr>
            </w:pPr>
          </w:p>
        </w:tc>
        <w:tc>
          <w:tcPr>
            <w:tcW w:w="451" w:type="pct"/>
            <w:vMerge/>
            <w:vAlign w:val="center"/>
            <w:hideMark/>
          </w:tcPr>
          <w:p w14:paraId="116D2D4C" w14:textId="77777777" w:rsidR="00E43D41" w:rsidRPr="00E43D41" w:rsidRDefault="00E43D41" w:rsidP="00F943E7">
            <w:pPr>
              <w:pStyle w:val="a-I-EUBodytextsingle"/>
              <w:spacing w:line="276" w:lineRule="auto"/>
              <w:rPr>
                <w:lang w:val="fi-FI"/>
              </w:rPr>
            </w:pPr>
          </w:p>
        </w:tc>
        <w:tc>
          <w:tcPr>
            <w:tcW w:w="451" w:type="pct"/>
            <w:vMerge/>
            <w:vAlign w:val="center"/>
            <w:hideMark/>
          </w:tcPr>
          <w:p w14:paraId="246F7BB3" w14:textId="77777777" w:rsidR="00E43D41" w:rsidRPr="00E43D41" w:rsidRDefault="00E43D41" w:rsidP="00F943E7">
            <w:pPr>
              <w:pStyle w:val="a-I-EUBodytextsingle"/>
              <w:spacing w:line="276" w:lineRule="auto"/>
              <w:rPr>
                <w:lang w:val="fi-FI"/>
              </w:rPr>
            </w:pPr>
          </w:p>
        </w:tc>
        <w:tc>
          <w:tcPr>
            <w:tcW w:w="451" w:type="pct"/>
            <w:vMerge/>
            <w:vAlign w:val="center"/>
            <w:hideMark/>
          </w:tcPr>
          <w:p w14:paraId="63E9599E" w14:textId="77777777" w:rsidR="00E43D41" w:rsidRPr="00E43D41" w:rsidRDefault="00E43D41" w:rsidP="00F943E7">
            <w:pPr>
              <w:pStyle w:val="a-I-EUBodytextsingle"/>
              <w:spacing w:line="276" w:lineRule="auto"/>
              <w:rPr>
                <w:lang w:val="fi-FI"/>
              </w:rPr>
            </w:pPr>
          </w:p>
        </w:tc>
        <w:tc>
          <w:tcPr>
            <w:tcW w:w="451" w:type="pct"/>
            <w:vMerge/>
            <w:vAlign w:val="center"/>
            <w:hideMark/>
          </w:tcPr>
          <w:p w14:paraId="0A1FE934" w14:textId="77777777" w:rsidR="00E43D41" w:rsidRPr="00E43D41" w:rsidRDefault="00E43D41" w:rsidP="00F943E7">
            <w:pPr>
              <w:pStyle w:val="a-I-EUBodytextsingle"/>
              <w:spacing w:line="276" w:lineRule="auto"/>
              <w:rPr>
                <w:lang w:val="fi-FI"/>
              </w:rPr>
            </w:pPr>
          </w:p>
        </w:tc>
        <w:tc>
          <w:tcPr>
            <w:tcW w:w="451" w:type="pct"/>
            <w:vMerge/>
            <w:vAlign w:val="center"/>
            <w:hideMark/>
          </w:tcPr>
          <w:p w14:paraId="05422B76" w14:textId="77777777" w:rsidR="00E43D41" w:rsidRPr="00E43D41" w:rsidRDefault="00E43D41" w:rsidP="00F943E7">
            <w:pPr>
              <w:pStyle w:val="a-I-EUBodytextsingle"/>
              <w:spacing w:line="276" w:lineRule="auto"/>
              <w:rPr>
                <w:lang w:val="fi-FI"/>
              </w:rPr>
            </w:pPr>
          </w:p>
        </w:tc>
        <w:tc>
          <w:tcPr>
            <w:tcW w:w="451" w:type="pct"/>
            <w:vMerge/>
            <w:vAlign w:val="center"/>
            <w:hideMark/>
          </w:tcPr>
          <w:p w14:paraId="568A10DA" w14:textId="77777777" w:rsidR="00E43D41" w:rsidRPr="00E43D41" w:rsidRDefault="00E43D41" w:rsidP="00F943E7">
            <w:pPr>
              <w:pStyle w:val="a-I-EUBodytextsingle"/>
              <w:spacing w:line="276" w:lineRule="auto"/>
              <w:rPr>
                <w:lang w:val="fi-FI"/>
              </w:rPr>
            </w:pPr>
          </w:p>
        </w:tc>
        <w:tc>
          <w:tcPr>
            <w:tcW w:w="450" w:type="pct"/>
            <w:vMerge/>
            <w:vAlign w:val="center"/>
            <w:hideMark/>
          </w:tcPr>
          <w:p w14:paraId="09B563E0" w14:textId="77777777" w:rsidR="00E43D41" w:rsidRPr="00E43D41" w:rsidRDefault="00E43D41" w:rsidP="00F943E7">
            <w:pPr>
              <w:pStyle w:val="a-I-EUBodytextsingle"/>
              <w:spacing w:line="276" w:lineRule="auto"/>
              <w:rPr>
                <w:lang w:val="fi-FI"/>
              </w:rPr>
            </w:pPr>
          </w:p>
        </w:tc>
      </w:tr>
      <w:tr w:rsidR="00E43D41" w:rsidRPr="00E43D41" w14:paraId="16E83DE1" w14:textId="77777777" w:rsidTr="00F5402A">
        <w:tc>
          <w:tcPr>
            <w:tcW w:w="1393" w:type="pct"/>
            <w:shd w:val="clear" w:color="auto" w:fill="auto"/>
            <w:vAlign w:val="center"/>
            <w:hideMark/>
          </w:tcPr>
          <w:p w14:paraId="3E28DC4B" w14:textId="77777777" w:rsidR="00E43D41" w:rsidRPr="00E43D41" w:rsidRDefault="00E43D41" w:rsidP="00F943E7">
            <w:pPr>
              <w:pStyle w:val="a-I-EUBodytextsingle"/>
              <w:spacing w:line="276" w:lineRule="auto"/>
              <w:rPr>
                <w:lang w:val="fi-FI"/>
              </w:rPr>
            </w:pPr>
            <w:r w:rsidRPr="00E43D41">
              <w:t>Helsinki-Uusimaa Regional Council RIS3 coordination</w:t>
            </w:r>
          </w:p>
        </w:tc>
        <w:tc>
          <w:tcPr>
            <w:tcW w:w="451" w:type="pct"/>
            <w:shd w:val="clear" w:color="auto" w:fill="auto"/>
            <w:vAlign w:val="center"/>
            <w:hideMark/>
          </w:tcPr>
          <w:p w14:paraId="4097F4ED"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209BED1C"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18E409D1"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7F5944B4"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1EADACEC" w14:textId="77777777" w:rsidR="00E43D41" w:rsidRPr="00E43D41" w:rsidRDefault="00E43D41" w:rsidP="00F943E7">
            <w:pPr>
              <w:pStyle w:val="a-I-EUBodytextsingle"/>
              <w:spacing w:line="276" w:lineRule="auto"/>
              <w:rPr>
                <w:lang w:val="fi-FI"/>
              </w:rPr>
            </w:pPr>
            <w:r w:rsidRPr="00E43D41">
              <w:t>1</w:t>
            </w:r>
          </w:p>
        </w:tc>
        <w:tc>
          <w:tcPr>
            <w:tcW w:w="451" w:type="pct"/>
            <w:shd w:val="clear" w:color="auto" w:fill="auto"/>
            <w:vAlign w:val="center"/>
            <w:hideMark/>
          </w:tcPr>
          <w:p w14:paraId="07CF9335"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414F17F1" w14:textId="77777777" w:rsidR="00E43D41" w:rsidRPr="00E43D41" w:rsidRDefault="00E43D41" w:rsidP="00F943E7">
            <w:pPr>
              <w:pStyle w:val="a-I-EUBodytextsingle"/>
              <w:spacing w:line="276" w:lineRule="auto"/>
              <w:rPr>
                <w:lang w:val="fi-FI"/>
              </w:rPr>
            </w:pPr>
            <w:r w:rsidRPr="00E43D41">
              <w:t> </w:t>
            </w:r>
          </w:p>
        </w:tc>
        <w:tc>
          <w:tcPr>
            <w:tcW w:w="450" w:type="pct"/>
            <w:shd w:val="clear" w:color="auto" w:fill="auto"/>
            <w:vAlign w:val="center"/>
            <w:hideMark/>
          </w:tcPr>
          <w:p w14:paraId="12566187" w14:textId="77777777" w:rsidR="00E43D41" w:rsidRPr="00E43D41" w:rsidRDefault="00E43D41" w:rsidP="00F943E7">
            <w:pPr>
              <w:pStyle w:val="a-I-EUBodytextsingle"/>
              <w:spacing w:line="276" w:lineRule="auto"/>
              <w:rPr>
                <w:lang w:val="fi-FI"/>
              </w:rPr>
            </w:pPr>
            <w:r w:rsidRPr="00E43D41">
              <w:t> </w:t>
            </w:r>
          </w:p>
        </w:tc>
      </w:tr>
      <w:tr w:rsidR="00E43D41" w:rsidRPr="00E43D41" w14:paraId="7F8EFBC7" w14:textId="77777777" w:rsidTr="00F5402A">
        <w:tc>
          <w:tcPr>
            <w:tcW w:w="1393" w:type="pct"/>
            <w:shd w:val="clear" w:color="auto" w:fill="auto"/>
            <w:vAlign w:val="center"/>
            <w:hideMark/>
          </w:tcPr>
          <w:p w14:paraId="669A9F4D" w14:textId="77777777" w:rsidR="00E43D41" w:rsidRPr="00E43D41" w:rsidRDefault="00E43D41" w:rsidP="00F943E7">
            <w:pPr>
              <w:pStyle w:val="a-I-EUBodytextsingle"/>
              <w:spacing w:line="276" w:lineRule="auto"/>
              <w:rPr>
                <w:lang w:val="fi-FI"/>
              </w:rPr>
            </w:pPr>
            <w:r w:rsidRPr="00E43D41">
              <w:t>Targeted research</w:t>
            </w:r>
          </w:p>
        </w:tc>
        <w:tc>
          <w:tcPr>
            <w:tcW w:w="451" w:type="pct"/>
            <w:shd w:val="clear" w:color="auto" w:fill="auto"/>
            <w:vAlign w:val="center"/>
            <w:hideMark/>
          </w:tcPr>
          <w:p w14:paraId="54DE4083"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6D5DBEE0" w14:textId="77777777" w:rsidR="00E43D41" w:rsidRPr="00E43D41" w:rsidRDefault="00E43D41" w:rsidP="00F943E7">
            <w:pPr>
              <w:pStyle w:val="a-I-EUBodytextsingle"/>
              <w:spacing w:line="276" w:lineRule="auto"/>
              <w:rPr>
                <w:lang w:val="fi-FI"/>
              </w:rPr>
            </w:pPr>
            <w:r w:rsidRPr="00E43D41">
              <w:t>1</w:t>
            </w:r>
          </w:p>
        </w:tc>
        <w:tc>
          <w:tcPr>
            <w:tcW w:w="451" w:type="pct"/>
            <w:shd w:val="clear" w:color="auto" w:fill="auto"/>
            <w:vAlign w:val="center"/>
            <w:hideMark/>
          </w:tcPr>
          <w:p w14:paraId="407076AF"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3585F336"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6ED03E13"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45EA487A"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47EB479D" w14:textId="77777777" w:rsidR="00E43D41" w:rsidRPr="00E43D41" w:rsidRDefault="00E43D41" w:rsidP="00F943E7">
            <w:pPr>
              <w:pStyle w:val="a-I-EUBodytextsingle"/>
              <w:spacing w:line="276" w:lineRule="auto"/>
              <w:rPr>
                <w:lang w:val="fi-FI"/>
              </w:rPr>
            </w:pPr>
            <w:r w:rsidRPr="00E43D41">
              <w:t> </w:t>
            </w:r>
          </w:p>
        </w:tc>
        <w:tc>
          <w:tcPr>
            <w:tcW w:w="450" w:type="pct"/>
            <w:shd w:val="clear" w:color="auto" w:fill="auto"/>
            <w:vAlign w:val="center"/>
            <w:hideMark/>
          </w:tcPr>
          <w:p w14:paraId="28271CF7" w14:textId="77777777" w:rsidR="00E43D41" w:rsidRPr="00E43D41" w:rsidRDefault="00E43D41" w:rsidP="00F943E7">
            <w:pPr>
              <w:pStyle w:val="a-I-EUBodytextsingle"/>
              <w:spacing w:line="276" w:lineRule="auto"/>
              <w:rPr>
                <w:lang w:val="fi-FI"/>
              </w:rPr>
            </w:pPr>
            <w:r w:rsidRPr="00E43D41">
              <w:t>1</w:t>
            </w:r>
          </w:p>
        </w:tc>
      </w:tr>
      <w:tr w:rsidR="00E43D41" w:rsidRPr="00E43D41" w14:paraId="4D4BE317" w14:textId="77777777" w:rsidTr="00F5402A">
        <w:tc>
          <w:tcPr>
            <w:tcW w:w="1393" w:type="pct"/>
            <w:shd w:val="clear" w:color="auto" w:fill="auto"/>
            <w:vAlign w:val="center"/>
            <w:hideMark/>
          </w:tcPr>
          <w:p w14:paraId="2B5E0F82" w14:textId="77777777" w:rsidR="00E43D41" w:rsidRPr="00E43D41" w:rsidRDefault="00E43D41" w:rsidP="00F943E7">
            <w:pPr>
              <w:pStyle w:val="a-I-EUBodytextsingle"/>
              <w:spacing w:line="276" w:lineRule="auto"/>
              <w:rPr>
                <w:lang w:val="fi-FI"/>
              </w:rPr>
            </w:pPr>
            <w:r w:rsidRPr="00E43D41">
              <w:t>High Technology farming platform, GR (on behalf of many regions)</w:t>
            </w:r>
          </w:p>
        </w:tc>
        <w:tc>
          <w:tcPr>
            <w:tcW w:w="451" w:type="pct"/>
            <w:shd w:val="clear" w:color="auto" w:fill="auto"/>
            <w:vAlign w:val="center"/>
            <w:hideMark/>
          </w:tcPr>
          <w:p w14:paraId="5285BEC6"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6FF495E2"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1526E4C8"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102392DE"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3FC609B1"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2B6EAA3D" w14:textId="77777777" w:rsidR="00E43D41" w:rsidRPr="00E43D41" w:rsidRDefault="00E43D41" w:rsidP="00F943E7">
            <w:pPr>
              <w:pStyle w:val="a-I-EUBodytextsingle"/>
              <w:spacing w:line="276" w:lineRule="auto"/>
              <w:rPr>
                <w:lang w:val="fi-FI"/>
              </w:rPr>
            </w:pPr>
            <w:r w:rsidRPr="00E43D41">
              <w:t> </w:t>
            </w:r>
          </w:p>
        </w:tc>
        <w:tc>
          <w:tcPr>
            <w:tcW w:w="451" w:type="pct"/>
            <w:shd w:val="clear" w:color="auto" w:fill="auto"/>
            <w:vAlign w:val="center"/>
            <w:hideMark/>
          </w:tcPr>
          <w:p w14:paraId="4F859EF5" w14:textId="77777777" w:rsidR="00E43D41" w:rsidRPr="00E43D41" w:rsidRDefault="00E43D41" w:rsidP="00F943E7">
            <w:pPr>
              <w:pStyle w:val="a-I-EUBodytextsingle"/>
              <w:spacing w:line="276" w:lineRule="auto"/>
              <w:rPr>
                <w:lang w:val="fi-FI"/>
              </w:rPr>
            </w:pPr>
            <w:r w:rsidRPr="00E43D41">
              <w:t>1</w:t>
            </w:r>
          </w:p>
        </w:tc>
        <w:tc>
          <w:tcPr>
            <w:tcW w:w="450" w:type="pct"/>
            <w:shd w:val="clear" w:color="auto" w:fill="auto"/>
            <w:vAlign w:val="center"/>
            <w:hideMark/>
          </w:tcPr>
          <w:p w14:paraId="542FEAB4" w14:textId="77777777" w:rsidR="00E43D41" w:rsidRPr="00E43D41" w:rsidRDefault="00E43D41" w:rsidP="00F943E7">
            <w:pPr>
              <w:pStyle w:val="a-I-EUBodytextsingle"/>
              <w:spacing w:line="276" w:lineRule="auto"/>
              <w:rPr>
                <w:lang w:val="fi-FI"/>
              </w:rPr>
            </w:pPr>
            <w:r w:rsidRPr="00E43D41">
              <w:t> </w:t>
            </w:r>
          </w:p>
        </w:tc>
      </w:tr>
      <w:tr w:rsidR="00E43D41" w:rsidRPr="00E43D41" w14:paraId="01E27016" w14:textId="77777777" w:rsidTr="00F5402A">
        <w:trPr>
          <w:trHeight w:val="217"/>
        </w:trPr>
        <w:tc>
          <w:tcPr>
            <w:tcW w:w="1393" w:type="pct"/>
            <w:vMerge w:val="restart"/>
            <w:shd w:val="clear" w:color="auto" w:fill="auto"/>
            <w:vAlign w:val="center"/>
            <w:hideMark/>
          </w:tcPr>
          <w:p w14:paraId="7353D22D" w14:textId="77777777" w:rsidR="00E43D41" w:rsidRPr="00E43D41" w:rsidRDefault="00E43D41" w:rsidP="00F943E7">
            <w:pPr>
              <w:pStyle w:val="a-I-EUBodytextsingle"/>
              <w:spacing w:line="276" w:lineRule="auto"/>
              <w:rPr>
                <w:lang w:val="fi-FI"/>
              </w:rPr>
            </w:pPr>
            <w:r w:rsidRPr="00E43D41">
              <w:t>Traceability and Big Data for achieving European AgroFood Sector Smart Specialisation</w:t>
            </w:r>
          </w:p>
        </w:tc>
        <w:tc>
          <w:tcPr>
            <w:tcW w:w="451" w:type="pct"/>
            <w:vMerge w:val="restart"/>
            <w:shd w:val="clear" w:color="auto" w:fill="auto"/>
            <w:vAlign w:val="center"/>
            <w:hideMark/>
          </w:tcPr>
          <w:p w14:paraId="71B30CF8" w14:textId="77777777" w:rsidR="00E43D41" w:rsidRPr="00E43D41" w:rsidRDefault="00E43D41" w:rsidP="00F943E7">
            <w:pPr>
              <w:pStyle w:val="a-I-EUBodytextsingle"/>
              <w:spacing w:line="276" w:lineRule="auto"/>
              <w:rPr>
                <w:lang w:val="fi-FI"/>
              </w:rPr>
            </w:pPr>
            <w:r w:rsidRPr="00E43D41">
              <w:t> </w:t>
            </w:r>
          </w:p>
        </w:tc>
        <w:tc>
          <w:tcPr>
            <w:tcW w:w="451" w:type="pct"/>
            <w:vMerge w:val="restart"/>
            <w:shd w:val="clear" w:color="auto" w:fill="auto"/>
            <w:vAlign w:val="center"/>
            <w:hideMark/>
          </w:tcPr>
          <w:p w14:paraId="7D057369" w14:textId="77777777" w:rsidR="00E43D41" w:rsidRPr="00E43D41" w:rsidRDefault="00E43D41" w:rsidP="00F943E7">
            <w:pPr>
              <w:pStyle w:val="a-I-EUBodytextsingle"/>
              <w:spacing w:line="276" w:lineRule="auto"/>
              <w:rPr>
                <w:lang w:val="fi-FI"/>
              </w:rPr>
            </w:pPr>
            <w:r w:rsidRPr="00E43D41">
              <w:t> </w:t>
            </w:r>
          </w:p>
        </w:tc>
        <w:tc>
          <w:tcPr>
            <w:tcW w:w="451" w:type="pct"/>
            <w:vMerge w:val="restart"/>
            <w:shd w:val="clear" w:color="auto" w:fill="auto"/>
            <w:vAlign w:val="center"/>
            <w:hideMark/>
          </w:tcPr>
          <w:p w14:paraId="552983F2" w14:textId="77777777" w:rsidR="00E43D41" w:rsidRPr="00E43D41" w:rsidRDefault="00E43D41" w:rsidP="00F943E7">
            <w:pPr>
              <w:pStyle w:val="a-I-EUBodytextsingle"/>
              <w:spacing w:line="276" w:lineRule="auto"/>
              <w:rPr>
                <w:lang w:val="fi-FI"/>
              </w:rPr>
            </w:pPr>
            <w:r w:rsidRPr="00E43D41">
              <w:t> </w:t>
            </w:r>
          </w:p>
        </w:tc>
        <w:tc>
          <w:tcPr>
            <w:tcW w:w="451" w:type="pct"/>
            <w:vMerge w:val="restart"/>
            <w:shd w:val="clear" w:color="auto" w:fill="auto"/>
            <w:vAlign w:val="center"/>
            <w:hideMark/>
          </w:tcPr>
          <w:p w14:paraId="34B7BE0C" w14:textId="77777777" w:rsidR="00E43D41" w:rsidRPr="00E43D41" w:rsidRDefault="00E43D41" w:rsidP="00F943E7">
            <w:pPr>
              <w:pStyle w:val="a-I-EUBodytextsingle"/>
              <w:spacing w:line="276" w:lineRule="auto"/>
              <w:rPr>
                <w:lang w:val="fi-FI"/>
              </w:rPr>
            </w:pPr>
            <w:r w:rsidRPr="00E43D41">
              <w:t> </w:t>
            </w:r>
          </w:p>
        </w:tc>
        <w:tc>
          <w:tcPr>
            <w:tcW w:w="451" w:type="pct"/>
            <w:vMerge w:val="restart"/>
            <w:shd w:val="clear" w:color="auto" w:fill="auto"/>
            <w:vAlign w:val="center"/>
            <w:hideMark/>
          </w:tcPr>
          <w:p w14:paraId="080291C1" w14:textId="77777777" w:rsidR="00E43D41" w:rsidRPr="00E43D41" w:rsidRDefault="00E43D41" w:rsidP="00F943E7">
            <w:pPr>
              <w:pStyle w:val="a-I-EUBodytextsingle"/>
              <w:spacing w:line="276" w:lineRule="auto"/>
              <w:rPr>
                <w:lang w:val="fi-FI"/>
              </w:rPr>
            </w:pPr>
            <w:r w:rsidRPr="00E43D41">
              <w:t> </w:t>
            </w:r>
          </w:p>
        </w:tc>
        <w:tc>
          <w:tcPr>
            <w:tcW w:w="451" w:type="pct"/>
            <w:vMerge w:val="restart"/>
            <w:shd w:val="clear" w:color="auto" w:fill="auto"/>
            <w:vAlign w:val="center"/>
            <w:hideMark/>
          </w:tcPr>
          <w:p w14:paraId="659E3FD9" w14:textId="77777777" w:rsidR="00E43D41" w:rsidRPr="00E43D41" w:rsidRDefault="00E43D41" w:rsidP="00F943E7">
            <w:pPr>
              <w:pStyle w:val="a-I-EUBodytextsingle"/>
              <w:spacing w:line="276" w:lineRule="auto"/>
              <w:rPr>
                <w:lang w:val="fi-FI"/>
              </w:rPr>
            </w:pPr>
            <w:r w:rsidRPr="00E43D41">
              <w:t> </w:t>
            </w:r>
          </w:p>
        </w:tc>
        <w:tc>
          <w:tcPr>
            <w:tcW w:w="451" w:type="pct"/>
            <w:vMerge w:val="restart"/>
            <w:shd w:val="clear" w:color="auto" w:fill="auto"/>
            <w:vAlign w:val="center"/>
            <w:hideMark/>
          </w:tcPr>
          <w:p w14:paraId="03046484" w14:textId="77777777" w:rsidR="00E43D41" w:rsidRPr="00E43D41" w:rsidRDefault="00E43D41" w:rsidP="00F943E7">
            <w:pPr>
              <w:pStyle w:val="a-I-EUBodytextsingle"/>
              <w:spacing w:line="276" w:lineRule="auto"/>
              <w:rPr>
                <w:lang w:val="fi-FI"/>
              </w:rPr>
            </w:pPr>
            <w:r w:rsidRPr="00E43D41">
              <w:t>1</w:t>
            </w:r>
          </w:p>
        </w:tc>
        <w:tc>
          <w:tcPr>
            <w:tcW w:w="450" w:type="pct"/>
            <w:vMerge w:val="restart"/>
            <w:shd w:val="clear" w:color="auto" w:fill="auto"/>
            <w:vAlign w:val="center"/>
            <w:hideMark/>
          </w:tcPr>
          <w:p w14:paraId="5A90D905" w14:textId="77777777" w:rsidR="00E43D41" w:rsidRPr="00E43D41" w:rsidRDefault="00E43D41" w:rsidP="00F943E7">
            <w:pPr>
              <w:pStyle w:val="a-I-EUBodytextsingle"/>
              <w:spacing w:line="276" w:lineRule="auto"/>
              <w:rPr>
                <w:lang w:val="fi-FI"/>
              </w:rPr>
            </w:pPr>
            <w:r w:rsidRPr="00E43D41">
              <w:t> </w:t>
            </w:r>
          </w:p>
        </w:tc>
      </w:tr>
      <w:tr w:rsidR="00E43D41" w:rsidRPr="00E43D41" w14:paraId="4A7E5634" w14:textId="77777777" w:rsidTr="00F5402A">
        <w:trPr>
          <w:trHeight w:val="280"/>
        </w:trPr>
        <w:tc>
          <w:tcPr>
            <w:tcW w:w="1393" w:type="pct"/>
            <w:vMerge/>
            <w:vAlign w:val="center"/>
            <w:hideMark/>
          </w:tcPr>
          <w:p w14:paraId="66F2A93F" w14:textId="77777777" w:rsidR="00E43D41" w:rsidRPr="00E43D41" w:rsidRDefault="00E43D41" w:rsidP="00F943E7">
            <w:pPr>
              <w:pStyle w:val="a-I-EUBodytextsingle"/>
              <w:spacing w:line="276" w:lineRule="auto"/>
              <w:rPr>
                <w:lang w:val="fi-FI"/>
              </w:rPr>
            </w:pPr>
          </w:p>
        </w:tc>
        <w:tc>
          <w:tcPr>
            <w:tcW w:w="451" w:type="pct"/>
            <w:vMerge/>
            <w:vAlign w:val="center"/>
            <w:hideMark/>
          </w:tcPr>
          <w:p w14:paraId="0653CB01" w14:textId="77777777" w:rsidR="00E43D41" w:rsidRPr="00E43D41" w:rsidRDefault="00E43D41" w:rsidP="00F943E7">
            <w:pPr>
              <w:pStyle w:val="a-I-EUBodytextsingle"/>
              <w:spacing w:line="276" w:lineRule="auto"/>
              <w:rPr>
                <w:lang w:val="fi-FI"/>
              </w:rPr>
            </w:pPr>
          </w:p>
        </w:tc>
        <w:tc>
          <w:tcPr>
            <w:tcW w:w="451" w:type="pct"/>
            <w:vMerge/>
            <w:vAlign w:val="center"/>
            <w:hideMark/>
          </w:tcPr>
          <w:p w14:paraId="579FAC2B" w14:textId="77777777" w:rsidR="00E43D41" w:rsidRPr="00E43D41" w:rsidRDefault="00E43D41" w:rsidP="00F943E7">
            <w:pPr>
              <w:pStyle w:val="a-I-EUBodytextsingle"/>
              <w:spacing w:line="276" w:lineRule="auto"/>
              <w:rPr>
                <w:lang w:val="fi-FI"/>
              </w:rPr>
            </w:pPr>
          </w:p>
        </w:tc>
        <w:tc>
          <w:tcPr>
            <w:tcW w:w="451" w:type="pct"/>
            <w:vMerge/>
            <w:vAlign w:val="center"/>
            <w:hideMark/>
          </w:tcPr>
          <w:p w14:paraId="239CE06A" w14:textId="77777777" w:rsidR="00E43D41" w:rsidRPr="00E43D41" w:rsidRDefault="00E43D41" w:rsidP="00F943E7">
            <w:pPr>
              <w:pStyle w:val="a-I-EUBodytextsingle"/>
              <w:spacing w:line="276" w:lineRule="auto"/>
              <w:rPr>
                <w:lang w:val="fi-FI"/>
              </w:rPr>
            </w:pPr>
          </w:p>
        </w:tc>
        <w:tc>
          <w:tcPr>
            <w:tcW w:w="451" w:type="pct"/>
            <w:vMerge/>
            <w:vAlign w:val="center"/>
            <w:hideMark/>
          </w:tcPr>
          <w:p w14:paraId="545A0079" w14:textId="77777777" w:rsidR="00E43D41" w:rsidRPr="00E43D41" w:rsidRDefault="00E43D41" w:rsidP="00F943E7">
            <w:pPr>
              <w:pStyle w:val="a-I-EUBodytextsingle"/>
              <w:spacing w:line="276" w:lineRule="auto"/>
              <w:rPr>
                <w:lang w:val="fi-FI"/>
              </w:rPr>
            </w:pPr>
          </w:p>
        </w:tc>
        <w:tc>
          <w:tcPr>
            <w:tcW w:w="451" w:type="pct"/>
            <w:vMerge/>
            <w:vAlign w:val="center"/>
            <w:hideMark/>
          </w:tcPr>
          <w:p w14:paraId="1BD1041E" w14:textId="77777777" w:rsidR="00E43D41" w:rsidRPr="00E43D41" w:rsidRDefault="00E43D41" w:rsidP="00F943E7">
            <w:pPr>
              <w:pStyle w:val="a-I-EUBodytextsingle"/>
              <w:spacing w:line="276" w:lineRule="auto"/>
              <w:rPr>
                <w:lang w:val="fi-FI"/>
              </w:rPr>
            </w:pPr>
          </w:p>
        </w:tc>
        <w:tc>
          <w:tcPr>
            <w:tcW w:w="451" w:type="pct"/>
            <w:vMerge/>
            <w:vAlign w:val="center"/>
            <w:hideMark/>
          </w:tcPr>
          <w:p w14:paraId="3C97A46D" w14:textId="77777777" w:rsidR="00E43D41" w:rsidRPr="00E43D41" w:rsidRDefault="00E43D41" w:rsidP="00F943E7">
            <w:pPr>
              <w:pStyle w:val="a-I-EUBodytextsingle"/>
              <w:spacing w:line="276" w:lineRule="auto"/>
              <w:rPr>
                <w:lang w:val="fi-FI"/>
              </w:rPr>
            </w:pPr>
          </w:p>
        </w:tc>
        <w:tc>
          <w:tcPr>
            <w:tcW w:w="451" w:type="pct"/>
            <w:vMerge/>
            <w:vAlign w:val="center"/>
            <w:hideMark/>
          </w:tcPr>
          <w:p w14:paraId="208BC5E9" w14:textId="77777777" w:rsidR="00E43D41" w:rsidRPr="00E43D41" w:rsidRDefault="00E43D41" w:rsidP="00F943E7">
            <w:pPr>
              <w:pStyle w:val="a-I-EUBodytextsingle"/>
              <w:spacing w:line="276" w:lineRule="auto"/>
              <w:rPr>
                <w:lang w:val="fi-FI"/>
              </w:rPr>
            </w:pPr>
          </w:p>
        </w:tc>
        <w:tc>
          <w:tcPr>
            <w:tcW w:w="450" w:type="pct"/>
            <w:vMerge/>
            <w:vAlign w:val="center"/>
            <w:hideMark/>
          </w:tcPr>
          <w:p w14:paraId="2D344D18" w14:textId="77777777" w:rsidR="00E43D41" w:rsidRPr="00E43D41" w:rsidRDefault="00E43D41" w:rsidP="00F943E7">
            <w:pPr>
              <w:pStyle w:val="a-I-EUBodytextsingle"/>
              <w:spacing w:line="276" w:lineRule="auto"/>
              <w:rPr>
                <w:lang w:val="fi-FI"/>
              </w:rPr>
            </w:pPr>
          </w:p>
        </w:tc>
      </w:tr>
    </w:tbl>
    <w:p w14:paraId="046A6B8F" w14:textId="77777777" w:rsidR="001745F4" w:rsidRDefault="001745F4" w:rsidP="000F381C"/>
    <w:p w14:paraId="3A34DA92" w14:textId="153029E3" w:rsidR="00A723FC" w:rsidRDefault="00A723FC" w:rsidP="000F381C">
      <w:r w:rsidRPr="00E14342">
        <w:rPr>
          <w:b/>
        </w:rPr>
        <w:t>Table</w:t>
      </w:r>
      <w:r w:rsidR="00B57A8A">
        <w:rPr>
          <w:b/>
        </w:rPr>
        <w:t>s 1 &amp;</w:t>
      </w:r>
      <w:r w:rsidRPr="00E14342">
        <w:rPr>
          <w:b/>
        </w:rPr>
        <w:t xml:space="preserve"> </w:t>
      </w:r>
      <w:r>
        <w:rPr>
          <w:b/>
        </w:rPr>
        <w:t>2</w:t>
      </w:r>
      <w:r w:rsidRPr="00E14342">
        <w:rPr>
          <w:b/>
        </w:rPr>
        <w:t xml:space="preserve"> </w:t>
      </w:r>
      <w:r w:rsidRPr="00E14342">
        <w:t>above</w:t>
      </w:r>
      <w:r w:rsidR="00B57A8A">
        <w:t xml:space="preserve"> allow some insights</w:t>
      </w:r>
      <w:r w:rsidRPr="00E14342">
        <w:t xml:space="preserve">:  </w:t>
      </w:r>
      <w:r w:rsidRPr="00E14342">
        <w:rPr>
          <w:b/>
        </w:rPr>
        <w:t>1)</w:t>
      </w:r>
      <w:r w:rsidRPr="00E14342">
        <w:t xml:space="preserve"> GP theme 1 and technological connectivity</w:t>
      </w:r>
      <w:r w:rsidR="00E43D41">
        <w:t xml:space="preserve"> Types 1 and </w:t>
      </w:r>
      <w:r w:rsidR="004C2AE0">
        <w:t>8</w:t>
      </w:r>
      <w:r w:rsidRPr="00E14342">
        <w:t xml:space="preserve"> are well integrated (as they should be), i.e. the CC approaches combine with functions; </w:t>
      </w:r>
      <w:r w:rsidRPr="00E14342">
        <w:rPr>
          <w:b/>
        </w:rPr>
        <w:t>2)</w:t>
      </w:r>
      <w:r w:rsidR="00C52E0A">
        <w:t xml:space="preserve"> GP theme 1 and Types</w:t>
      </w:r>
      <w:r w:rsidR="004C2AE0">
        <w:t xml:space="preserve">1 </w:t>
      </w:r>
      <w:r w:rsidR="00202F4A">
        <w:t xml:space="preserve">&amp; 8 </w:t>
      </w:r>
      <w:r w:rsidRPr="00E14342">
        <w:t xml:space="preserve">of technological connectivity, reveal a pattern for success / effectiveness: </w:t>
      </w:r>
      <w:r w:rsidRPr="00E14342">
        <w:rPr>
          <w:i/>
        </w:rPr>
        <w:t>the most effective GPs, the GPs that have the highest impact are those that are demand-led</w:t>
      </w:r>
      <w:r w:rsidRPr="00E14342">
        <w:t xml:space="preserve"> (as for example the demand–led societal challenges in H2020) and research-based (i.e. advanced knowledge is involved). Advanced regions are benefitting from such approaches to literally renew their industries, through the set-up of regional, qualified, innovation support networks. This insight was confirmed in various policy learning sessions with the partners and requirements for tailoring such schemes in the CCs GP transfer are planned to be taken into account into the partners’ action plans. </w:t>
      </w:r>
      <w:r w:rsidRPr="00E14342">
        <w:rPr>
          <w:i/>
        </w:rPr>
        <w:t>This research-based, demand–led approach with explicit provisions for concrete business applications is our first key finding</w:t>
      </w:r>
      <w:r w:rsidRPr="00E14342">
        <w:t xml:space="preserve">; </w:t>
      </w:r>
      <w:r w:rsidRPr="00E14342">
        <w:rPr>
          <w:b/>
        </w:rPr>
        <w:t xml:space="preserve">3) </w:t>
      </w:r>
      <w:r w:rsidRPr="00E14342">
        <w:t>Types 3, 4 and 6 are not strongly represented in our GP contributions. One interpretation might be that maybe, in spite of the RIS3 discussions and in spite of national and EU innovation funding programmes and preconditions e.g. the SME Instrument) have not yet grasped or sufficiently invested for the types of services that should be deployed regionally</w:t>
      </w:r>
      <w:r w:rsidRPr="00E14342">
        <w:rPr>
          <w:i/>
        </w:rPr>
        <w:t>. Our second key finding is that regions might need to be encouraged further to renew also their innovation services to meet demand (especially externally set demand)</w:t>
      </w:r>
      <w:r w:rsidRPr="00E14342">
        <w:t xml:space="preserve">; </w:t>
      </w:r>
      <w:r w:rsidRPr="00E14342">
        <w:rPr>
          <w:b/>
        </w:rPr>
        <w:t xml:space="preserve">4) </w:t>
      </w:r>
      <w:r w:rsidR="00F10B45">
        <w:t>Type 5 has two contributions, and</w:t>
      </w:r>
      <w:r w:rsidRPr="00E14342">
        <w:t xml:space="preserve"> they come from advanced regions. Type 5 strengths correlate strongly with the innovation performance of regions &amp; industries, thus, </w:t>
      </w:r>
      <w:r w:rsidRPr="00E14342">
        <w:rPr>
          <w:i/>
        </w:rPr>
        <w:t>if there could be an overall conclusion as to the types of GPs that should be promoted to the less advanced regions, it could be provisions for establishing regionalised (i.e. not necessarily or strictly localised) innovation management chain services – and this is our second key finding from the GP analysis</w:t>
      </w:r>
      <w:r w:rsidRPr="00E14342">
        <w:t xml:space="preserve">; </w:t>
      </w:r>
      <w:r w:rsidRPr="00E14342">
        <w:rPr>
          <w:b/>
        </w:rPr>
        <w:t>5)</w:t>
      </w:r>
      <w:r w:rsidRPr="00E14342">
        <w:t xml:space="preserve"> The preceding recommendation could, however, come to a dead end since interregional innovation funding (upon demand, not upon competitive bids like H2020) is still far from being widely accepted. </w:t>
      </w:r>
    </w:p>
    <w:p w14:paraId="62EAF3E6" w14:textId="0A859F63" w:rsidR="00817E9E" w:rsidRPr="00E14342" w:rsidRDefault="00FB54B4" w:rsidP="00C701E7">
      <w:pPr>
        <w:pStyle w:val="Heading1"/>
      </w:pPr>
      <w:bookmarkStart w:id="92" w:name="_Toc526583512"/>
      <w:bookmarkStart w:id="93" w:name="_Good_practice_transfer"/>
      <w:bookmarkStart w:id="94" w:name="_Toc526586515"/>
      <w:bookmarkEnd w:id="93"/>
      <w:r w:rsidRPr="00E14342">
        <w:lastRenderedPageBreak/>
        <w:t>G</w:t>
      </w:r>
      <w:r w:rsidR="000009DE" w:rsidRPr="00E14342">
        <w:t>ood practice transfer</w:t>
      </w:r>
      <w:bookmarkEnd w:id="84"/>
      <w:bookmarkEnd w:id="92"/>
      <w:bookmarkEnd w:id="94"/>
    </w:p>
    <w:p w14:paraId="0496AA6D" w14:textId="1D267965" w:rsidR="00B5280E" w:rsidRPr="00E14342" w:rsidRDefault="00B5280E" w:rsidP="000F381C">
      <w:r w:rsidRPr="00E14342">
        <w:t xml:space="preserve">The good practice selection is, </w:t>
      </w:r>
      <w:r w:rsidR="007C6B35">
        <w:t>after the innovation maps, the second</w:t>
      </w:r>
      <w:r w:rsidRPr="00E14342">
        <w:t xml:space="preserve"> step towards defining the action plans of the regions. The action plan combines (1) the results of the innovation maps that show innovation strengths and weaknesses for each partner region, (2) the industry focus that is related to the RIS3 of the regions but which still partners define freely, (3) the good practice insights as discussed in the preceding GP theme sections, and (4) any other priorities of the partner regions including their political realities.</w:t>
      </w:r>
    </w:p>
    <w:p w14:paraId="35FCE6B0" w14:textId="5604B06C" w:rsidR="00773C62" w:rsidRPr="00E14342" w:rsidRDefault="00773C62" w:rsidP="000F381C">
      <w:r w:rsidRPr="00E14342">
        <w:t>The good practice analysis</w:t>
      </w:r>
      <w:r w:rsidR="0060639E">
        <w:t>, prioritisation and final</w:t>
      </w:r>
      <w:r w:rsidRPr="00E14342">
        <w:t xml:space="preserve"> </w:t>
      </w:r>
      <w:r w:rsidR="00424610">
        <w:t xml:space="preserve">selection for transfer was </w:t>
      </w:r>
      <w:r w:rsidR="00192F64" w:rsidRPr="00E14342">
        <w:t xml:space="preserve">done </w:t>
      </w:r>
      <w:r w:rsidRPr="00E14342">
        <w:t>through two interregional working groups (IWGs). IWG1 deals with GP theme 1, coordinated by CEEI Burgos PP8, and IWG2 deals with GP themes 2 and 3, coordinated by CERTH PP9.</w:t>
      </w:r>
      <w:r w:rsidR="00047A05">
        <w:t xml:space="preserve"> The process took</w:t>
      </w:r>
      <w:r w:rsidR="00192F64" w:rsidRPr="00E14342">
        <w:t xml:space="preserve"> place </w:t>
      </w:r>
      <w:r w:rsidR="002C2134" w:rsidRPr="00E14342">
        <w:t xml:space="preserve">during semesters 1 to 4, </w:t>
      </w:r>
      <w:r w:rsidR="00047A05">
        <w:t xml:space="preserve">as part of </w:t>
      </w:r>
      <w:r w:rsidR="003A3B30" w:rsidRPr="00E14342">
        <w:t xml:space="preserve">the Interregional Policy Learning events </w:t>
      </w:r>
      <w:r w:rsidR="00B73ECB" w:rsidRPr="00E14342">
        <w:t xml:space="preserve">planned to take place during </w:t>
      </w:r>
      <w:r w:rsidR="00B830A5" w:rsidRPr="00E14342">
        <w:t>each semester</w:t>
      </w:r>
      <w:r w:rsidR="003A3B30" w:rsidRPr="00E14342">
        <w:t xml:space="preserve">. </w:t>
      </w:r>
      <w:r w:rsidR="000302E3" w:rsidRPr="00E14342">
        <w:t>Go</w:t>
      </w:r>
      <w:r w:rsidR="0066174B" w:rsidRPr="00E14342">
        <w:t xml:space="preserve">od practices are </w:t>
      </w:r>
      <w:r w:rsidR="000302E3" w:rsidRPr="00E14342">
        <w:t xml:space="preserve">expected to be discussed </w:t>
      </w:r>
      <w:r w:rsidR="007201EE" w:rsidRPr="00E14342">
        <w:t>during the</w:t>
      </w:r>
      <w:r w:rsidR="000302E3" w:rsidRPr="00E14342">
        <w:t xml:space="preserve"> regional stake</w:t>
      </w:r>
      <w:r w:rsidR="00B830A5" w:rsidRPr="00E14342">
        <w:t>holder group</w:t>
      </w:r>
      <w:r w:rsidR="0075346E" w:rsidRPr="00E14342">
        <w:t xml:space="preserve"> meetings, and</w:t>
      </w:r>
      <w:r w:rsidR="00B830A5" w:rsidRPr="00E14342">
        <w:t xml:space="preserve"> be tai</w:t>
      </w:r>
      <w:r w:rsidR="000302E3" w:rsidRPr="00E14342">
        <w:t>lored to the action plan priorities adopted in each region.</w:t>
      </w:r>
    </w:p>
    <w:p w14:paraId="55758E97" w14:textId="46794254" w:rsidR="006559BC" w:rsidRDefault="00B605F6" w:rsidP="000F381C">
      <w:r w:rsidRPr="00E14342">
        <w:t>In this section, the purpose is to close the GP discussion by referri</w:t>
      </w:r>
      <w:r w:rsidR="00496D39">
        <w:t xml:space="preserve">ng to the GPs that partners </w:t>
      </w:r>
      <w:r w:rsidRPr="00E14342">
        <w:t xml:space="preserve">selected </w:t>
      </w:r>
      <w:r w:rsidR="00496D39">
        <w:t>to transfer</w:t>
      </w:r>
      <w:r w:rsidR="00B13506">
        <w:t xml:space="preserve"> as well as discuss the types of technological connectivities that partners prioritise through their seclection.</w:t>
      </w:r>
    </w:p>
    <w:p w14:paraId="0170935C" w14:textId="6B100CC3" w:rsidR="0066174B" w:rsidRPr="006559BC" w:rsidRDefault="00163E28" w:rsidP="000E2C75">
      <w:pPr>
        <w:pStyle w:val="Caption"/>
      </w:pPr>
      <w:bookmarkStart w:id="95" w:name="_Ref502141607"/>
      <w:bookmarkStart w:id="96" w:name="_Toc526456803"/>
      <w:r>
        <w:t xml:space="preserve">Table </w:t>
      </w:r>
      <w:r>
        <w:fldChar w:fldCharType="begin"/>
      </w:r>
      <w:r>
        <w:instrText xml:space="preserve"> SEQ Table \* ARABIC </w:instrText>
      </w:r>
      <w:r>
        <w:fldChar w:fldCharType="separate"/>
      </w:r>
      <w:r w:rsidR="004338EC">
        <w:rPr>
          <w:noProof/>
        </w:rPr>
        <w:t>3</w:t>
      </w:r>
      <w:r>
        <w:fldChar w:fldCharType="end"/>
      </w:r>
      <w:bookmarkEnd w:id="95"/>
      <w:r>
        <w:t xml:space="preserve"> </w:t>
      </w:r>
      <w:r w:rsidR="00192F64" w:rsidRPr="006559BC">
        <w:t>Summary of the GP</w:t>
      </w:r>
      <w:r w:rsidR="00D96AB3" w:rsidRPr="006559BC">
        <w:t xml:space="preserve"> selection</w:t>
      </w:r>
      <w:bookmarkEnd w:id="96"/>
      <w:r w:rsidR="00D96AB3" w:rsidRPr="006559BC">
        <w:t xml:space="preserve"> </w:t>
      </w:r>
      <w:r w:rsidR="00192F64" w:rsidRPr="006559BC">
        <w:t xml:space="preserve"> </w:t>
      </w:r>
    </w:p>
    <w:tbl>
      <w:tblPr>
        <w:tblW w:w="87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4292"/>
        <w:gridCol w:w="1084"/>
        <w:gridCol w:w="683"/>
        <w:gridCol w:w="683"/>
        <w:gridCol w:w="683"/>
        <w:gridCol w:w="682"/>
        <w:gridCol w:w="682"/>
      </w:tblGrid>
      <w:tr w:rsidR="003575C2" w:rsidRPr="00640777" w14:paraId="0A955D56" w14:textId="77777777" w:rsidTr="00F5402A">
        <w:trPr>
          <w:trHeight w:val="280"/>
          <w:tblHeader/>
        </w:trPr>
        <w:tc>
          <w:tcPr>
            <w:tcW w:w="4531" w:type="dxa"/>
            <w:vMerge w:val="restart"/>
            <w:shd w:val="clear" w:color="000000" w:fill="F2F2F2"/>
            <w:vAlign w:val="center"/>
            <w:hideMark/>
          </w:tcPr>
          <w:p w14:paraId="23F7552B" w14:textId="195A95AA" w:rsidR="003575C2" w:rsidRPr="00640777" w:rsidRDefault="003575C2" w:rsidP="003B6C3E">
            <w:pPr>
              <w:pStyle w:val="a-I-EUBodytextsingle"/>
              <w:rPr>
                <w:b/>
                <w:lang w:val="fi-FI"/>
              </w:rPr>
            </w:pPr>
            <w:bookmarkStart w:id="97" w:name="_Ref501920792"/>
            <w:r w:rsidRPr="00640777">
              <w:rPr>
                <w:b/>
              </w:rPr>
              <w:t xml:space="preserve">Prioritised GPs </w:t>
            </w:r>
          </w:p>
        </w:tc>
        <w:tc>
          <w:tcPr>
            <w:tcW w:w="4677" w:type="dxa"/>
            <w:gridSpan w:val="6"/>
            <w:shd w:val="clear" w:color="000000" w:fill="F2F2F2"/>
            <w:vAlign w:val="center"/>
            <w:hideMark/>
          </w:tcPr>
          <w:p w14:paraId="0B2C07E2" w14:textId="5AC964E6" w:rsidR="003575C2" w:rsidRPr="00640777" w:rsidRDefault="003575C2" w:rsidP="003B6C3E">
            <w:pPr>
              <w:pStyle w:val="a-I-EUBodytextsingle"/>
              <w:rPr>
                <w:b/>
              </w:rPr>
            </w:pPr>
            <w:r w:rsidRPr="00640777">
              <w:rPr>
                <w:b/>
              </w:rPr>
              <w:t>Partners</w:t>
            </w:r>
          </w:p>
        </w:tc>
      </w:tr>
      <w:tr w:rsidR="00554978" w:rsidRPr="00640777" w14:paraId="57F2815C" w14:textId="77777777" w:rsidTr="00F5402A">
        <w:trPr>
          <w:trHeight w:val="280"/>
          <w:tblHeader/>
        </w:trPr>
        <w:tc>
          <w:tcPr>
            <w:tcW w:w="4531" w:type="dxa"/>
            <w:vMerge/>
            <w:vAlign w:val="center"/>
            <w:hideMark/>
          </w:tcPr>
          <w:p w14:paraId="1F2A584D" w14:textId="77777777" w:rsidR="003575C2" w:rsidRPr="00640777" w:rsidRDefault="003575C2" w:rsidP="003B6C3E">
            <w:pPr>
              <w:pStyle w:val="a-I-EUBodytextsingle"/>
              <w:rPr>
                <w:b/>
                <w:lang w:val="fi-FI"/>
              </w:rPr>
            </w:pPr>
          </w:p>
        </w:tc>
        <w:tc>
          <w:tcPr>
            <w:tcW w:w="1134" w:type="dxa"/>
            <w:shd w:val="clear" w:color="000000" w:fill="F2F2F2"/>
            <w:vAlign w:val="center"/>
            <w:hideMark/>
          </w:tcPr>
          <w:p w14:paraId="368A5452" w14:textId="293566DA" w:rsidR="003575C2" w:rsidRPr="00640777" w:rsidRDefault="003575C2" w:rsidP="003B6C3E">
            <w:pPr>
              <w:pStyle w:val="a-I-EUBodytextsingle"/>
              <w:rPr>
                <w:b/>
                <w:lang w:val="fi-FI"/>
              </w:rPr>
            </w:pPr>
            <w:r w:rsidRPr="00640777">
              <w:rPr>
                <w:b/>
              </w:rPr>
              <w:t>PP2/PP1</w:t>
            </w:r>
          </w:p>
        </w:tc>
        <w:tc>
          <w:tcPr>
            <w:tcW w:w="709" w:type="dxa"/>
            <w:shd w:val="clear" w:color="000000" w:fill="F2F2F2"/>
            <w:vAlign w:val="center"/>
            <w:hideMark/>
          </w:tcPr>
          <w:p w14:paraId="73D1992A" w14:textId="1762B36D" w:rsidR="003575C2" w:rsidRPr="00640777" w:rsidRDefault="003575C2" w:rsidP="003B6C3E">
            <w:pPr>
              <w:pStyle w:val="a-I-EUBodytextsingle"/>
              <w:rPr>
                <w:b/>
                <w:lang w:val="fi-FI"/>
              </w:rPr>
            </w:pPr>
            <w:r w:rsidRPr="00640777">
              <w:rPr>
                <w:b/>
              </w:rPr>
              <w:t>PP3</w:t>
            </w:r>
          </w:p>
        </w:tc>
        <w:tc>
          <w:tcPr>
            <w:tcW w:w="709" w:type="dxa"/>
            <w:shd w:val="clear" w:color="000000" w:fill="F2F2F2"/>
            <w:vAlign w:val="center"/>
            <w:hideMark/>
          </w:tcPr>
          <w:p w14:paraId="4AEDD61F" w14:textId="6588375B" w:rsidR="003575C2" w:rsidRPr="00640777" w:rsidRDefault="003575C2" w:rsidP="003B6C3E">
            <w:pPr>
              <w:pStyle w:val="a-I-EUBodytextsingle"/>
              <w:rPr>
                <w:b/>
                <w:lang w:val="fi-FI"/>
              </w:rPr>
            </w:pPr>
            <w:r w:rsidRPr="00640777">
              <w:rPr>
                <w:b/>
              </w:rPr>
              <w:t>PP4</w:t>
            </w:r>
          </w:p>
        </w:tc>
        <w:tc>
          <w:tcPr>
            <w:tcW w:w="709" w:type="dxa"/>
            <w:shd w:val="clear" w:color="000000" w:fill="F2F2F2"/>
            <w:vAlign w:val="center"/>
            <w:hideMark/>
          </w:tcPr>
          <w:p w14:paraId="213C3277" w14:textId="046A329D" w:rsidR="003575C2" w:rsidRPr="00640777" w:rsidRDefault="003575C2" w:rsidP="003B6C3E">
            <w:pPr>
              <w:pStyle w:val="a-I-EUBodytextsingle"/>
              <w:rPr>
                <w:b/>
                <w:lang w:val="fi-FI"/>
              </w:rPr>
            </w:pPr>
            <w:r w:rsidRPr="00640777">
              <w:rPr>
                <w:b/>
              </w:rPr>
              <w:t>PP5</w:t>
            </w:r>
          </w:p>
        </w:tc>
        <w:tc>
          <w:tcPr>
            <w:tcW w:w="708" w:type="dxa"/>
            <w:shd w:val="clear" w:color="000000" w:fill="F2F2F2"/>
            <w:vAlign w:val="center"/>
            <w:hideMark/>
          </w:tcPr>
          <w:p w14:paraId="1D68B27C" w14:textId="5ADCD17D" w:rsidR="003575C2" w:rsidRPr="00640777" w:rsidRDefault="003575C2" w:rsidP="003B6C3E">
            <w:pPr>
              <w:pStyle w:val="a-I-EUBodytextsingle"/>
              <w:rPr>
                <w:b/>
                <w:lang w:val="fi-FI"/>
              </w:rPr>
            </w:pPr>
            <w:r w:rsidRPr="00640777">
              <w:rPr>
                <w:b/>
              </w:rPr>
              <w:t>PP6</w:t>
            </w:r>
          </w:p>
        </w:tc>
        <w:tc>
          <w:tcPr>
            <w:tcW w:w="708" w:type="dxa"/>
            <w:shd w:val="clear" w:color="000000" w:fill="F2F2F2"/>
            <w:vAlign w:val="center"/>
            <w:hideMark/>
          </w:tcPr>
          <w:p w14:paraId="5493FBD0" w14:textId="02B59B47" w:rsidR="003575C2" w:rsidRPr="00640777" w:rsidRDefault="003575C2" w:rsidP="003B6C3E">
            <w:pPr>
              <w:pStyle w:val="a-I-EUBodytextsingle"/>
              <w:rPr>
                <w:b/>
                <w:lang w:val="fi-FI"/>
              </w:rPr>
            </w:pPr>
            <w:r w:rsidRPr="00640777">
              <w:rPr>
                <w:b/>
              </w:rPr>
              <w:t>PP7</w:t>
            </w:r>
          </w:p>
        </w:tc>
      </w:tr>
      <w:tr w:rsidR="00554978" w:rsidRPr="00E43D41" w14:paraId="0AD9B3D2" w14:textId="77777777" w:rsidTr="00F5402A">
        <w:tc>
          <w:tcPr>
            <w:tcW w:w="4531" w:type="dxa"/>
            <w:shd w:val="clear" w:color="auto" w:fill="auto"/>
            <w:vAlign w:val="center"/>
            <w:hideMark/>
          </w:tcPr>
          <w:p w14:paraId="718FDFF9" w14:textId="77777777" w:rsidR="003575C2" w:rsidRPr="00E43D41" w:rsidRDefault="003575C2" w:rsidP="00F943E7">
            <w:pPr>
              <w:pStyle w:val="a-I-EUBodytextsingle"/>
              <w:spacing w:line="276" w:lineRule="auto"/>
              <w:rPr>
                <w:lang w:val="fi-FI"/>
              </w:rPr>
            </w:pPr>
            <w:r w:rsidRPr="00E43D41">
              <w:t>European Business and Innovation Centre of Burgos (CEEI-Burgos)</w:t>
            </w:r>
          </w:p>
        </w:tc>
        <w:tc>
          <w:tcPr>
            <w:tcW w:w="1134" w:type="dxa"/>
            <w:shd w:val="clear" w:color="auto" w:fill="auto"/>
            <w:vAlign w:val="center"/>
          </w:tcPr>
          <w:p w14:paraId="37903889" w14:textId="2B0ABE3B" w:rsidR="003575C2" w:rsidRPr="00F216AA" w:rsidRDefault="003575C2" w:rsidP="00F943E7">
            <w:pPr>
              <w:pStyle w:val="a-I-EUBodytextsingle"/>
              <w:spacing w:line="276" w:lineRule="auto"/>
            </w:pPr>
          </w:p>
        </w:tc>
        <w:tc>
          <w:tcPr>
            <w:tcW w:w="709" w:type="dxa"/>
            <w:shd w:val="clear" w:color="auto" w:fill="auto"/>
            <w:vAlign w:val="center"/>
          </w:tcPr>
          <w:p w14:paraId="32D5BAF5" w14:textId="79BB8C85" w:rsidR="003575C2" w:rsidRPr="00F216AA" w:rsidRDefault="003575C2" w:rsidP="00F943E7">
            <w:pPr>
              <w:pStyle w:val="a-I-EUBodytextsingle"/>
              <w:spacing w:line="276" w:lineRule="auto"/>
            </w:pPr>
          </w:p>
        </w:tc>
        <w:tc>
          <w:tcPr>
            <w:tcW w:w="709" w:type="dxa"/>
            <w:shd w:val="clear" w:color="auto" w:fill="auto"/>
            <w:vAlign w:val="center"/>
          </w:tcPr>
          <w:p w14:paraId="4C722504" w14:textId="283E5124" w:rsidR="003575C2" w:rsidRPr="00F216AA" w:rsidRDefault="003575C2" w:rsidP="00F943E7">
            <w:pPr>
              <w:pStyle w:val="a-I-EUBodytextsingle"/>
              <w:spacing w:line="276" w:lineRule="auto"/>
            </w:pPr>
          </w:p>
        </w:tc>
        <w:tc>
          <w:tcPr>
            <w:tcW w:w="709" w:type="dxa"/>
            <w:shd w:val="clear" w:color="auto" w:fill="auto"/>
            <w:vAlign w:val="center"/>
          </w:tcPr>
          <w:p w14:paraId="5202E664" w14:textId="1137E44E" w:rsidR="003575C2" w:rsidRPr="00F216AA" w:rsidRDefault="003575C2" w:rsidP="00F943E7">
            <w:pPr>
              <w:pStyle w:val="a-I-EUBodytextsingle"/>
              <w:spacing w:line="276" w:lineRule="auto"/>
            </w:pPr>
          </w:p>
        </w:tc>
        <w:tc>
          <w:tcPr>
            <w:tcW w:w="708" w:type="dxa"/>
            <w:shd w:val="clear" w:color="auto" w:fill="auto"/>
            <w:vAlign w:val="center"/>
          </w:tcPr>
          <w:p w14:paraId="544D5F4C" w14:textId="7600A146" w:rsidR="003575C2" w:rsidRPr="00F216AA" w:rsidRDefault="003575C2" w:rsidP="00F943E7">
            <w:pPr>
              <w:pStyle w:val="a-I-EUBodytextsingle"/>
              <w:spacing w:line="276" w:lineRule="auto"/>
            </w:pPr>
          </w:p>
        </w:tc>
        <w:tc>
          <w:tcPr>
            <w:tcW w:w="708" w:type="dxa"/>
            <w:shd w:val="clear" w:color="auto" w:fill="auto"/>
            <w:vAlign w:val="center"/>
          </w:tcPr>
          <w:p w14:paraId="374DBFB3" w14:textId="7EC8BCD1" w:rsidR="003575C2" w:rsidRPr="00F216AA" w:rsidRDefault="003575C2" w:rsidP="00F943E7">
            <w:pPr>
              <w:pStyle w:val="a-I-EUBodytextsingle"/>
              <w:spacing w:line="276" w:lineRule="auto"/>
            </w:pPr>
          </w:p>
        </w:tc>
      </w:tr>
      <w:tr w:rsidR="00554978" w:rsidRPr="00E43D41" w14:paraId="61CA93EA" w14:textId="77777777" w:rsidTr="00F5402A">
        <w:tc>
          <w:tcPr>
            <w:tcW w:w="4531" w:type="dxa"/>
            <w:shd w:val="clear" w:color="auto" w:fill="auto"/>
            <w:vAlign w:val="center"/>
            <w:hideMark/>
          </w:tcPr>
          <w:p w14:paraId="2F67F6DA" w14:textId="77777777" w:rsidR="003575C2" w:rsidRPr="00E43D41" w:rsidRDefault="003575C2" w:rsidP="00F943E7">
            <w:pPr>
              <w:pStyle w:val="a-I-EUBodytextsingle"/>
              <w:spacing w:line="276" w:lineRule="auto"/>
              <w:rPr>
                <w:lang w:val="fi-FI"/>
              </w:rPr>
            </w:pPr>
            <w:r w:rsidRPr="00E43D41">
              <w:t>The Bio Economy Science Centre, Jülich (Nordrhein-Westfalen)</w:t>
            </w:r>
          </w:p>
        </w:tc>
        <w:tc>
          <w:tcPr>
            <w:tcW w:w="1134" w:type="dxa"/>
            <w:shd w:val="clear" w:color="auto" w:fill="auto"/>
            <w:vAlign w:val="center"/>
          </w:tcPr>
          <w:p w14:paraId="4275E1FC" w14:textId="39F34FEA" w:rsidR="003575C2" w:rsidRPr="00F216AA" w:rsidRDefault="00F216AA" w:rsidP="00F943E7">
            <w:pPr>
              <w:pStyle w:val="a-I-EUBodytextsingle"/>
              <w:spacing w:line="276" w:lineRule="auto"/>
            </w:pPr>
            <w:r>
              <w:t>1</w:t>
            </w:r>
          </w:p>
        </w:tc>
        <w:tc>
          <w:tcPr>
            <w:tcW w:w="709" w:type="dxa"/>
            <w:shd w:val="clear" w:color="auto" w:fill="auto"/>
            <w:vAlign w:val="center"/>
          </w:tcPr>
          <w:p w14:paraId="3F6B63C1" w14:textId="2695968C" w:rsidR="003575C2" w:rsidRPr="00F216AA" w:rsidRDefault="003575C2" w:rsidP="00F943E7">
            <w:pPr>
              <w:pStyle w:val="a-I-EUBodytextsingle"/>
              <w:spacing w:line="276" w:lineRule="auto"/>
            </w:pPr>
          </w:p>
        </w:tc>
        <w:tc>
          <w:tcPr>
            <w:tcW w:w="709" w:type="dxa"/>
            <w:shd w:val="clear" w:color="auto" w:fill="auto"/>
            <w:vAlign w:val="center"/>
          </w:tcPr>
          <w:p w14:paraId="15DEA979" w14:textId="462C2509" w:rsidR="003575C2" w:rsidRPr="00F216AA" w:rsidRDefault="003575C2" w:rsidP="00F943E7">
            <w:pPr>
              <w:pStyle w:val="a-I-EUBodytextsingle"/>
              <w:spacing w:line="276" w:lineRule="auto"/>
            </w:pPr>
          </w:p>
        </w:tc>
        <w:tc>
          <w:tcPr>
            <w:tcW w:w="709" w:type="dxa"/>
            <w:shd w:val="clear" w:color="auto" w:fill="auto"/>
            <w:vAlign w:val="center"/>
          </w:tcPr>
          <w:p w14:paraId="1A184FF1" w14:textId="32035DA4" w:rsidR="003575C2" w:rsidRPr="00F216AA" w:rsidRDefault="003575C2" w:rsidP="00F943E7">
            <w:pPr>
              <w:pStyle w:val="a-I-EUBodytextsingle"/>
              <w:spacing w:line="276" w:lineRule="auto"/>
            </w:pPr>
          </w:p>
        </w:tc>
        <w:tc>
          <w:tcPr>
            <w:tcW w:w="708" w:type="dxa"/>
            <w:shd w:val="clear" w:color="auto" w:fill="auto"/>
            <w:vAlign w:val="center"/>
          </w:tcPr>
          <w:p w14:paraId="31BF80E1" w14:textId="6C667780" w:rsidR="003575C2" w:rsidRPr="00F216AA" w:rsidRDefault="003575C2" w:rsidP="00F943E7">
            <w:pPr>
              <w:pStyle w:val="a-I-EUBodytextsingle"/>
              <w:spacing w:line="276" w:lineRule="auto"/>
            </w:pPr>
          </w:p>
        </w:tc>
        <w:tc>
          <w:tcPr>
            <w:tcW w:w="708" w:type="dxa"/>
            <w:shd w:val="clear" w:color="auto" w:fill="auto"/>
            <w:vAlign w:val="center"/>
          </w:tcPr>
          <w:p w14:paraId="1AC017A6" w14:textId="43C4B527" w:rsidR="003575C2" w:rsidRPr="00F216AA" w:rsidRDefault="003575C2" w:rsidP="00F943E7">
            <w:pPr>
              <w:pStyle w:val="a-I-EUBodytextsingle"/>
              <w:spacing w:line="276" w:lineRule="auto"/>
            </w:pPr>
          </w:p>
        </w:tc>
      </w:tr>
      <w:tr w:rsidR="00554978" w:rsidRPr="00E43D41" w14:paraId="34C44D42" w14:textId="77777777" w:rsidTr="00F5402A">
        <w:trPr>
          <w:trHeight w:val="217"/>
        </w:trPr>
        <w:tc>
          <w:tcPr>
            <w:tcW w:w="4531" w:type="dxa"/>
            <w:vMerge w:val="restart"/>
            <w:shd w:val="clear" w:color="auto" w:fill="auto"/>
            <w:vAlign w:val="center"/>
            <w:hideMark/>
          </w:tcPr>
          <w:p w14:paraId="3E50F576" w14:textId="77777777" w:rsidR="003575C2" w:rsidRPr="00E43D41" w:rsidRDefault="003575C2" w:rsidP="00F943E7">
            <w:pPr>
              <w:pStyle w:val="a-I-EUBodytextsingle"/>
              <w:spacing w:line="276" w:lineRule="auto"/>
              <w:rPr>
                <w:lang w:val="fi-FI"/>
              </w:rPr>
            </w:pPr>
            <w:r w:rsidRPr="00E43D41">
              <w:t>Helsinki Innovation Services Ltd</w:t>
            </w:r>
          </w:p>
        </w:tc>
        <w:tc>
          <w:tcPr>
            <w:tcW w:w="1134" w:type="dxa"/>
            <w:vMerge w:val="restart"/>
            <w:shd w:val="clear" w:color="auto" w:fill="auto"/>
            <w:vAlign w:val="center"/>
          </w:tcPr>
          <w:p w14:paraId="42E587C2" w14:textId="626C844C" w:rsidR="003575C2" w:rsidRPr="00F216AA" w:rsidRDefault="003575C2" w:rsidP="00F943E7">
            <w:pPr>
              <w:pStyle w:val="a-I-EUBodytextsingle"/>
              <w:spacing w:line="276" w:lineRule="auto"/>
            </w:pPr>
          </w:p>
        </w:tc>
        <w:tc>
          <w:tcPr>
            <w:tcW w:w="709" w:type="dxa"/>
            <w:vMerge w:val="restart"/>
            <w:shd w:val="clear" w:color="auto" w:fill="auto"/>
            <w:vAlign w:val="center"/>
          </w:tcPr>
          <w:p w14:paraId="7A95F9C9" w14:textId="2CAC20A1" w:rsidR="003575C2" w:rsidRPr="00F216AA" w:rsidRDefault="003575C2" w:rsidP="00F943E7">
            <w:pPr>
              <w:pStyle w:val="a-I-EUBodytextsingle"/>
              <w:spacing w:line="276" w:lineRule="auto"/>
            </w:pPr>
          </w:p>
        </w:tc>
        <w:tc>
          <w:tcPr>
            <w:tcW w:w="709" w:type="dxa"/>
            <w:vMerge w:val="restart"/>
            <w:shd w:val="clear" w:color="auto" w:fill="auto"/>
            <w:vAlign w:val="center"/>
          </w:tcPr>
          <w:p w14:paraId="669C8BD4" w14:textId="29C6049F" w:rsidR="003575C2" w:rsidRPr="00F216AA" w:rsidRDefault="003575C2" w:rsidP="00F943E7">
            <w:pPr>
              <w:pStyle w:val="a-I-EUBodytextsingle"/>
              <w:spacing w:line="276" w:lineRule="auto"/>
            </w:pPr>
          </w:p>
        </w:tc>
        <w:tc>
          <w:tcPr>
            <w:tcW w:w="709" w:type="dxa"/>
            <w:vMerge w:val="restart"/>
            <w:shd w:val="clear" w:color="auto" w:fill="auto"/>
            <w:vAlign w:val="center"/>
          </w:tcPr>
          <w:p w14:paraId="1EAD2EF1" w14:textId="12A6F307" w:rsidR="003575C2" w:rsidRPr="00F216AA" w:rsidRDefault="003575C2" w:rsidP="00F943E7">
            <w:pPr>
              <w:pStyle w:val="a-I-EUBodytextsingle"/>
              <w:spacing w:line="276" w:lineRule="auto"/>
            </w:pPr>
          </w:p>
        </w:tc>
        <w:tc>
          <w:tcPr>
            <w:tcW w:w="708" w:type="dxa"/>
            <w:vMerge w:val="restart"/>
            <w:shd w:val="clear" w:color="auto" w:fill="auto"/>
            <w:vAlign w:val="center"/>
          </w:tcPr>
          <w:p w14:paraId="74EE8EBE" w14:textId="712424DC" w:rsidR="003575C2" w:rsidRPr="00F216AA" w:rsidRDefault="003575C2" w:rsidP="00F943E7">
            <w:pPr>
              <w:pStyle w:val="a-I-EUBodytextsingle"/>
              <w:spacing w:line="276" w:lineRule="auto"/>
            </w:pPr>
          </w:p>
        </w:tc>
        <w:tc>
          <w:tcPr>
            <w:tcW w:w="708" w:type="dxa"/>
            <w:vMerge w:val="restart"/>
            <w:shd w:val="clear" w:color="auto" w:fill="auto"/>
            <w:vAlign w:val="center"/>
          </w:tcPr>
          <w:p w14:paraId="7EE6FBE4" w14:textId="574E47C5" w:rsidR="003575C2" w:rsidRPr="00F216AA" w:rsidRDefault="003575C2" w:rsidP="00F943E7">
            <w:pPr>
              <w:pStyle w:val="a-I-EUBodytextsingle"/>
              <w:spacing w:line="276" w:lineRule="auto"/>
            </w:pPr>
          </w:p>
        </w:tc>
      </w:tr>
      <w:tr w:rsidR="00554978" w:rsidRPr="00E43D41" w14:paraId="4B884740" w14:textId="77777777" w:rsidTr="00F5402A">
        <w:trPr>
          <w:trHeight w:val="217"/>
        </w:trPr>
        <w:tc>
          <w:tcPr>
            <w:tcW w:w="4531" w:type="dxa"/>
            <w:vMerge/>
            <w:vAlign w:val="center"/>
            <w:hideMark/>
          </w:tcPr>
          <w:p w14:paraId="69D49FE3" w14:textId="77777777" w:rsidR="003575C2" w:rsidRPr="00E43D41" w:rsidRDefault="003575C2" w:rsidP="00F943E7">
            <w:pPr>
              <w:pStyle w:val="a-I-EUBodytextsingle"/>
              <w:spacing w:line="276" w:lineRule="auto"/>
              <w:rPr>
                <w:lang w:val="fi-FI"/>
              </w:rPr>
            </w:pPr>
          </w:p>
        </w:tc>
        <w:tc>
          <w:tcPr>
            <w:tcW w:w="1134" w:type="dxa"/>
            <w:vMerge/>
            <w:vAlign w:val="center"/>
          </w:tcPr>
          <w:p w14:paraId="1D06A92C" w14:textId="77777777" w:rsidR="003575C2" w:rsidRPr="00E43D41" w:rsidRDefault="003575C2" w:rsidP="00F943E7">
            <w:pPr>
              <w:pStyle w:val="a-I-EUBodytextsingle"/>
              <w:spacing w:line="276" w:lineRule="auto"/>
              <w:rPr>
                <w:lang w:val="fi-FI"/>
              </w:rPr>
            </w:pPr>
          </w:p>
        </w:tc>
        <w:tc>
          <w:tcPr>
            <w:tcW w:w="709" w:type="dxa"/>
            <w:vMerge/>
            <w:vAlign w:val="center"/>
          </w:tcPr>
          <w:p w14:paraId="2394D16E" w14:textId="77777777" w:rsidR="003575C2" w:rsidRPr="00E43D41" w:rsidRDefault="003575C2" w:rsidP="00F943E7">
            <w:pPr>
              <w:pStyle w:val="a-I-EUBodytextsingle"/>
              <w:spacing w:line="276" w:lineRule="auto"/>
              <w:rPr>
                <w:lang w:val="fi-FI"/>
              </w:rPr>
            </w:pPr>
          </w:p>
        </w:tc>
        <w:tc>
          <w:tcPr>
            <w:tcW w:w="709" w:type="dxa"/>
            <w:vMerge/>
            <w:vAlign w:val="center"/>
          </w:tcPr>
          <w:p w14:paraId="1F3337A3" w14:textId="77777777" w:rsidR="003575C2" w:rsidRPr="00E43D41" w:rsidRDefault="003575C2" w:rsidP="00F943E7">
            <w:pPr>
              <w:pStyle w:val="a-I-EUBodytextsingle"/>
              <w:spacing w:line="276" w:lineRule="auto"/>
              <w:rPr>
                <w:lang w:val="fi-FI"/>
              </w:rPr>
            </w:pPr>
          </w:p>
        </w:tc>
        <w:tc>
          <w:tcPr>
            <w:tcW w:w="709" w:type="dxa"/>
            <w:vMerge/>
            <w:vAlign w:val="center"/>
          </w:tcPr>
          <w:p w14:paraId="0AEA376B" w14:textId="77777777" w:rsidR="003575C2" w:rsidRPr="00E43D41" w:rsidRDefault="003575C2" w:rsidP="00F943E7">
            <w:pPr>
              <w:pStyle w:val="a-I-EUBodytextsingle"/>
              <w:spacing w:line="276" w:lineRule="auto"/>
              <w:rPr>
                <w:lang w:val="fi-FI"/>
              </w:rPr>
            </w:pPr>
          </w:p>
        </w:tc>
        <w:tc>
          <w:tcPr>
            <w:tcW w:w="708" w:type="dxa"/>
            <w:vMerge/>
            <w:vAlign w:val="center"/>
          </w:tcPr>
          <w:p w14:paraId="565CB71F" w14:textId="77777777" w:rsidR="003575C2" w:rsidRPr="00E43D41" w:rsidRDefault="003575C2" w:rsidP="00F943E7">
            <w:pPr>
              <w:pStyle w:val="a-I-EUBodytextsingle"/>
              <w:spacing w:line="276" w:lineRule="auto"/>
              <w:rPr>
                <w:lang w:val="fi-FI"/>
              </w:rPr>
            </w:pPr>
          </w:p>
        </w:tc>
        <w:tc>
          <w:tcPr>
            <w:tcW w:w="708" w:type="dxa"/>
            <w:vMerge/>
            <w:vAlign w:val="center"/>
          </w:tcPr>
          <w:p w14:paraId="3DEA0364" w14:textId="77777777" w:rsidR="003575C2" w:rsidRPr="00E43D41" w:rsidRDefault="003575C2" w:rsidP="00F943E7">
            <w:pPr>
              <w:pStyle w:val="a-I-EUBodytextsingle"/>
              <w:spacing w:line="276" w:lineRule="auto"/>
              <w:rPr>
                <w:lang w:val="fi-FI"/>
              </w:rPr>
            </w:pPr>
          </w:p>
        </w:tc>
      </w:tr>
      <w:tr w:rsidR="00554978" w:rsidRPr="00E43D41" w14:paraId="73A690D5" w14:textId="77777777" w:rsidTr="00F5402A">
        <w:trPr>
          <w:trHeight w:val="217"/>
        </w:trPr>
        <w:tc>
          <w:tcPr>
            <w:tcW w:w="4531" w:type="dxa"/>
            <w:vMerge w:val="restart"/>
            <w:shd w:val="clear" w:color="auto" w:fill="auto"/>
            <w:vAlign w:val="center"/>
            <w:hideMark/>
          </w:tcPr>
          <w:p w14:paraId="462245AE" w14:textId="77777777" w:rsidR="003575C2" w:rsidRPr="00E43D41" w:rsidRDefault="003575C2" w:rsidP="00F943E7">
            <w:pPr>
              <w:pStyle w:val="a-I-EUBodytextsingle"/>
              <w:spacing w:line="276" w:lineRule="auto"/>
              <w:rPr>
                <w:lang w:val="fi-FI"/>
              </w:rPr>
            </w:pPr>
            <w:r w:rsidRPr="00E43D41">
              <w:t>Slovenian national instrument for centres of excellence and competence centres</w:t>
            </w:r>
          </w:p>
        </w:tc>
        <w:tc>
          <w:tcPr>
            <w:tcW w:w="1134" w:type="dxa"/>
            <w:vMerge w:val="restart"/>
            <w:shd w:val="clear" w:color="auto" w:fill="auto"/>
            <w:vAlign w:val="center"/>
          </w:tcPr>
          <w:p w14:paraId="2BD7FF7A" w14:textId="2166352C" w:rsidR="003575C2" w:rsidRPr="00F216AA" w:rsidRDefault="003575C2" w:rsidP="00F943E7">
            <w:pPr>
              <w:pStyle w:val="a-I-EUBodytextsingle"/>
              <w:spacing w:line="276" w:lineRule="auto"/>
            </w:pPr>
          </w:p>
        </w:tc>
        <w:tc>
          <w:tcPr>
            <w:tcW w:w="709" w:type="dxa"/>
            <w:vMerge w:val="restart"/>
            <w:shd w:val="clear" w:color="auto" w:fill="auto"/>
            <w:vAlign w:val="center"/>
          </w:tcPr>
          <w:p w14:paraId="1870A7F1" w14:textId="52ABBC5E" w:rsidR="003575C2" w:rsidRPr="00F216AA" w:rsidRDefault="003575C2" w:rsidP="00F943E7">
            <w:pPr>
              <w:pStyle w:val="a-I-EUBodytextsingle"/>
              <w:spacing w:line="276" w:lineRule="auto"/>
            </w:pPr>
          </w:p>
        </w:tc>
        <w:tc>
          <w:tcPr>
            <w:tcW w:w="709" w:type="dxa"/>
            <w:vMerge w:val="restart"/>
            <w:shd w:val="clear" w:color="auto" w:fill="auto"/>
            <w:vAlign w:val="center"/>
          </w:tcPr>
          <w:p w14:paraId="34E77A01" w14:textId="3B374701" w:rsidR="003575C2" w:rsidRPr="00F216AA" w:rsidRDefault="003575C2" w:rsidP="00F943E7">
            <w:pPr>
              <w:pStyle w:val="a-I-EUBodytextsingle"/>
              <w:spacing w:line="276" w:lineRule="auto"/>
            </w:pPr>
          </w:p>
        </w:tc>
        <w:tc>
          <w:tcPr>
            <w:tcW w:w="709" w:type="dxa"/>
            <w:vMerge w:val="restart"/>
            <w:shd w:val="clear" w:color="auto" w:fill="auto"/>
            <w:vAlign w:val="center"/>
          </w:tcPr>
          <w:p w14:paraId="2F404DB5" w14:textId="3F2CF81D" w:rsidR="003575C2" w:rsidRPr="00F216AA" w:rsidRDefault="003575C2" w:rsidP="00F943E7">
            <w:pPr>
              <w:pStyle w:val="a-I-EUBodytextsingle"/>
              <w:spacing w:line="276" w:lineRule="auto"/>
            </w:pPr>
          </w:p>
        </w:tc>
        <w:tc>
          <w:tcPr>
            <w:tcW w:w="708" w:type="dxa"/>
            <w:vMerge w:val="restart"/>
            <w:shd w:val="clear" w:color="auto" w:fill="auto"/>
            <w:vAlign w:val="center"/>
          </w:tcPr>
          <w:p w14:paraId="50F1EE52" w14:textId="64E1A2BC" w:rsidR="003575C2" w:rsidRPr="00F216AA" w:rsidRDefault="003575C2" w:rsidP="00F943E7">
            <w:pPr>
              <w:pStyle w:val="a-I-EUBodytextsingle"/>
              <w:spacing w:line="276" w:lineRule="auto"/>
            </w:pPr>
          </w:p>
        </w:tc>
        <w:tc>
          <w:tcPr>
            <w:tcW w:w="708" w:type="dxa"/>
            <w:vMerge w:val="restart"/>
            <w:shd w:val="clear" w:color="auto" w:fill="auto"/>
            <w:vAlign w:val="center"/>
          </w:tcPr>
          <w:p w14:paraId="6C50AA43" w14:textId="7475C3B3" w:rsidR="003575C2" w:rsidRPr="00F216AA" w:rsidRDefault="003575C2" w:rsidP="00F943E7">
            <w:pPr>
              <w:pStyle w:val="a-I-EUBodytextsingle"/>
              <w:spacing w:line="276" w:lineRule="auto"/>
            </w:pPr>
          </w:p>
        </w:tc>
      </w:tr>
      <w:tr w:rsidR="00554978" w:rsidRPr="00E43D41" w14:paraId="5AB0BA80" w14:textId="77777777" w:rsidTr="00F5402A">
        <w:trPr>
          <w:trHeight w:val="217"/>
        </w:trPr>
        <w:tc>
          <w:tcPr>
            <w:tcW w:w="4531" w:type="dxa"/>
            <w:vMerge/>
            <w:vAlign w:val="center"/>
            <w:hideMark/>
          </w:tcPr>
          <w:p w14:paraId="580F25ED" w14:textId="77777777" w:rsidR="003575C2" w:rsidRPr="00E43D41" w:rsidRDefault="003575C2" w:rsidP="00F943E7">
            <w:pPr>
              <w:pStyle w:val="a-I-EUBodytextsingle"/>
              <w:spacing w:line="276" w:lineRule="auto"/>
              <w:rPr>
                <w:lang w:val="fi-FI"/>
              </w:rPr>
            </w:pPr>
          </w:p>
        </w:tc>
        <w:tc>
          <w:tcPr>
            <w:tcW w:w="1134" w:type="dxa"/>
            <w:vMerge/>
            <w:vAlign w:val="center"/>
          </w:tcPr>
          <w:p w14:paraId="582EDA53" w14:textId="77777777" w:rsidR="003575C2" w:rsidRPr="00F216AA" w:rsidRDefault="003575C2" w:rsidP="00F943E7">
            <w:pPr>
              <w:pStyle w:val="a-I-EUBodytextsingle"/>
              <w:spacing w:line="276" w:lineRule="auto"/>
            </w:pPr>
          </w:p>
        </w:tc>
        <w:tc>
          <w:tcPr>
            <w:tcW w:w="709" w:type="dxa"/>
            <w:vMerge/>
            <w:vAlign w:val="center"/>
          </w:tcPr>
          <w:p w14:paraId="187A8B34" w14:textId="77777777" w:rsidR="003575C2" w:rsidRPr="00F216AA" w:rsidRDefault="003575C2" w:rsidP="00F943E7">
            <w:pPr>
              <w:pStyle w:val="a-I-EUBodytextsingle"/>
              <w:spacing w:line="276" w:lineRule="auto"/>
            </w:pPr>
          </w:p>
        </w:tc>
        <w:tc>
          <w:tcPr>
            <w:tcW w:w="709" w:type="dxa"/>
            <w:vMerge/>
            <w:vAlign w:val="center"/>
          </w:tcPr>
          <w:p w14:paraId="303B16B2" w14:textId="77777777" w:rsidR="003575C2" w:rsidRPr="00F216AA" w:rsidRDefault="003575C2" w:rsidP="00F943E7">
            <w:pPr>
              <w:pStyle w:val="a-I-EUBodytextsingle"/>
              <w:spacing w:line="276" w:lineRule="auto"/>
            </w:pPr>
          </w:p>
        </w:tc>
        <w:tc>
          <w:tcPr>
            <w:tcW w:w="709" w:type="dxa"/>
            <w:vMerge/>
            <w:vAlign w:val="center"/>
          </w:tcPr>
          <w:p w14:paraId="65E2651B" w14:textId="77777777" w:rsidR="003575C2" w:rsidRPr="00F216AA" w:rsidRDefault="003575C2" w:rsidP="00F943E7">
            <w:pPr>
              <w:pStyle w:val="a-I-EUBodytextsingle"/>
              <w:spacing w:line="276" w:lineRule="auto"/>
            </w:pPr>
          </w:p>
        </w:tc>
        <w:tc>
          <w:tcPr>
            <w:tcW w:w="708" w:type="dxa"/>
            <w:vMerge/>
            <w:vAlign w:val="center"/>
          </w:tcPr>
          <w:p w14:paraId="394DB0B9" w14:textId="77777777" w:rsidR="003575C2" w:rsidRPr="00F216AA" w:rsidRDefault="003575C2" w:rsidP="00F943E7">
            <w:pPr>
              <w:pStyle w:val="a-I-EUBodytextsingle"/>
              <w:spacing w:line="276" w:lineRule="auto"/>
            </w:pPr>
          </w:p>
        </w:tc>
        <w:tc>
          <w:tcPr>
            <w:tcW w:w="708" w:type="dxa"/>
            <w:vMerge/>
            <w:vAlign w:val="center"/>
          </w:tcPr>
          <w:p w14:paraId="748182F8" w14:textId="77777777" w:rsidR="003575C2" w:rsidRPr="00F216AA" w:rsidRDefault="003575C2" w:rsidP="00F943E7">
            <w:pPr>
              <w:pStyle w:val="a-I-EUBodytextsingle"/>
              <w:spacing w:line="276" w:lineRule="auto"/>
            </w:pPr>
          </w:p>
        </w:tc>
      </w:tr>
      <w:tr w:rsidR="00554978" w:rsidRPr="00E43D41" w14:paraId="6BF9595C" w14:textId="77777777" w:rsidTr="00F5402A">
        <w:tc>
          <w:tcPr>
            <w:tcW w:w="4531" w:type="dxa"/>
            <w:shd w:val="clear" w:color="auto" w:fill="auto"/>
            <w:vAlign w:val="center"/>
            <w:hideMark/>
          </w:tcPr>
          <w:p w14:paraId="48EFB204" w14:textId="77777777" w:rsidR="003575C2" w:rsidRPr="00E43D41" w:rsidRDefault="003575C2" w:rsidP="00F943E7">
            <w:pPr>
              <w:pStyle w:val="a-I-EUBodytextsingle"/>
              <w:spacing w:line="276" w:lineRule="auto"/>
              <w:rPr>
                <w:lang w:val="fi-FI"/>
              </w:rPr>
            </w:pPr>
            <w:r w:rsidRPr="00E43D41">
              <w:t>Kantola Industrial Estate and Woodpolis</w:t>
            </w:r>
          </w:p>
        </w:tc>
        <w:tc>
          <w:tcPr>
            <w:tcW w:w="1134" w:type="dxa"/>
            <w:shd w:val="clear" w:color="auto" w:fill="auto"/>
            <w:vAlign w:val="center"/>
          </w:tcPr>
          <w:p w14:paraId="2E8D2FE0" w14:textId="06E346F0" w:rsidR="003575C2" w:rsidRPr="00F216AA" w:rsidRDefault="003575C2" w:rsidP="00F943E7">
            <w:pPr>
              <w:pStyle w:val="a-I-EUBodytextsingle"/>
              <w:spacing w:line="276" w:lineRule="auto"/>
            </w:pPr>
          </w:p>
        </w:tc>
        <w:tc>
          <w:tcPr>
            <w:tcW w:w="709" w:type="dxa"/>
            <w:shd w:val="clear" w:color="auto" w:fill="auto"/>
            <w:vAlign w:val="center"/>
          </w:tcPr>
          <w:p w14:paraId="797277D8" w14:textId="78C3B427" w:rsidR="003575C2" w:rsidRPr="00F216AA" w:rsidRDefault="003575C2" w:rsidP="00F943E7">
            <w:pPr>
              <w:pStyle w:val="a-I-EUBodytextsingle"/>
              <w:spacing w:line="276" w:lineRule="auto"/>
            </w:pPr>
          </w:p>
        </w:tc>
        <w:tc>
          <w:tcPr>
            <w:tcW w:w="709" w:type="dxa"/>
            <w:shd w:val="clear" w:color="auto" w:fill="auto"/>
            <w:vAlign w:val="center"/>
          </w:tcPr>
          <w:p w14:paraId="376C80A5" w14:textId="059D25E7" w:rsidR="003575C2" w:rsidRPr="00F216AA" w:rsidRDefault="003575C2" w:rsidP="00F943E7">
            <w:pPr>
              <w:pStyle w:val="a-I-EUBodytextsingle"/>
              <w:spacing w:line="276" w:lineRule="auto"/>
            </w:pPr>
          </w:p>
        </w:tc>
        <w:tc>
          <w:tcPr>
            <w:tcW w:w="709" w:type="dxa"/>
            <w:shd w:val="clear" w:color="auto" w:fill="auto"/>
            <w:vAlign w:val="center"/>
          </w:tcPr>
          <w:p w14:paraId="5890186D" w14:textId="23AB81BE" w:rsidR="003575C2" w:rsidRPr="00F216AA" w:rsidRDefault="003575C2" w:rsidP="00F943E7">
            <w:pPr>
              <w:pStyle w:val="a-I-EUBodytextsingle"/>
              <w:spacing w:line="276" w:lineRule="auto"/>
            </w:pPr>
          </w:p>
        </w:tc>
        <w:tc>
          <w:tcPr>
            <w:tcW w:w="708" w:type="dxa"/>
            <w:shd w:val="clear" w:color="auto" w:fill="auto"/>
            <w:vAlign w:val="center"/>
          </w:tcPr>
          <w:p w14:paraId="2B05E950" w14:textId="464D9A1A" w:rsidR="003575C2" w:rsidRPr="00F216AA" w:rsidRDefault="00F216AA" w:rsidP="00F943E7">
            <w:pPr>
              <w:pStyle w:val="a-I-EUBodytextsingle"/>
              <w:spacing w:line="276" w:lineRule="auto"/>
            </w:pPr>
            <w:r>
              <w:t>1</w:t>
            </w:r>
          </w:p>
        </w:tc>
        <w:tc>
          <w:tcPr>
            <w:tcW w:w="708" w:type="dxa"/>
            <w:shd w:val="clear" w:color="auto" w:fill="auto"/>
            <w:vAlign w:val="center"/>
          </w:tcPr>
          <w:p w14:paraId="1CD46221" w14:textId="2A1DA5F9" w:rsidR="003575C2" w:rsidRPr="00F216AA" w:rsidRDefault="00F216AA" w:rsidP="00F943E7">
            <w:pPr>
              <w:pStyle w:val="a-I-EUBodytextsingle"/>
              <w:spacing w:line="276" w:lineRule="auto"/>
            </w:pPr>
            <w:r>
              <w:t>1</w:t>
            </w:r>
          </w:p>
        </w:tc>
      </w:tr>
      <w:tr w:rsidR="003B407F" w:rsidRPr="00E43D41" w14:paraId="5D68657E" w14:textId="77777777" w:rsidTr="00F5402A">
        <w:trPr>
          <w:trHeight w:val="217"/>
        </w:trPr>
        <w:tc>
          <w:tcPr>
            <w:tcW w:w="4531" w:type="dxa"/>
            <w:vMerge w:val="restart"/>
            <w:shd w:val="clear" w:color="auto" w:fill="auto"/>
            <w:vAlign w:val="center"/>
            <w:hideMark/>
          </w:tcPr>
          <w:p w14:paraId="3583B0DD" w14:textId="77777777" w:rsidR="003575C2" w:rsidRPr="00E43D41" w:rsidRDefault="003575C2" w:rsidP="00F943E7">
            <w:pPr>
              <w:pStyle w:val="a-I-EUBodytextsingle"/>
              <w:spacing w:line="276" w:lineRule="auto"/>
              <w:rPr>
                <w:lang w:val="fi-FI"/>
              </w:rPr>
            </w:pPr>
            <w:r w:rsidRPr="00E43D41">
              <w:t>Large research infrastructure services for SMEs (Science Link &amp; Baltic TRAM projects)</w:t>
            </w:r>
          </w:p>
        </w:tc>
        <w:tc>
          <w:tcPr>
            <w:tcW w:w="1134" w:type="dxa"/>
            <w:vMerge w:val="restart"/>
            <w:shd w:val="clear" w:color="auto" w:fill="auto"/>
            <w:vAlign w:val="center"/>
            <w:hideMark/>
          </w:tcPr>
          <w:p w14:paraId="1824D40C" w14:textId="77777777" w:rsidR="003575C2" w:rsidRPr="00F216AA" w:rsidRDefault="003575C2" w:rsidP="00F943E7">
            <w:pPr>
              <w:pStyle w:val="a-I-EUBodytextsingle"/>
              <w:spacing w:line="276" w:lineRule="auto"/>
            </w:pPr>
            <w:r w:rsidRPr="00E43D41">
              <w:t> </w:t>
            </w:r>
          </w:p>
        </w:tc>
        <w:tc>
          <w:tcPr>
            <w:tcW w:w="709" w:type="dxa"/>
            <w:vMerge w:val="restart"/>
            <w:shd w:val="clear" w:color="auto" w:fill="auto"/>
            <w:vAlign w:val="center"/>
          </w:tcPr>
          <w:p w14:paraId="57E79EF5" w14:textId="761B5914" w:rsidR="003575C2" w:rsidRPr="00F216AA" w:rsidRDefault="003575C2" w:rsidP="00F943E7">
            <w:pPr>
              <w:pStyle w:val="a-I-EUBodytextsingle"/>
              <w:spacing w:line="276" w:lineRule="auto"/>
            </w:pPr>
          </w:p>
        </w:tc>
        <w:tc>
          <w:tcPr>
            <w:tcW w:w="709" w:type="dxa"/>
            <w:vMerge w:val="restart"/>
            <w:shd w:val="clear" w:color="auto" w:fill="auto"/>
            <w:vAlign w:val="center"/>
            <w:hideMark/>
          </w:tcPr>
          <w:p w14:paraId="6BCA0B99" w14:textId="4D13BDA1" w:rsidR="003575C2" w:rsidRPr="00F216AA" w:rsidRDefault="00435F9D" w:rsidP="00F943E7">
            <w:pPr>
              <w:pStyle w:val="a-I-EUBodytextsingle"/>
              <w:spacing w:line="276" w:lineRule="auto"/>
            </w:pPr>
            <w:r>
              <w:t>1</w:t>
            </w:r>
            <w:r w:rsidR="003575C2" w:rsidRPr="00E43D41">
              <w:t> </w:t>
            </w:r>
          </w:p>
        </w:tc>
        <w:tc>
          <w:tcPr>
            <w:tcW w:w="709" w:type="dxa"/>
            <w:vMerge w:val="restart"/>
            <w:shd w:val="clear" w:color="auto" w:fill="auto"/>
            <w:vAlign w:val="center"/>
            <w:hideMark/>
          </w:tcPr>
          <w:p w14:paraId="412BCA51" w14:textId="77777777" w:rsidR="003575C2" w:rsidRPr="00F216AA" w:rsidRDefault="003575C2" w:rsidP="00F943E7">
            <w:pPr>
              <w:pStyle w:val="a-I-EUBodytextsingle"/>
              <w:spacing w:line="276" w:lineRule="auto"/>
            </w:pPr>
            <w:r w:rsidRPr="00E43D41">
              <w:t> </w:t>
            </w:r>
          </w:p>
        </w:tc>
        <w:tc>
          <w:tcPr>
            <w:tcW w:w="708" w:type="dxa"/>
            <w:vMerge w:val="restart"/>
            <w:shd w:val="clear" w:color="auto" w:fill="auto"/>
            <w:vAlign w:val="center"/>
            <w:hideMark/>
          </w:tcPr>
          <w:p w14:paraId="47FD6842" w14:textId="77777777" w:rsidR="003575C2" w:rsidRPr="00F216AA" w:rsidRDefault="003575C2" w:rsidP="00F943E7">
            <w:pPr>
              <w:pStyle w:val="a-I-EUBodytextsingle"/>
              <w:spacing w:line="276" w:lineRule="auto"/>
            </w:pPr>
            <w:r w:rsidRPr="00E43D41">
              <w:t> </w:t>
            </w:r>
          </w:p>
        </w:tc>
        <w:tc>
          <w:tcPr>
            <w:tcW w:w="708" w:type="dxa"/>
            <w:vMerge w:val="restart"/>
            <w:shd w:val="clear" w:color="auto" w:fill="auto"/>
            <w:vAlign w:val="center"/>
            <w:hideMark/>
          </w:tcPr>
          <w:p w14:paraId="5F9575DB" w14:textId="77777777" w:rsidR="003575C2" w:rsidRPr="00F216AA" w:rsidRDefault="003575C2" w:rsidP="00F943E7">
            <w:pPr>
              <w:pStyle w:val="a-I-EUBodytextsingle"/>
              <w:spacing w:line="276" w:lineRule="auto"/>
            </w:pPr>
            <w:r w:rsidRPr="00E43D41">
              <w:t> </w:t>
            </w:r>
          </w:p>
        </w:tc>
      </w:tr>
      <w:tr w:rsidR="003B407F" w:rsidRPr="00E43D41" w14:paraId="4BB30321" w14:textId="77777777" w:rsidTr="00F5402A">
        <w:trPr>
          <w:trHeight w:val="217"/>
        </w:trPr>
        <w:tc>
          <w:tcPr>
            <w:tcW w:w="4531" w:type="dxa"/>
            <w:vMerge/>
            <w:vAlign w:val="center"/>
            <w:hideMark/>
          </w:tcPr>
          <w:p w14:paraId="090A73CF" w14:textId="77777777" w:rsidR="003575C2" w:rsidRPr="00E43D41" w:rsidRDefault="003575C2" w:rsidP="00F943E7">
            <w:pPr>
              <w:pStyle w:val="a-I-EUBodytextsingle"/>
              <w:spacing w:line="276" w:lineRule="auto"/>
              <w:rPr>
                <w:lang w:val="fi-FI"/>
              </w:rPr>
            </w:pPr>
          </w:p>
        </w:tc>
        <w:tc>
          <w:tcPr>
            <w:tcW w:w="1134" w:type="dxa"/>
            <w:vMerge/>
            <w:vAlign w:val="center"/>
            <w:hideMark/>
          </w:tcPr>
          <w:p w14:paraId="7109884A" w14:textId="77777777" w:rsidR="003575C2" w:rsidRPr="00F216AA" w:rsidRDefault="003575C2" w:rsidP="00F943E7">
            <w:pPr>
              <w:pStyle w:val="a-I-EUBodytextsingle"/>
              <w:spacing w:line="276" w:lineRule="auto"/>
            </w:pPr>
          </w:p>
        </w:tc>
        <w:tc>
          <w:tcPr>
            <w:tcW w:w="709" w:type="dxa"/>
            <w:vMerge/>
            <w:vAlign w:val="center"/>
          </w:tcPr>
          <w:p w14:paraId="15BE72A6" w14:textId="77777777" w:rsidR="003575C2" w:rsidRPr="00F216AA" w:rsidRDefault="003575C2" w:rsidP="00F943E7">
            <w:pPr>
              <w:pStyle w:val="a-I-EUBodytextsingle"/>
              <w:spacing w:line="276" w:lineRule="auto"/>
            </w:pPr>
          </w:p>
        </w:tc>
        <w:tc>
          <w:tcPr>
            <w:tcW w:w="709" w:type="dxa"/>
            <w:vMerge/>
            <w:vAlign w:val="center"/>
            <w:hideMark/>
          </w:tcPr>
          <w:p w14:paraId="46411635" w14:textId="77777777" w:rsidR="003575C2" w:rsidRPr="00F216AA" w:rsidRDefault="003575C2" w:rsidP="00F943E7">
            <w:pPr>
              <w:pStyle w:val="a-I-EUBodytextsingle"/>
              <w:spacing w:line="276" w:lineRule="auto"/>
            </w:pPr>
          </w:p>
        </w:tc>
        <w:tc>
          <w:tcPr>
            <w:tcW w:w="709" w:type="dxa"/>
            <w:vMerge/>
            <w:vAlign w:val="center"/>
            <w:hideMark/>
          </w:tcPr>
          <w:p w14:paraId="49FDC92B" w14:textId="77777777" w:rsidR="003575C2" w:rsidRPr="00F216AA" w:rsidRDefault="003575C2" w:rsidP="00F943E7">
            <w:pPr>
              <w:pStyle w:val="a-I-EUBodytextsingle"/>
              <w:spacing w:line="276" w:lineRule="auto"/>
            </w:pPr>
          </w:p>
        </w:tc>
        <w:tc>
          <w:tcPr>
            <w:tcW w:w="708" w:type="dxa"/>
            <w:vMerge/>
            <w:vAlign w:val="center"/>
            <w:hideMark/>
          </w:tcPr>
          <w:p w14:paraId="281B4F43" w14:textId="77777777" w:rsidR="003575C2" w:rsidRPr="00F216AA" w:rsidRDefault="003575C2" w:rsidP="00F943E7">
            <w:pPr>
              <w:pStyle w:val="a-I-EUBodytextsingle"/>
              <w:spacing w:line="276" w:lineRule="auto"/>
            </w:pPr>
          </w:p>
        </w:tc>
        <w:tc>
          <w:tcPr>
            <w:tcW w:w="708" w:type="dxa"/>
            <w:vMerge/>
            <w:vAlign w:val="center"/>
            <w:hideMark/>
          </w:tcPr>
          <w:p w14:paraId="3ABC929C" w14:textId="77777777" w:rsidR="003575C2" w:rsidRPr="00F216AA" w:rsidRDefault="003575C2" w:rsidP="00F943E7">
            <w:pPr>
              <w:pStyle w:val="a-I-EUBodytextsingle"/>
              <w:spacing w:line="276" w:lineRule="auto"/>
            </w:pPr>
          </w:p>
        </w:tc>
      </w:tr>
      <w:tr w:rsidR="003B407F" w:rsidRPr="00E43D41" w14:paraId="30E5206B" w14:textId="77777777" w:rsidTr="00F5402A">
        <w:tc>
          <w:tcPr>
            <w:tcW w:w="4531" w:type="dxa"/>
            <w:shd w:val="clear" w:color="auto" w:fill="auto"/>
            <w:vAlign w:val="center"/>
            <w:hideMark/>
          </w:tcPr>
          <w:p w14:paraId="2D8BEBBF" w14:textId="77777777" w:rsidR="003575C2" w:rsidRPr="00E43D41" w:rsidRDefault="003575C2" w:rsidP="00F943E7">
            <w:pPr>
              <w:pStyle w:val="a-I-EUBodytextsingle"/>
              <w:spacing w:line="276" w:lineRule="auto"/>
              <w:rPr>
                <w:lang w:val="fi-FI"/>
              </w:rPr>
            </w:pPr>
            <w:r w:rsidRPr="00E43D41">
              <w:t>Online precise irrigation scheduling / OpIris</w:t>
            </w:r>
          </w:p>
        </w:tc>
        <w:tc>
          <w:tcPr>
            <w:tcW w:w="1134" w:type="dxa"/>
            <w:shd w:val="clear" w:color="auto" w:fill="auto"/>
            <w:vAlign w:val="center"/>
            <w:hideMark/>
          </w:tcPr>
          <w:p w14:paraId="6BDFC14C" w14:textId="77777777" w:rsidR="003575C2" w:rsidRPr="00F216AA" w:rsidRDefault="003575C2" w:rsidP="00F943E7">
            <w:pPr>
              <w:pStyle w:val="a-I-EUBodytextsingle"/>
              <w:spacing w:line="276" w:lineRule="auto"/>
            </w:pPr>
            <w:r w:rsidRPr="00E43D41">
              <w:t> </w:t>
            </w:r>
          </w:p>
        </w:tc>
        <w:tc>
          <w:tcPr>
            <w:tcW w:w="709" w:type="dxa"/>
            <w:shd w:val="clear" w:color="auto" w:fill="auto"/>
            <w:vAlign w:val="center"/>
          </w:tcPr>
          <w:p w14:paraId="02076252" w14:textId="12355140" w:rsidR="003575C2" w:rsidRPr="00F216AA" w:rsidRDefault="003575C2" w:rsidP="00F943E7">
            <w:pPr>
              <w:pStyle w:val="a-I-EUBodytextsingle"/>
              <w:spacing w:line="276" w:lineRule="auto"/>
            </w:pPr>
          </w:p>
        </w:tc>
        <w:tc>
          <w:tcPr>
            <w:tcW w:w="709" w:type="dxa"/>
            <w:shd w:val="clear" w:color="auto" w:fill="auto"/>
            <w:vAlign w:val="center"/>
            <w:hideMark/>
          </w:tcPr>
          <w:p w14:paraId="705391DE" w14:textId="77777777" w:rsidR="003575C2" w:rsidRPr="00F216AA" w:rsidRDefault="003575C2" w:rsidP="00F943E7">
            <w:pPr>
              <w:pStyle w:val="a-I-EUBodytextsingle"/>
              <w:spacing w:line="276" w:lineRule="auto"/>
            </w:pPr>
            <w:r w:rsidRPr="00F216AA">
              <w:t> </w:t>
            </w:r>
          </w:p>
        </w:tc>
        <w:tc>
          <w:tcPr>
            <w:tcW w:w="709" w:type="dxa"/>
            <w:shd w:val="clear" w:color="auto" w:fill="auto"/>
            <w:vAlign w:val="center"/>
            <w:hideMark/>
          </w:tcPr>
          <w:p w14:paraId="510FE6B0" w14:textId="77777777" w:rsidR="003575C2" w:rsidRPr="00F216AA" w:rsidRDefault="003575C2" w:rsidP="00F943E7">
            <w:pPr>
              <w:pStyle w:val="a-I-EUBodytextsingle"/>
              <w:spacing w:line="276" w:lineRule="auto"/>
            </w:pPr>
            <w:r w:rsidRPr="00F216AA">
              <w:t> </w:t>
            </w:r>
          </w:p>
        </w:tc>
        <w:tc>
          <w:tcPr>
            <w:tcW w:w="708" w:type="dxa"/>
            <w:shd w:val="clear" w:color="auto" w:fill="auto"/>
            <w:vAlign w:val="center"/>
            <w:hideMark/>
          </w:tcPr>
          <w:p w14:paraId="6A11D436" w14:textId="77777777" w:rsidR="003575C2" w:rsidRPr="00F216AA" w:rsidRDefault="003575C2" w:rsidP="00F943E7">
            <w:pPr>
              <w:pStyle w:val="a-I-EUBodytextsingle"/>
              <w:spacing w:line="276" w:lineRule="auto"/>
            </w:pPr>
            <w:r w:rsidRPr="00F216AA">
              <w:t> </w:t>
            </w:r>
          </w:p>
        </w:tc>
        <w:tc>
          <w:tcPr>
            <w:tcW w:w="708" w:type="dxa"/>
            <w:shd w:val="clear" w:color="auto" w:fill="auto"/>
            <w:vAlign w:val="center"/>
            <w:hideMark/>
          </w:tcPr>
          <w:p w14:paraId="4907197F" w14:textId="77777777" w:rsidR="003575C2" w:rsidRPr="00F216AA" w:rsidRDefault="003575C2" w:rsidP="00F943E7">
            <w:pPr>
              <w:pStyle w:val="a-I-EUBodytextsingle"/>
              <w:spacing w:line="276" w:lineRule="auto"/>
            </w:pPr>
            <w:r w:rsidRPr="00F216AA">
              <w:t> </w:t>
            </w:r>
          </w:p>
        </w:tc>
      </w:tr>
      <w:tr w:rsidR="003B407F" w:rsidRPr="00E43D41" w14:paraId="7951F4DE" w14:textId="77777777" w:rsidTr="00F5402A">
        <w:tc>
          <w:tcPr>
            <w:tcW w:w="4531" w:type="dxa"/>
            <w:shd w:val="clear" w:color="auto" w:fill="auto"/>
            <w:vAlign w:val="center"/>
            <w:hideMark/>
          </w:tcPr>
          <w:p w14:paraId="6D1962C4" w14:textId="77777777" w:rsidR="003575C2" w:rsidRPr="00E43D41" w:rsidRDefault="003575C2" w:rsidP="00F943E7">
            <w:pPr>
              <w:pStyle w:val="a-I-EUBodytextsingle"/>
              <w:spacing w:line="276" w:lineRule="auto"/>
              <w:rPr>
                <w:lang w:val="fi-FI"/>
              </w:rPr>
            </w:pPr>
            <w:r w:rsidRPr="00E43D41">
              <w:t>STEINBEIS NETWORK</w:t>
            </w:r>
          </w:p>
        </w:tc>
        <w:tc>
          <w:tcPr>
            <w:tcW w:w="1134" w:type="dxa"/>
            <w:shd w:val="clear" w:color="auto" w:fill="auto"/>
            <w:vAlign w:val="center"/>
            <w:hideMark/>
          </w:tcPr>
          <w:p w14:paraId="01EEEA46" w14:textId="77777777" w:rsidR="003575C2" w:rsidRPr="00F216AA" w:rsidRDefault="003575C2" w:rsidP="00F943E7">
            <w:pPr>
              <w:pStyle w:val="a-I-EUBodytextsingle"/>
              <w:spacing w:line="276" w:lineRule="auto"/>
            </w:pPr>
            <w:r w:rsidRPr="00E43D41">
              <w:t> </w:t>
            </w:r>
          </w:p>
        </w:tc>
        <w:tc>
          <w:tcPr>
            <w:tcW w:w="709" w:type="dxa"/>
            <w:shd w:val="clear" w:color="auto" w:fill="auto"/>
            <w:vAlign w:val="center"/>
          </w:tcPr>
          <w:p w14:paraId="459E36A7" w14:textId="227AB6D4" w:rsidR="003575C2" w:rsidRPr="00F216AA" w:rsidRDefault="003575C2" w:rsidP="00F943E7">
            <w:pPr>
              <w:pStyle w:val="a-I-EUBodytextsingle"/>
              <w:spacing w:line="276" w:lineRule="auto"/>
            </w:pPr>
          </w:p>
        </w:tc>
        <w:tc>
          <w:tcPr>
            <w:tcW w:w="709" w:type="dxa"/>
            <w:shd w:val="clear" w:color="auto" w:fill="auto"/>
            <w:vAlign w:val="center"/>
            <w:hideMark/>
          </w:tcPr>
          <w:p w14:paraId="61A3797D" w14:textId="77777777" w:rsidR="003575C2" w:rsidRPr="00F216AA" w:rsidRDefault="003575C2" w:rsidP="00F943E7">
            <w:pPr>
              <w:pStyle w:val="a-I-EUBodytextsingle"/>
              <w:spacing w:line="276" w:lineRule="auto"/>
            </w:pPr>
            <w:r w:rsidRPr="00E43D41">
              <w:t> </w:t>
            </w:r>
          </w:p>
        </w:tc>
        <w:tc>
          <w:tcPr>
            <w:tcW w:w="709" w:type="dxa"/>
            <w:shd w:val="clear" w:color="auto" w:fill="auto"/>
            <w:vAlign w:val="center"/>
            <w:hideMark/>
          </w:tcPr>
          <w:p w14:paraId="57789291" w14:textId="77777777" w:rsidR="003575C2" w:rsidRPr="00F216AA" w:rsidRDefault="003575C2" w:rsidP="00F943E7">
            <w:pPr>
              <w:pStyle w:val="a-I-EUBodytextsingle"/>
              <w:spacing w:line="276" w:lineRule="auto"/>
            </w:pPr>
            <w:r w:rsidRPr="00E43D41">
              <w:t> </w:t>
            </w:r>
          </w:p>
        </w:tc>
        <w:tc>
          <w:tcPr>
            <w:tcW w:w="708" w:type="dxa"/>
            <w:shd w:val="clear" w:color="auto" w:fill="auto"/>
            <w:vAlign w:val="center"/>
            <w:hideMark/>
          </w:tcPr>
          <w:p w14:paraId="479B9C91" w14:textId="45BED5AD" w:rsidR="003575C2" w:rsidRPr="00F216AA" w:rsidRDefault="003575C2" w:rsidP="00F943E7">
            <w:pPr>
              <w:pStyle w:val="a-I-EUBodytextsingle"/>
              <w:spacing w:line="276" w:lineRule="auto"/>
            </w:pPr>
          </w:p>
        </w:tc>
        <w:tc>
          <w:tcPr>
            <w:tcW w:w="708" w:type="dxa"/>
            <w:shd w:val="clear" w:color="auto" w:fill="auto"/>
            <w:vAlign w:val="center"/>
            <w:hideMark/>
          </w:tcPr>
          <w:p w14:paraId="37D242FD" w14:textId="77777777" w:rsidR="003575C2" w:rsidRPr="00F216AA" w:rsidRDefault="003575C2" w:rsidP="00F943E7">
            <w:pPr>
              <w:pStyle w:val="a-I-EUBodytextsingle"/>
              <w:spacing w:line="276" w:lineRule="auto"/>
            </w:pPr>
            <w:r w:rsidRPr="00E43D41">
              <w:t> </w:t>
            </w:r>
          </w:p>
        </w:tc>
      </w:tr>
      <w:tr w:rsidR="003B407F" w:rsidRPr="00E43D41" w14:paraId="7EF60CDA" w14:textId="77777777" w:rsidTr="00F5402A">
        <w:tc>
          <w:tcPr>
            <w:tcW w:w="4531" w:type="dxa"/>
            <w:shd w:val="clear" w:color="auto" w:fill="auto"/>
            <w:vAlign w:val="center"/>
            <w:hideMark/>
          </w:tcPr>
          <w:p w14:paraId="582BD9A4" w14:textId="77777777" w:rsidR="003575C2" w:rsidRPr="00E43D41" w:rsidRDefault="003575C2" w:rsidP="00F943E7">
            <w:pPr>
              <w:pStyle w:val="a-I-EUBodytextsingle"/>
              <w:spacing w:line="276" w:lineRule="auto"/>
              <w:rPr>
                <w:lang w:val="fi-FI"/>
              </w:rPr>
            </w:pPr>
            <w:r w:rsidRPr="00E43D41">
              <w:t>SCALE UP DENMARK</w:t>
            </w:r>
          </w:p>
        </w:tc>
        <w:tc>
          <w:tcPr>
            <w:tcW w:w="1134" w:type="dxa"/>
            <w:shd w:val="clear" w:color="auto" w:fill="auto"/>
            <w:vAlign w:val="center"/>
            <w:hideMark/>
          </w:tcPr>
          <w:p w14:paraId="25493F1F" w14:textId="77777777" w:rsidR="003575C2" w:rsidRPr="00F216AA" w:rsidRDefault="003575C2" w:rsidP="00F943E7">
            <w:pPr>
              <w:pStyle w:val="a-I-EUBodytextsingle"/>
              <w:spacing w:line="276" w:lineRule="auto"/>
            </w:pPr>
            <w:r w:rsidRPr="00E43D41">
              <w:t> </w:t>
            </w:r>
          </w:p>
        </w:tc>
        <w:tc>
          <w:tcPr>
            <w:tcW w:w="709" w:type="dxa"/>
            <w:shd w:val="clear" w:color="auto" w:fill="auto"/>
            <w:vAlign w:val="center"/>
          </w:tcPr>
          <w:p w14:paraId="06075A3D" w14:textId="58C4ADCB" w:rsidR="003575C2" w:rsidRPr="00F216AA" w:rsidRDefault="003575C2" w:rsidP="00F943E7">
            <w:pPr>
              <w:pStyle w:val="a-I-EUBodytextsingle"/>
              <w:spacing w:line="276" w:lineRule="auto"/>
            </w:pPr>
          </w:p>
        </w:tc>
        <w:tc>
          <w:tcPr>
            <w:tcW w:w="709" w:type="dxa"/>
            <w:shd w:val="clear" w:color="auto" w:fill="auto"/>
            <w:vAlign w:val="center"/>
            <w:hideMark/>
          </w:tcPr>
          <w:p w14:paraId="631D7EB2" w14:textId="77777777" w:rsidR="003575C2" w:rsidRPr="00F216AA" w:rsidRDefault="003575C2" w:rsidP="00F943E7">
            <w:pPr>
              <w:pStyle w:val="a-I-EUBodytextsingle"/>
              <w:spacing w:line="276" w:lineRule="auto"/>
            </w:pPr>
            <w:r w:rsidRPr="00E43D41">
              <w:t> </w:t>
            </w:r>
          </w:p>
        </w:tc>
        <w:tc>
          <w:tcPr>
            <w:tcW w:w="709" w:type="dxa"/>
            <w:shd w:val="clear" w:color="auto" w:fill="auto"/>
            <w:vAlign w:val="center"/>
            <w:hideMark/>
          </w:tcPr>
          <w:p w14:paraId="7D9256C4" w14:textId="77777777" w:rsidR="003575C2" w:rsidRPr="00F216AA" w:rsidRDefault="003575C2" w:rsidP="00F943E7">
            <w:pPr>
              <w:pStyle w:val="a-I-EUBodytextsingle"/>
              <w:spacing w:line="276" w:lineRule="auto"/>
            </w:pPr>
            <w:r w:rsidRPr="00E43D41">
              <w:t> </w:t>
            </w:r>
          </w:p>
        </w:tc>
        <w:tc>
          <w:tcPr>
            <w:tcW w:w="708" w:type="dxa"/>
            <w:shd w:val="clear" w:color="auto" w:fill="auto"/>
            <w:vAlign w:val="center"/>
            <w:hideMark/>
          </w:tcPr>
          <w:p w14:paraId="721790D1" w14:textId="77777777" w:rsidR="003575C2" w:rsidRPr="00F216AA" w:rsidRDefault="003575C2" w:rsidP="00F943E7">
            <w:pPr>
              <w:pStyle w:val="a-I-EUBodytextsingle"/>
              <w:spacing w:line="276" w:lineRule="auto"/>
            </w:pPr>
            <w:r w:rsidRPr="00E43D41">
              <w:t> </w:t>
            </w:r>
          </w:p>
        </w:tc>
        <w:tc>
          <w:tcPr>
            <w:tcW w:w="708" w:type="dxa"/>
            <w:shd w:val="clear" w:color="auto" w:fill="auto"/>
            <w:vAlign w:val="center"/>
            <w:hideMark/>
          </w:tcPr>
          <w:p w14:paraId="0D1B8642" w14:textId="77777777" w:rsidR="003575C2" w:rsidRPr="00F216AA" w:rsidRDefault="003575C2" w:rsidP="00F943E7">
            <w:pPr>
              <w:pStyle w:val="a-I-EUBodytextsingle"/>
              <w:spacing w:line="276" w:lineRule="auto"/>
            </w:pPr>
            <w:r w:rsidRPr="00E43D41">
              <w:t> </w:t>
            </w:r>
          </w:p>
        </w:tc>
      </w:tr>
      <w:tr w:rsidR="00554978" w:rsidRPr="00E43D41" w14:paraId="32EE66A2" w14:textId="77777777" w:rsidTr="00F5402A">
        <w:tc>
          <w:tcPr>
            <w:tcW w:w="4531" w:type="dxa"/>
            <w:shd w:val="clear" w:color="auto" w:fill="auto"/>
            <w:vAlign w:val="center"/>
            <w:hideMark/>
          </w:tcPr>
          <w:p w14:paraId="40580D51" w14:textId="77777777" w:rsidR="003575C2" w:rsidRPr="00E43D41" w:rsidRDefault="003575C2" w:rsidP="00F943E7">
            <w:pPr>
              <w:pStyle w:val="a-I-EUBodytextsingle"/>
              <w:spacing w:line="276" w:lineRule="auto"/>
              <w:rPr>
                <w:lang w:val="fi-FI"/>
              </w:rPr>
            </w:pPr>
            <w:r w:rsidRPr="00E43D41">
              <w:t>Bank of patents</w:t>
            </w:r>
          </w:p>
        </w:tc>
        <w:tc>
          <w:tcPr>
            <w:tcW w:w="1134" w:type="dxa"/>
            <w:shd w:val="clear" w:color="auto" w:fill="auto"/>
            <w:vAlign w:val="center"/>
            <w:hideMark/>
          </w:tcPr>
          <w:p w14:paraId="0D03BBAA" w14:textId="77777777" w:rsidR="003575C2" w:rsidRPr="00F216AA" w:rsidRDefault="003575C2" w:rsidP="00F943E7">
            <w:pPr>
              <w:pStyle w:val="a-I-EUBodytextsingle"/>
              <w:spacing w:line="276" w:lineRule="auto"/>
            </w:pPr>
            <w:r w:rsidRPr="00E43D41">
              <w:t> </w:t>
            </w:r>
          </w:p>
        </w:tc>
        <w:tc>
          <w:tcPr>
            <w:tcW w:w="709" w:type="dxa"/>
            <w:shd w:val="clear" w:color="auto" w:fill="auto"/>
            <w:vAlign w:val="center"/>
            <w:hideMark/>
          </w:tcPr>
          <w:p w14:paraId="63431710" w14:textId="77777777" w:rsidR="003575C2" w:rsidRPr="00F216AA" w:rsidRDefault="003575C2" w:rsidP="00F943E7">
            <w:pPr>
              <w:pStyle w:val="a-I-EUBodytextsingle"/>
              <w:spacing w:line="276" w:lineRule="auto"/>
            </w:pPr>
            <w:r w:rsidRPr="00E43D41">
              <w:t> </w:t>
            </w:r>
          </w:p>
        </w:tc>
        <w:tc>
          <w:tcPr>
            <w:tcW w:w="709" w:type="dxa"/>
            <w:shd w:val="clear" w:color="auto" w:fill="auto"/>
            <w:vAlign w:val="center"/>
            <w:hideMark/>
          </w:tcPr>
          <w:p w14:paraId="1FD8A465" w14:textId="51B5F8B9" w:rsidR="003575C2" w:rsidRPr="00F216AA" w:rsidRDefault="00435F9D" w:rsidP="00F943E7">
            <w:pPr>
              <w:pStyle w:val="a-I-EUBodytextsingle"/>
              <w:spacing w:line="276" w:lineRule="auto"/>
            </w:pPr>
            <w:r>
              <w:t>1</w:t>
            </w:r>
            <w:r w:rsidR="003575C2" w:rsidRPr="00E43D41">
              <w:t> </w:t>
            </w:r>
          </w:p>
        </w:tc>
        <w:tc>
          <w:tcPr>
            <w:tcW w:w="709" w:type="dxa"/>
            <w:shd w:val="clear" w:color="auto" w:fill="auto"/>
            <w:vAlign w:val="center"/>
            <w:hideMark/>
          </w:tcPr>
          <w:p w14:paraId="55277987" w14:textId="77777777" w:rsidR="003575C2" w:rsidRPr="00F216AA" w:rsidRDefault="003575C2" w:rsidP="00F943E7">
            <w:pPr>
              <w:pStyle w:val="a-I-EUBodytextsingle"/>
              <w:spacing w:line="276" w:lineRule="auto"/>
            </w:pPr>
            <w:r w:rsidRPr="00E43D41">
              <w:t> </w:t>
            </w:r>
          </w:p>
        </w:tc>
        <w:tc>
          <w:tcPr>
            <w:tcW w:w="708" w:type="dxa"/>
            <w:shd w:val="clear" w:color="auto" w:fill="auto"/>
            <w:vAlign w:val="center"/>
            <w:hideMark/>
          </w:tcPr>
          <w:p w14:paraId="666E0AC7" w14:textId="77777777" w:rsidR="003575C2" w:rsidRPr="00F216AA" w:rsidRDefault="003575C2" w:rsidP="00F943E7">
            <w:pPr>
              <w:pStyle w:val="a-I-EUBodytextsingle"/>
              <w:spacing w:line="276" w:lineRule="auto"/>
            </w:pPr>
            <w:r w:rsidRPr="00E43D41">
              <w:t> </w:t>
            </w:r>
          </w:p>
        </w:tc>
        <w:tc>
          <w:tcPr>
            <w:tcW w:w="708" w:type="dxa"/>
            <w:shd w:val="clear" w:color="auto" w:fill="auto"/>
            <w:vAlign w:val="center"/>
            <w:hideMark/>
          </w:tcPr>
          <w:p w14:paraId="26A07339" w14:textId="77777777" w:rsidR="003575C2" w:rsidRPr="00F216AA" w:rsidRDefault="003575C2" w:rsidP="00F943E7">
            <w:pPr>
              <w:pStyle w:val="a-I-EUBodytextsingle"/>
              <w:spacing w:line="276" w:lineRule="auto"/>
            </w:pPr>
            <w:r w:rsidRPr="00E43D41">
              <w:t> </w:t>
            </w:r>
          </w:p>
        </w:tc>
      </w:tr>
      <w:tr w:rsidR="003B407F" w:rsidRPr="00E43D41" w14:paraId="37ACF917" w14:textId="77777777" w:rsidTr="00F5402A">
        <w:trPr>
          <w:trHeight w:val="217"/>
        </w:trPr>
        <w:tc>
          <w:tcPr>
            <w:tcW w:w="4531" w:type="dxa"/>
            <w:vMerge w:val="restart"/>
            <w:shd w:val="clear" w:color="auto" w:fill="auto"/>
            <w:vAlign w:val="center"/>
            <w:hideMark/>
          </w:tcPr>
          <w:p w14:paraId="7EE4361B" w14:textId="77777777" w:rsidR="003575C2" w:rsidRPr="00E43D41" w:rsidRDefault="003575C2" w:rsidP="00F943E7">
            <w:pPr>
              <w:pStyle w:val="a-I-EUBodytextsingle"/>
              <w:spacing w:line="276" w:lineRule="auto"/>
              <w:rPr>
                <w:lang w:val="fi-FI"/>
              </w:rPr>
            </w:pPr>
            <w:r w:rsidRPr="00E43D41">
              <w:t>Unit of Measurement Technology (MITY) - University of Oulu, as regional specilisation infrastructure</w:t>
            </w:r>
          </w:p>
        </w:tc>
        <w:tc>
          <w:tcPr>
            <w:tcW w:w="1134" w:type="dxa"/>
            <w:vMerge w:val="restart"/>
            <w:shd w:val="clear" w:color="auto" w:fill="auto"/>
            <w:vAlign w:val="center"/>
          </w:tcPr>
          <w:p w14:paraId="13FCA12C" w14:textId="1B260B20" w:rsidR="003575C2" w:rsidRPr="00F216AA" w:rsidRDefault="003575C2" w:rsidP="00F943E7">
            <w:pPr>
              <w:pStyle w:val="a-I-EUBodytextsingle"/>
              <w:spacing w:line="276" w:lineRule="auto"/>
            </w:pPr>
          </w:p>
        </w:tc>
        <w:tc>
          <w:tcPr>
            <w:tcW w:w="709" w:type="dxa"/>
            <w:vMerge w:val="restart"/>
            <w:shd w:val="clear" w:color="auto" w:fill="auto"/>
            <w:vAlign w:val="center"/>
          </w:tcPr>
          <w:p w14:paraId="5DBFD618" w14:textId="60D65FCC" w:rsidR="003575C2" w:rsidRPr="00F216AA" w:rsidRDefault="003575C2" w:rsidP="00F943E7">
            <w:pPr>
              <w:pStyle w:val="a-I-EUBodytextsingle"/>
              <w:spacing w:line="276" w:lineRule="auto"/>
            </w:pPr>
          </w:p>
        </w:tc>
        <w:tc>
          <w:tcPr>
            <w:tcW w:w="709" w:type="dxa"/>
            <w:vMerge w:val="restart"/>
            <w:shd w:val="clear" w:color="auto" w:fill="auto"/>
            <w:vAlign w:val="center"/>
          </w:tcPr>
          <w:p w14:paraId="23855101" w14:textId="0C4C293A" w:rsidR="003575C2" w:rsidRPr="00F216AA" w:rsidRDefault="003575C2" w:rsidP="00F943E7">
            <w:pPr>
              <w:pStyle w:val="a-I-EUBodytextsingle"/>
              <w:spacing w:line="276" w:lineRule="auto"/>
            </w:pPr>
          </w:p>
        </w:tc>
        <w:tc>
          <w:tcPr>
            <w:tcW w:w="709" w:type="dxa"/>
            <w:vMerge w:val="restart"/>
            <w:shd w:val="clear" w:color="auto" w:fill="auto"/>
            <w:vAlign w:val="center"/>
            <w:hideMark/>
          </w:tcPr>
          <w:p w14:paraId="4C81579F" w14:textId="77777777" w:rsidR="003575C2" w:rsidRPr="00F216AA" w:rsidRDefault="003575C2" w:rsidP="00F943E7">
            <w:pPr>
              <w:pStyle w:val="a-I-EUBodytextsingle"/>
              <w:spacing w:line="276" w:lineRule="auto"/>
            </w:pPr>
            <w:r w:rsidRPr="00F216AA">
              <w:t> </w:t>
            </w:r>
          </w:p>
        </w:tc>
        <w:tc>
          <w:tcPr>
            <w:tcW w:w="708" w:type="dxa"/>
            <w:vMerge w:val="restart"/>
            <w:shd w:val="clear" w:color="auto" w:fill="auto"/>
            <w:vAlign w:val="center"/>
            <w:hideMark/>
          </w:tcPr>
          <w:p w14:paraId="190B5AD0" w14:textId="77777777" w:rsidR="003575C2" w:rsidRPr="00F216AA" w:rsidRDefault="003575C2" w:rsidP="00F943E7">
            <w:pPr>
              <w:pStyle w:val="a-I-EUBodytextsingle"/>
              <w:spacing w:line="276" w:lineRule="auto"/>
            </w:pPr>
            <w:r w:rsidRPr="00F216AA">
              <w:t> </w:t>
            </w:r>
          </w:p>
        </w:tc>
        <w:tc>
          <w:tcPr>
            <w:tcW w:w="708" w:type="dxa"/>
            <w:vMerge w:val="restart"/>
            <w:shd w:val="clear" w:color="auto" w:fill="auto"/>
            <w:vAlign w:val="center"/>
            <w:hideMark/>
          </w:tcPr>
          <w:p w14:paraId="63A78E30" w14:textId="77777777" w:rsidR="003575C2" w:rsidRPr="00F216AA" w:rsidRDefault="003575C2" w:rsidP="00F943E7">
            <w:pPr>
              <w:pStyle w:val="a-I-EUBodytextsingle"/>
              <w:spacing w:line="276" w:lineRule="auto"/>
            </w:pPr>
            <w:r w:rsidRPr="00F216AA">
              <w:t> </w:t>
            </w:r>
          </w:p>
        </w:tc>
      </w:tr>
      <w:tr w:rsidR="003B407F" w:rsidRPr="00E43D41" w14:paraId="23EF22C4" w14:textId="77777777" w:rsidTr="00F5402A">
        <w:trPr>
          <w:trHeight w:val="217"/>
        </w:trPr>
        <w:tc>
          <w:tcPr>
            <w:tcW w:w="4531" w:type="dxa"/>
            <w:vMerge/>
            <w:vAlign w:val="center"/>
            <w:hideMark/>
          </w:tcPr>
          <w:p w14:paraId="01DCC5D8" w14:textId="77777777" w:rsidR="003575C2" w:rsidRPr="00E43D41" w:rsidRDefault="003575C2" w:rsidP="00F943E7">
            <w:pPr>
              <w:pStyle w:val="a-I-EUBodytextsingle"/>
              <w:spacing w:line="276" w:lineRule="auto"/>
              <w:rPr>
                <w:lang w:val="fi-FI"/>
              </w:rPr>
            </w:pPr>
          </w:p>
        </w:tc>
        <w:tc>
          <w:tcPr>
            <w:tcW w:w="1134" w:type="dxa"/>
            <w:vMerge/>
            <w:vAlign w:val="center"/>
          </w:tcPr>
          <w:p w14:paraId="0D9EA4D2" w14:textId="77777777" w:rsidR="003575C2" w:rsidRPr="00F216AA" w:rsidRDefault="003575C2" w:rsidP="00F943E7">
            <w:pPr>
              <w:pStyle w:val="a-I-EUBodytextsingle"/>
              <w:spacing w:line="276" w:lineRule="auto"/>
            </w:pPr>
          </w:p>
        </w:tc>
        <w:tc>
          <w:tcPr>
            <w:tcW w:w="709" w:type="dxa"/>
            <w:vMerge/>
            <w:vAlign w:val="center"/>
          </w:tcPr>
          <w:p w14:paraId="1A25CC5C" w14:textId="77777777" w:rsidR="003575C2" w:rsidRPr="00F216AA" w:rsidRDefault="003575C2" w:rsidP="00F943E7">
            <w:pPr>
              <w:pStyle w:val="a-I-EUBodytextsingle"/>
              <w:spacing w:line="276" w:lineRule="auto"/>
            </w:pPr>
          </w:p>
        </w:tc>
        <w:tc>
          <w:tcPr>
            <w:tcW w:w="709" w:type="dxa"/>
            <w:vMerge/>
            <w:vAlign w:val="center"/>
          </w:tcPr>
          <w:p w14:paraId="371D9527" w14:textId="77777777" w:rsidR="003575C2" w:rsidRPr="00F216AA" w:rsidRDefault="003575C2" w:rsidP="00F943E7">
            <w:pPr>
              <w:pStyle w:val="a-I-EUBodytextsingle"/>
              <w:spacing w:line="276" w:lineRule="auto"/>
            </w:pPr>
          </w:p>
        </w:tc>
        <w:tc>
          <w:tcPr>
            <w:tcW w:w="709" w:type="dxa"/>
            <w:vMerge/>
            <w:vAlign w:val="center"/>
            <w:hideMark/>
          </w:tcPr>
          <w:p w14:paraId="04EFC7B2" w14:textId="77777777" w:rsidR="003575C2" w:rsidRPr="00F216AA" w:rsidRDefault="003575C2" w:rsidP="00F943E7">
            <w:pPr>
              <w:pStyle w:val="a-I-EUBodytextsingle"/>
              <w:spacing w:line="276" w:lineRule="auto"/>
            </w:pPr>
          </w:p>
        </w:tc>
        <w:tc>
          <w:tcPr>
            <w:tcW w:w="708" w:type="dxa"/>
            <w:vMerge/>
            <w:vAlign w:val="center"/>
            <w:hideMark/>
          </w:tcPr>
          <w:p w14:paraId="7DCCB8EC" w14:textId="77777777" w:rsidR="003575C2" w:rsidRPr="00F216AA" w:rsidRDefault="003575C2" w:rsidP="00F943E7">
            <w:pPr>
              <w:pStyle w:val="a-I-EUBodytextsingle"/>
              <w:spacing w:line="276" w:lineRule="auto"/>
            </w:pPr>
          </w:p>
        </w:tc>
        <w:tc>
          <w:tcPr>
            <w:tcW w:w="708" w:type="dxa"/>
            <w:vMerge/>
            <w:vAlign w:val="center"/>
            <w:hideMark/>
          </w:tcPr>
          <w:p w14:paraId="31DF3DF5" w14:textId="77777777" w:rsidR="003575C2" w:rsidRPr="00F216AA" w:rsidRDefault="003575C2" w:rsidP="00F943E7">
            <w:pPr>
              <w:pStyle w:val="a-I-EUBodytextsingle"/>
              <w:spacing w:line="276" w:lineRule="auto"/>
            </w:pPr>
          </w:p>
        </w:tc>
      </w:tr>
      <w:tr w:rsidR="003B407F" w:rsidRPr="00E43D41" w14:paraId="498BDF57" w14:textId="77777777" w:rsidTr="00F5402A">
        <w:tc>
          <w:tcPr>
            <w:tcW w:w="4531" w:type="dxa"/>
            <w:shd w:val="clear" w:color="auto" w:fill="auto"/>
            <w:vAlign w:val="center"/>
            <w:hideMark/>
          </w:tcPr>
          <w:p w14:paraId="28158C86" w14:textId="77777777" w:rsidR="003575C2" w:rsidRPr="00E43D41" w:rsidRDefault="003575C2" w:rsidP="00F943E7">
            <w:pPr>
              <w:pStyle w:val="a-I-EUBodytextsingle"/>
              <w:spacing w:line="276" w:lineRule="auto"/>
              <w:rPr>
                <w:lang w:val="fi-FI"/>
              </w:rPr>
            </w:pPr>
            <w:r w:rsidRPr="00E43D41">
              <w:t>Novel product in dairy and wineries using herbs</w:t>
            </w:r>
          </w:p>
        </w:tc>
        <w:tc>
          <w:tcPr>
            <w:tcW w:w="1134" w:type="dxa"/>
            <w:shd w:val="clear" w:color="auto" w:fill="auto"/>
            <w:vAlign w:val="center"/>
          </w:tcPr>
          <w:p w14:paraId="5DBCC9EB" w14:textId="2EF78A96" w:rsidR="003575C2" w:rsidRPr="00F216AA" w:rsidRDefault="003575C2" w:rsidP="00F943E7">
            <w:pPr>
              <w:pStyle w:val="a-I-EUBodytextsingle"/>
              <w:spacing w:line="276" w:lineRule="auto"/>
            </w:pPr>
          </w:p>
        </w:tc>
        <w:tc>
          <w:tcPr>
            <w:tcW w:w="709" w:type="dxa"/>
            <w:shd w:val="clear" w:color="auto" w:fill="auto"/>
            <w:vAlign w:val="center"/>
          </w:tcPr>
          <w:p w14:paraId="2E9B2306" w14:textId="25BF178F" w:rsidR="003575C2" w:rsidRPr="00F216AA" w:rsidRDefault="003575C2" w:rsidP="00F943E7">
            <w:pPr>
              <w:pStyle w:val="a-I-EUBodytextsingle"/>
              <w:spacing w:line="276" w:lineRule="auto"/>
            </w:pPr>
          </w:p>
        </w:tc>
        <w:tc>
          <w:tcPr>
            <w:tcW w:w="709" w:type="dxa"/>
            <w:shd w:val="clear" w:color="auto" w:fill="auto"/>
            <w:vAlign w:val="center"/>
          </w:tcPr>
          <w:p w14:paraId="109B712D" w14:textId="1D858153" w:rsidR="003575C2" w:rsidRPr="00F216AA" w:rsidRDefault="003575C2" w:rsidP="00F943E7">
            <w:pPr>
              <w:pStyle w:val="a-I-EUBodytextsingle"/>
              <w:spacing w:line="276" w:lineRule="auto"/>
            </w:pPr>
          </w:p>
        </w:tc>
        <w:tc>
          <w:tcPr>
            <w:tcW w:w="709" w:type="dxa"/>
            <w:shd w:val="clear" w:color="auto" w:fill="auto"/>
            <w:vAlign w:val="center"/>
            <w:hideMark/>
          </w:tcPr>
          <w:p w14:paraId="36519694" w14:textId="77777777" w:rsidR="003575C2" w:rsidRPr="00F216AA" w:rsidRDefault="003575C2" w:rsidP="00F943E7">
            <w:pPr>
              <w:pStyle w:val="a-I-EUBodytextsingle"/>
              <w:spacing w:line="276" w:lineRule="auto"/>
            </w:pPr>
            <w:r w:rsidRPr="00E43D41">
              <w:t> </w:t>
            </w:r>
          </w:p>
        </w:tc>
        <w:tc>
          <w:tcPr>
            <w:tcW w:w="708" w:type="dxa"/>
            <w:shd w:val="clear" w:color="auto" w:fill="auto"/>
            <w:vAlign w:val="center"/>
            <w:hideMark/>
          </w:tcPr>
          <w:p w14:paraId="730A6D53" w14:textId="77777777" w:rsidR="003575C2" w:rsidRPr="00F216AA" w:rsidRDefault="003575C2" w:rsidP="00F943E7">
            <w:pPr>
              <w:pStyle w:val="a-I-EUBodytextsingle"/>
              <w:spacing w:line="276" w:lineRule="auto"/>
            </w:pPr>
            <w:r w:rsidRPr="00E43D41">
              <w:t> </w:t>
            </w:r>
          </w:p>
        </w:tc>
        <w:tc>
          <w:tcPr>
            <w:tcW w:w="708" w:type="dxa"/>
            <w:shd w:val="clear" w:color="auto" w:fill="auto"/>
            <w:vAlign w:val="center"/>
            <w:hideMark/>
          </w:tcPr>
          <w:p w14:paraId="721106E1" w14:textId="77777777" w:rsidR="003575C2" w:rsidRPr="00F216AA" w:rsidRDefault="003575C2" w:rsidP="00F943E7">
            <w:pPr>
              <w:pStyle w:val="a-I-EUBodytextsingle"/>
              <w:spacing w:line="276" w:lineRule="auto"/>
            </w:pPr>
            <w:r w:rsidRPr="00E43D41">
              <w:t> </w:t>
            </w:r>
          </w:p>
        </w:tc>
      </w:tr>
      <w:tr w:rsidR="003B407F" w:rsidRPr="00E43D41" w14:paraId="54136AC6" w14:textId="77777777" w:rsidTr="00F5402A">
        <w:tc>
          <w:tcPr>
            <w:tcW w:w="4531" w:type="dxa"/>
            <w:shd w:val="clear" w:color="auto" w:fill="auto"/>
            <w:vAlign w:val="center"/>
            <w:hideMark/>
          </w:tcPr>
          <w:p w14:paraId="1603D61D" w14:textId="77777777" w:rsidR="003575C2" w:rsidRPr="00E43D41" w:rsidRDefault="003575C2" w:rsidP="00F943E7">
            <w:pPr>
              <w:pStyle w:val="a-I-EUBodytextsingle"/>
              <w:spacing w:line="276" w:lineRule="auto"/>
              <w:rPr>
                <w:lang w:val="fi-FI"/>
              </w:rPr>
            </w:pPr>
            <w:r w:rsidRPr="00E43D41">
              <w:t>«DIOFARM» - PROMIXTURE OF FEED ADDITIVES: R2B &amp; B2B collaboration between Dioscurides and Greek Honey “Attiki -Pittas”</w:t>
            </w:r>
          </w:p>
        </w:tc>
        <w:tc>
          <w:tcPr>
            <w:tcW w:w="1134" w:type="dxa"/>
            <w:shd w:val="clear" w:color="auto" w:fill="auto"/>
            <w:vAlign w:val="center"/>
          </w:tcPr>
          <w:p w14:paraId="2C39D148" w14:textId="3366080E" w:rsidR="003575C2" w:rsidRPr="00F216AA" w:rsidRDefault="003575C2" w:rsidP="00F943E7">
            <w:pPr>
              <w:pStyle w:val="a-I-EUBodytextsingle"/>
              <w:spacing w:line="276" w:lineRule="auto"/>
            </w:pPr>
          </w:p>
        </w:tc>
        <w:tc>
          <w:tcPr>
            <w:tcW w:w="709" w:type="dxa"/>
            <w:shd w:val="clear" w:color="auto" w:fill="auto"/>
            <w:vAlign w:val="center"/>
          </w:tcPr>
          <w:p w14:paraId="411E7A38" w14:textId="4D50E4CA" w:rsidR="003575C2" w:rsidRPr="00F216AA" w:rsidRDefault="003575C2" w:rsidP="00F943E7">
            <w:pPr>
              <w:pStyle w:val="a-I-EUBodytextsingle"/>
              <w:spacing w:line="276" w:lineRule="auto"/>
            </w:pPr>
          </w:p>
        </w:tc>
        <w:tc>
          <w:tcPr>
            <w:tcW w:w="709" w:type="dxa"/>
            <w:shd w:val="clear" w:color="auto" w:fill="auto"/>
            <w:vAlign w:val="center"/>
          </w:tcPr>
          <w:p w14:paraId="49437FA0" w14:textId="698C7AD3" w:rsidR="003575C2" w:rsidRPr="00F216AA" w:rsidRDefault="003575C2" w:rsidP="00F943E7">
            <w:pPr>
              <w:pStyle w:val="a-I-EUBodytextsingle"/>
              <w:spacing w:line="276" w:lineRule="auto"/>
            </w:pPr>
          </w:p>
        </w:tc>
        <w:tc>
          <w:tcPr>
            <w:tcW w:w="709" w:type="dxa"/>
            <w:shd w:val="clear" w:color="auto" w:fill="auto"/>
            <w:vAlign w:val="center"/>
            <w:hideMark/>
          </w:tcPr>
          <w:p w14:paraId="3D83E954" w14:textId="77777777" w:rsidR="003575C2" w:rsidRPr="00F216AA" w:rsidRDefault="003575C2" w:rsidP="00F943E7">
            <w:pPr>
              <w:pStyle w:val="a-I-EUBodytextsingle"/>
              <w:spacing w:line="276" w:lineRule="auto"/>
            </w:pPr>
            <w:r w:rsidRPr="00E43D41">
              <w:t> </w:t>
            </w:r>
          </w:p>
        </w:tc>
        <w:tc>
          <w:tcPr>
            <w:tcW w:w="708" w:type="dxa"/>
            <w:shd w:val="clear" w:color="auto" w:fill="auto"/>
            <w:vAlign w:val="center"/>
            <w:hideMark/>
          </w:tcPr>
          <w:p w14:paraId="089B0AF1" w14:textId="77777777" w:rsidR="003575C2" w:rsidRPr="00F216AA" w:rsidRDefault="003575C2" w:rsidP="00F943E7">
            <w:pPr>
              <w:pStyle w:val="a-I-EUBodytextsingle"/>
              <w:spacing w:line="276" w:lineRule="auto"/>
            </w:pPr>
            <w:r w:rsidRPr="00E43D41">
              <w:t> </w:t>
            </w:r>
          </w:p>
        </w:tc>
        <w:tc>
          <w:tcPr>
            <w:tcW w:w="708" w:type="dxa"/>
            <w:shd w:val="clear" w:color="auto" w:fill="auto"/>
            <w:vAlign w:val="center"/>
            <w:hideMark/>
          </w:tcPr>
          <w:p w14:paraId="3EFF87B5" w14:textId="77777777" w:rsidR="003575C2" w:rsidRPr="00F216AA" w:rsidRDefault="003575C2" w:rsidP="00F943E7">
            <w:pPr>
              <w:pStyle w:val="a-I-EUBodytextsingle"/>
              <w:spacing w:line="276" w:lineRule="auto"/>
            </w:pPr>
            <w:r w:rsidRPr="00E43D41">
              <w:t> </w:t>
            </w:r>
          </w:p>
        </w:tc>
      </w:tr>
      <w:tr w:rsidR="003B407F" w:rsidRPr="00E43D41" w14:paraId="1EC832D3" w14:textId="77777777" w:rsidTr="00F5402A">
        <w:tc>
          <w:tcPr>
            <w:tcW w:w="4531" w:type="dxa"/>
            <w:shd w:val="clear" w:color="auto" w:fill="auto"/>
            <w:vAlign w:val="center"/>
            <w:hideMark/>
          </w:tcPr>
          <w:p w14:paraId="07F41A21" w14:textId="77777777" w:rsidR="003575C2" w:rsidRPr="00E43D41" w:rsidRDefault="003575C2" w:rsidP="00F943E7">
            <w:pPr>
              <w:pStyle w:val="a-I-EUBodytextsingle"/>
              <w:spacing w:line="276" w:lineRule="auto"/>
              <w:rPr>
                <w:lang w:val="fi-FI"/>
              </w:rPr>
            </w:pPr>
            <w:r w:rsidRPr="00E43D41">
              <w:t>IntoA! Lean Business</w:t>
            </w:r>
          </w:p>
        </w:tc>
        <w:tc>
          <w:tcPr>
            <w:tcW w:w="1134" w:type="dxa"/>
            <w:shd w:val="clear" w:color="auto" w:fill="auto"/>
            <w:vAlign w:val="center"/>
          </w:tcPr>
          <w:p w14:paraId="3A9B228E" w14:textId="36099C29" w:rsidR="003575C2" w:rsidRPr="00F216AA" w:rsidRDefault="003575C2" w:rsidP="00F943E7">
            <w:pPr>
              <w:pStyle w:val="a-I-EUBodytextsingle"/>
              <w:spacing w:line="276" w:lineRule="auto"/>
            </w:pPr>
          </w:p>
        </w:tc>
        <w:tc>
          <w:tcPr>
            <w:tcW w:w="709" w:type="dxa"/>
            <w:shd w:val="clear" w:color="auto" w:fill="auto"/>
            <w:vAlign w:val="center"/>
          </w:tcPr>
          <w:p w14:paraId="6C896EC2" w14:textId="4A6F973B" w:rsidR="003575C2" w:rsidRPr="00F216AA" w:rsidRDefault="003575C2" w:rsidP="00F943E7">
            <w:pPr>
              <w:pStyle w:val="a-I-EUBodytextsingle"/>
              <w:spacing w:line="276" w:lineRule="auto"/>
            </w:pPr>
          </w:p>
        </w:tc>
        <w:tc>
          <w:tcPr>
            <w:tcW w:w="709" w:type="dxa"/>
            <w:shd w:val="clear" w:color="auto" w:fill="auto"/>
            <w:vAlign w:val="center"/>
          </w:tcPr>
          <w:p w14:paraId="6F6B0C1F" w14:textId="6C4FBF6D" w:rsidR="003575C2" w:rsidRPr="00F216AA" w:rsidRDefault="003575C2" w:rsidP="00F943E7">
            <w:pPr>
              <w:pStyle w:val="a-I-EUBodytextsingle"/>
              <w:spacing w:line="276" w:lineRule="auto"/>
            </w:pPr>
          </w:p>
        </w:tc>
        <w:tc>
          <w:tcPr>
            <w:tcW w:w="709" w:type="dxa"/>
            <w:shd w:val="clear" w:color="auto" w:fill="auto"/>
            <w:vAlign w:val="center"/>
            <w:hideMark/>
          </w:tcPr>
          <w:p w14:paraId="78BD0701" w14:textId="77777777" w:rsidR="003575C2" w:rsidRPr="00F216AA" w:rsidRDefault="003575C2" w:rsidP="00F943E7">
            <w:pPr>
              <w:pStyle w:val="a-I-EUBodytextsingle"/>
              <w:spacing w:line="276" w:lineRule="auto"/>
            </w:pPr>
            <w:r w:rsidRPr="00E43D41">
              <w:t> </w:t>
            </w:r>
          </w:p>
        </w:tc>
        <w:tc>
          <w:tcPr>
            <w:tcW w:w="708" w:type="dxa"/>
            <w:shd w:val="clear" w:color="auto" w:fill="auto"/>
            <w:vAlign w:val="center"/>
            <w:hideMark/>
          </w:tcPr>
          <w:p w14:paraId="06C2BA69" w14:textId="77777777" w:rsidR="003575C2" w:rsidRPr="00F216AA" w:rsidRDefault="003575C2" w:rsidP="00F943E7">
            <w:pPr>
              <w:pStyle w:val="a-I-EUBodytextsingle"/>
              <w:spacing w:line="276" w:lineRule="auto"/>
            </w:pPr>
            <w:r w:rsidRPr="00E43D41">
              <w:t> </w:t>
            </w:r>
          </w:p>
        </w:tc>
        <w:tc>
          <w:tcPr>
            <w:tcW w:w="708" w:type="dxa"/>
            <w:shd w:val="clear" w:color="auto" w:fill="auto"/>
            <w:vAlign w:val="center"/>
            <w:hideMark/>
          </w:tcPr>
          <w:p w14:paraId="77760A29" w14:textId="77777777" w:rsidR="003575C2" w:rsidRPr="00F216AA" w:rsidRDefault="003575C2" w:rsidP="00F943E7">
            <w:pPr>
              <w:pStyle w:val="a-I-EUBodytextsingle"/>
              <w:spacing w:line="276" w:lineRule="auto"/>
            </w:pPr>
            <w:r w:rsidRPr="00E43D41">
              <w:t> </w:t>
            </w:r>
          </w:p>
        </w:tc>
      </w:tr>
      <w:tr w:rsidR="0045259B" w:rsidRPr="00554978" w14:paraId="2F83F141" w14:textId="77777777" w:rsidTr="00F5402A">
        <w:tc>
          <w:tcPr>
            <w:tcW w:w="4531" w:type="dxa"/>
            <w:shd w:val="clear" w:color="auto" w:fill="auto"/>
            <w:vAlign w:val="center"/>
            <w:hideMark/>
          </w:tcPr>
          <w:p w14:paraId="01528293" w14:textId="77777777" w:rsidR="003575C2" w:rsidRPr="00554978" w:rsidRDefault="003575C2" w:rsidP="00F943E7">
            <w:pPr>
              <w:pStyle w:val="a-I-EUBodytextsingle"/>
              <w:spacing w:line="276" w:lineRule="auto"/>
            </w:pPr>
            <w:r w:rsidRPr="00554978">
              <w:t>Hellenic Photonics Cluster with applications in agro food sector</w:t>
            </w:r>
          </w:p>
        </w:tc>
        <w:tc>
          <w:tcPr>
            <w:tcW w:w="1134" w:type="dxa"/>
            <w:shd w:val="clear" w:color="auto" w:fill="auto"/>
            <w:vAlign w:val="center"/>
          </w:tcPr>
          <w:p w14:paraId="5568048A" w14:textId="7AD813F3" w:rsidR="003575C2" w:rsidRPr="00F216AA" w:rsidRDefault="003575C2" w:rsidP="00F943E7">
            <w:pPr>
              <w:pStyle w:val="a-I-EUBodytextsingle"/>
              <w:spacing w:line="276" w:lineRule="auto"/>
            </w:pPr>
          </w:p>
        </w:tc>
        <w:tc>
          <w:tcPr>
            <w:tcW w:w="709" w:type="dxa"/>
            <w:shd w:val="clear" w:color="auto" w:fill="auto"/>
            <w:vAlign w:val="center"/>
          </w:tcPr>
          <w:p w14:paraId="1282F263" w14:textId="286D0EA8" w:rsidR="003575C2" w:rsidRPr="00F216AA" w:rsidRDefault="003575C2" w:rsidP="00F943E7">
            <w:pPr>
              <w:pStyle w:val="a-I-EUBodytextsingle"/>
              <w:spacing w:line="276" w:lineRule="auto"/>
            </w:pPr>
          </w:p>
        </w:tc>
        <w:tc>
          <w:tcPr>
            <w:tcW w:w="709" w:type="dxa"/>
            <w:shd w:val="clear" w:color="auto" w:fill="auto"/>
            <w:vAlign w:val="center"/>
          </w:tcPr>
          <w:p w14:paraId="44996D26" w14:textId="29B88FB0" w:rsidR="003575C2" w:rsidRPr="00F216AA" w:rsidRDefault="003575C2" w:rsidP="00F943E7">
            <w:pPr>
              <w:pStyle w:val="a-I-EUBodytextsingle"/>
              <w:spacing w:line="276" w:lineRule="auto"/>
            </w:pPr>
          </w:p>
        </w:tc>
        <w:tc>
          <w:tcPr>
            <w:tcW w:w="709" w:type="dxa"/>
            <w:shd w:val="clear" w:color="auto" w:fill="auto"/>
            <w:vAlign w:val="center"/>
            <w:hideMark/>
          </w:tcPr>
          <w:p w14:paraId="4CFD1296" w14:textId="77777777" w:rsidR="003575C2" w:rsidRPr="00F216AA" w:rsidRDefault="003575C2" w:rsidP="00F943E7">
            <w:pPr>
              <w:pStyle w:val="a-I-EUBodytextsingle"/>
              <w:spacing w:line="276" w:lineRule="auto"/>
            </w:pPr>
            <w:r w:rsidRPr="00E43D41">
              <w:t> </w:t>
            </w:r>
          </w:p>
        </w:tc>
        <w:tc>
          <w:tcPr>
            <w:tcW w:w="708" w:type="dxa"/>
            <w:shd w:val="clear" w:color="auto" w:fill="auto"/>
            <w:vAlign w:val="center"/>
            <w:hideMark/>
          </w:tcPr>
          <w:p w14:paraId="23BEDEC8" w14:textId="77777777" w:rsidR="003575C2" w:rsidRPr="00F216AA" w:rsidRDefault="003575C2" w:rsidP="00F943E7">
            <w:pPr>
              <w:pStyle w:val="a-I-EUBodytextsingle"/>
              <w:spacing w:line="276" w:lineRule="auto"/>
            </w:pPr>
            <w:r w:rsidRPr="00E43D41">
              <w:t> </w:t>
            </w:r>
          </w:p>
        </w:tc>
        <w:tc>
          <w:tcPr>
            <w:tcW w:w="708" w:type="dxa"/>
            <w:shd w:val="clear" w:color="auto" w:fill="auto"/>
            <w:vAlign w:val="center"/>
            <w:hideMark/>
          </w:tcPr>
          <w:p w14:paraId="6C7573C6" w14:textId="77777777" w:rsidR="003575C2" w:rsidRPr="00F216AA" w:rsidRDefault="003575C2" w:rsidP="00F943E7">
            <w:pPr>
              <w:pStyle w:val="a-I-EUBodytextsingle"/>
              <w:spacing w:line="276" w:lineRule="auto"/>
            </w:pPr>
            <w:r w:rsidRPr="00E43D41">
              <w:t> </w:t>
            </w:r>
          </w:p>
        </w:tc>
      </w:tr>
      <w:tr w:rsidR="0045259B" w:rsidRPr="00554978" w14:paraId="437766CC" w14:textId="77777777" w:rsidTr="00F5402A">
        <w:trPr>
          <w:trHeight w:val="217"/>
        </w:trPr>
        <w:tc>
          <w:tcPr>
            <w:tcW w:w="4531" w:type="dxa"/>
            <w:vMerge w:val="restart"/>
            <w:shd w:val="clear" w:color="auto" w:fill="auto"/>
            <w:vAlign w:val="center"/>
            <w:hideMark/>
          </w:tcPr>
          <w:p w14:paraId="73CB10F8" w14:textId="77777777" w:rsidR="003575C2" w:rsidRPr="00554978" w:rsidRDefault="003575C2" w:rsidP="00F943E7">
            <w:pPr>
              <w:pStyle w:val="a-I-EUBodytextsingle"/>
              <w:spacing w:line="276" w:lineRule="auto"/>
            </w:pPr>
            <w:r w:rsidRPr="00554978">
              <w:t>AUTODIAGNOSTIC TOOL FOR AGRO-SMEs</w:t>
            </w:r>
          </w:p>
        </w:tc>
        <w:tc>
          <w:tcPr>
            <w:tcW w:w="1134" w:type="dxa"/>
            <w:vMerge w:val="restart"/>
            <w:shd w:val="clear" w:color="auto" w:fill="auto"/>
            <w:vAlign w:val="center"/>
          </w:tcPr>
          <w:p w14:paraId="5056E970" w14:textId="4A4A9BB2" w:rsidR="003575C2" w:rsidRPr="00F216AA" w:rsidRDefault="003575C2" w:rsidP="00F943E7">
            <w:pPr>
              <w:pStyle w:val="a-I-EUBodytextsingle"/>
              <w:spacing w:line="276" w:lineRule="auto"/>
            </w:pPr>
          </w:p>
        </w:tc>
        <w:tc>
          <w:tcPr>
            <w:tcW w:w="709" w:type="dxa"/>
            <w:vMerge w:val="restart"/>
            <w:shd w:val="clear" w:color="auto" w:fill="auto"/>
            <w:vAlign w:val="center"/>
          </w:tcPr>
          <w:p w14:paraId="31464488" w14:textId="64A924E8" w:rsidR="003575C2" w:rsidRPr="00F216AA" w:rsidRDefault="00554978" w:rsidP="00F943E7">
            <w:pPr>
              <w:pStyle w:val="a-I-EUBodytextsingle"/>
              <w:spacing w:line="276" w:lineRule="auto"/>
            </w:pPr>
            <w:r>
              <w:t>1</w:t>
            </w:r>
          </w:p>
        </w:tc>
        <w:tc>
          <w:tcPr>
            <w:tcW w:w="709" w:type="dxa"/>
            <w:vMerge w:val="restart"/>
            <w:shd w:val="clear" w:color="auto" w:fill="auto"/>
            <w:vAlign w:val="center"/>
          </w:tcPr>
          <w:p w14:paraId="6FBFDCE3" w14:textId="4E825813" w:rsidR="003575C2" w:rsidRPr="00F216AA" w:rsidRDefault="003575C2" w:rsidP="00F943E7">
            <w:pPr>
              <w:pStyle w:val="a-I-EUBodytextsingle"/>
              <w:spacing w:line="276" w:lineRule="auto"/>
            </w:pPr>
          </w:p>
        </w:tc>
        <w:tc>
          <w:tcPr>
            <w:tcW w:w="709" w:type="dxa"/>
            <w:vMerge w:val="restart"/>
            <w:shd w:val="clear" w:color="auto" w:fill="auto"/>
            <w:vAlign w:val="center"/>
            <w:hideMark/>
          </w:tcPr>
          <w:p w14:paraId="2E89D53F" w14:textId="5E6278EC" w:rsidR="003575C2" w:rsidRPr="00F216AA" w:rsidRDefault="00F216AA" w:rsidP="00F943E7">
            <w:pPr>
              <w:pStyle w:val="a-I-EUBodytextsingle"/>
              <w:spacing w:line="276" w:lineRule="auto"/>
            </w:pPr>
            <w:r>
              <w:t>1</w:t>
            </w:r>
          </w:p>
        </w:tc>
        <w:tc>
          <w:tcPr>
            <w:tcW w:w="708" w:type="dxa"/>
            <w:vMerge w:val="restart"/>
            <w:shd w:val="clear" w:color="auto" w:fill="auto"/>
            <w:vAlign w:val="center"/>
            <w:hideMark/>
          </w:tcPr>
          <w:p w14:paraId="78C69133" w14:textId="02C5DD84" w:rsidR="003575C2" w:rsidRPr="00F216AA" w:rsidRDefault="003575C2" w:rsidP="00F943E7">
            <w:pPr>
              <w:pStyle w:val="a-I-EUBodytextsingle"/>
              <w:spacing w:line="276" w:lineRule="auto"/>
            </w:pPr>
          </w:p>
        </w:tc>
        <w:tc>
          <w:tcPr>
            <w:tcW w:w="708" w:type="dxa"/>
            <w:vMerge w:val="restart"/>
            <w:shd w:val="clear" w:color="auto" w:fill="auto"/>
            <w:vAlign w:val="center"/>
            <w:hideMark/>
          </w:tcPr>
          <w:p w14:paraId="74BD3E05" w14:textId="7BCFBF7B" w:rsidR="003575C2" w:rsidRPr="00F216AA" w:rsidRDefault="003575C2" w:rsidP="00F943E7">
            <w:pPr>
              <w:pStyle w:val="a-I-EUBodytextsingle"/>
              <w:spacing w:line="276" w:lineRule="auto"/>
            </w:pPr>
          </w:p>
        </w:tc>
      </w:tr>
      <w:tr w:rsidR="0045259B" w:rsidRPr="00554978" w14:paraId="30034F37" w14:textId="77777777" w:rsidTr="00F5402A">
        <w:trPr>
          <w:trHeight w:val="217"/>
        </w:trPr>
        <w:tc>
          <w:tcPr>
            <w:tcW w:w="4531" w:type="dxa"/>
            <w:vMerge/>
            <w:vAlign w:val="center"/>
            <w:hideMark/>
          </w:tcPr>
          <w:p w14:paraId="56AF6D36" w14:textId="77777777" w:rsidR="003575C2" w:rsidRPr="00554978" w:rsidRDefault="003575C2" w:rsidP="00F943E7">
            <w:pPr>
              <w:pStyle w:val="a-I-EUBodytextsingle"/>
              <w:spacing w:line="276" w:lineRule="auto"/>
            </w:pPr>
          </w:p>
        </w:tc>
        <w:tc>
          <w:tcPr>
            <w:tcW w:w="1134" w:type="dxa"/>
            <w:vMerge/>
            <w:vAlign w:val="center"/>
          </w:tcPr>
          <w:p w14:paraId="22FD86F0" w14:textId="77777777" w:rsidR="003575C2" w:rsidRPr="00F216AA" w:rsidRDefault="003575C2" w:rsidP="00F943E7">
            <w:pPr>
              <w:pStyle w:val="a-I-EUBodytextsingle"/>
              <w:spacing w:line="276" w:lineRule="auto"/>
            </w:pPr>
          </w:p>
        </w:tc>
        <w:tc>
          <w:tcPr>
            <w:tcW w:w="709" w:type="dxa"/>
            <w:vMerge/>
            <w:vAlign w:val="center"/>
          </w:tcPr>
          <w:p w14:paraId="732E6240" w14:textId="77777777" w:rsidR="003575C2" w:rsidRPr="00F216AA" w:rsidRDefault="003575C2" w:rsidP="00F943E7">
            <w:pPr>
              <w:pStyle w:val="a-I-EUBodytextsingle"/>
              <w:spacing w:line="276" w:lineRule="auto"/>
            </w:pPr>
          </w:p>
        </w:tc>
        <w:tc>
          <w:tcPr>
            <w:tcW w:w="709" w:type="dxa"/>
            <w:vMerge/>
            <w:vAlign w:val="center"/>
          </w:tcPr>
          <w:p w14:paraId="557C32E0" w14:textId="77777777" w:rsidR="003575C2" w:rsidRPr="00F216AA" w:rsidRDefault="003575C2" w:rsidP="00F943E7">
            <w:pPr>
              <w:pStyle w:val="a-I-EUBodytextsingle"/>
              <w:spacing w:line="276" w:lineRule="auto"/>
            </w:pPr>
          </w:p>
        </w:tc>
        <w:tc>
          <w:tcPr>
            <w:tcW w:w="709" w:type="dxa"/>
            <w:vMerge/>
            <w:vAlign w:val="center"/>
            <w:hideMark/>
          </w:tcPr>
          <w:p w14:paraId="18B89E82" w14:textId="77777777" w:rsidR="003575C2" w:rsidRPr="00F216AA" w:rsidRDefault="003575C2" w:rsidP="00F943E7">
            <w:pPr>
              <w:pStyle w:val="a-I-EUBodytextsingle"/>
              <w:spacing w:line="276" w:lineRule="auto"/>
            </w:pPr>
          </w:p>
        </w:tc>
        <w:tc>
          <w:tcPr>
            <w:tcW w:w="708" w:type="dxa"/>
            <w:vMerge/>
            <w:vAlign w:val="center"/>
            <w:hideMark/>
          </w:tcPr>
          <w:p w14:paraId="7DA5A09D" w14:textId="77777777" w:rsidR="003575C2" w:rsidRPr="00F216AA" w:rsidRDefault="003575C2" w:rsidP="00F943E7">
            <w:pPr>
              <w:pStyle w:val="a-I-EUBodytextsingle"/>
              <w:spacing w:line="276" w:lineRule="auto"/>
            </w:pPr>
          </w:p>
        </w:tc>
        <w:tc>
          <w:tcPr>
            <w:tcW w:w="708" w:type="dxa"/>
            <w:vMerge/>
            <w:vAlign w:val="center"/>
            <w:hideMark/>
          </w:tcPr>
          <w:p w14:paraId="560F9A80" w14:textId="77777777" w:rsidR="003575C2" w:rsidRPr="00F216AA" w:rsidRDefault="003575C2" w:rsidP="00F943E7">
            <w:pPr>
              <w:pStyle w:val="a-I-EUBodytextsingle"/>
              <w:spacing w:line="276" w:lineRule="auto"/>
            </w:pPr>
          </w:p>
        </w:tc>
      </w:tr>
      <w:tr w:rsidR="0045259B" w:rsidRPr="00554978" w14:paraId="01E936C4" w14:textId="77777777" w:rsidTr="00F5402A">
        <w:tc>
          <w:tcPr>
            <w:tcW w:w="4531" w:type="dxa"/>
            <w:shd w:val="clear" w:color="auto" w:fill="auto"/>
            <w:vAlign w:val="center"/>
            <w:hideMark/>
          </w:tcPr>
          <w:p w14:paraId="34C4F59B" w14:textId="77777777" w:rsidR="003575C2" w:rsidRPr="00554978" w:rsidRDefault="003575C2" w:rsidP="00F943E7">
            <w:pPr>
              <w:pStyle w:val="a-I-EUBodytextsingle"/>
              <w:spacing w:line="276" w:lineRule="auto"/>
            </w:pPr>
            <w:r w:rsidRPr="00554978">
              <w:t>CENTROPE _tt innovation voucher</w:t>
            </w:r>
          </w:p>
        </w:tc>
        <w:tc>
          <w:tcPr>
            <w:tcW w:w="1134" w:type="dxa"/>
            <w:shd w:val="clear" w:color="auto" w:fill="auto"/>
            <w:vAlign w:val="center"/>
          </w:tcPr>
          <w:p w14:paraId="030F0E8F" w14:textId="5E0AD9A8" w:rsidR="003575C2" w:rsidRPr="00F216AA" w:rsidRDefault="00554978" w:rsidP="00F943E7">
            <w:pPr>
              <w:pStyle w:val="a-I-EUBodytextsingle"/>
              <w:spacing w:line="276" w:lineRule="auto"/>
            </w:pPr>
            <w:r>
              <w:t>(1)</w:t>
            </w:r>
          </w:p>
        </w:tc>
        <w:tc>
          <w:tcPr>
            <w:tcW w:w="709" w:type="dxa"/>
            <w:shd w:val="clear" w:color="auto" w:fill="auto"/>
            <w:vAlign w:val="center"/>
          </w:tcPr>
          <w:p w14:paraId="73AE2FDB" w14:textId="66FD6988" w:rsidR="003575C2" w:rsidRPr="00F216AA" w:rsidRDefault="003575C2" w:rsidP="00F943E7">
            <w:pPr>
              <w:pStyle w:val="a-I-EUBodytextsingle"/>
              <w:spacing w:line="276" w:lineRule="auto"/>
            </w:pPr>
          </w:p>
        </w:tc>
        <w:tc>
          <w:tcPr>
            <w:tcW w:w="709" w:type="dxa"/>
            <w:shd w:val="clear" w:color="auto" w:fill="auto"/>
            <w:vAlign w:val="center"/>
          </w:tcPr>
          <w:p w14:paraId="7C6ECF55" w14:textId="242697B3" w:rsidR="003575C2" w:rsidRPr="00F216AA" w:rsidRDefault="00554978" w:rsidP="00F943E7">
            <w:pPr>
              <w:pStyle w:val="a-I-EUBodytextsingle"/>
              <w:spacing w:line="276" w:lineRule="auto"/>
            </w:pPr>
            <w:r>
              <w:t>(1)</w:t>
            </w:r>
          </w:p>
        </w:tc>
        <w:tc>
          <w:tcPr>
            <w:tcW w:w="709" w:type="dxa"/>
            <w:shd w:val="clear" w:color="auto" w:fill="auto"/>
            <w:vAlign w:val="center"/>
            <w:hideMark/>
          </w:tcPr>
          <w:p w14:paraId="4214DA81" w14:textId="6BF1CA2B" w:rsidR="003575C2" w:rsidRPr="00F216AA" w:rsidRDefault="00554978" w:rsidP="00F943E7">
            <w:pPr>
              <w:pStyle w:val="a-I-EUBodytextsingle"/>
              <w:spacing w:line="276" w:lineRule="auto"/>
            </w:pPr>
            <w:r>
              <w:t>(1)</w:t>
            </w:r>
          </w:p>
        </w:tc>
        <w:tc>
          <w:tcPr>
            <w:tcW w:w="708" w:type="dxa"/>
            <w:shd w:val="clear" w:color="auto" w:fill="auto"/>
            <w:vAlign w:val="center"/>
            <w:hideMark/>
          </w:tcPr>
          <w:p w14:paraId="350F4C9F" w14:textId="35E5C789" w:rsidR="003575C2" w:rsidRPr="00F216AA" w:rsidRDefault="003575C2" w:rsidP="00F943E7">
            <w:pPr>
              <w:pStyle w:val="a-I-EUBodytextsingle"/>
              <w:spacing w:line="276" w:lineRule="auto"/>
            </w:pPr>
          </w:p>
        </w:tc>
        <w:tc>
          <w:tcPr>
            <w:tcW w:w="708" w:type="dxa"/>
            <w:shd w:val="clear" w:color="auto" w:fill="auto"/>
            <w:vAlign w:val="center"/>
            <w:hideMark/>
          </w:tcPr>
          <w:p w14:paraId="26FB4DB9" w14:textId="4B24AC9C" w:rsidR="003575C2" w:rsidRPr="00F216AA" w:rsidRDefault="00554978" w:rsidP="00F943E7">
            <w:pPr>
              <w:pStyle w:val="a-I-EUBodytextsingle"/>
              <w:spacing w:line="276" w:lineRule="auto"/>
            </w:pPr>
            <w:r>
              <w:t>(1)</w:t>
            </w:r>
          </w:p>
        </w:tc>
      </w:tr>
      <w:tr w:rsidR="0045259B" w:rsidRPr="00554978" w14:paraId="5F8F27C4" w14:textId="77777777" w:rsidTr="00F5402A">
        <w:trPr>
          <w:trHeight w:val="217"/>
        </w:trPr>
        <w:tc>
          <w:tcPr>
            <w:tcW w:w="4531" w:type="dxa"/>
            <w:vMerge w:val="restart"/>
            <w:shd w:val="clear" w:color="auto" w:fill="auto"/>
            <w:vAlign w:val="center"/>
            <w:hideMark/>
          </w:tcPr>
          <w:p w14:paraId="6AE6A0B8" w14:textId="77777777" w:rsidR="003575C2" w:rsidRPr="00554978" w:rsidRDefault="003575C2" w:rsidP="00F943E7">
            <w:pPr>
              <w:pStyle w:val="a-I-EUBodytextsingle"/>
              <w:spacing w:line="276" w:lineRule="auto"/>
            </w:pPr>
            <w:r w:rsidRPr="00554978">
              <w:lastRenderedPageBreak/>
              <w:t>Innocsekk Plusz 2008 innovation voucher</w:t>
            </w:r>
          </w:p>
        </w:tc>
        <w:tc>
          <w:tcPr>
            <w:tcW w:w="1134" w:type="dxa"/>
            <w:vMerge w:val="restart"/>
            <w:shd w:val="clear" w:color="auto" w:fill="auto"/>
            <w:vAlign w:val="center"/>
          </w:tcPr>
          <w:p w14:paraId="2CB0906F" w14:textId="374DFBBA" w:rsidR="003575C2" w:rsidRPr="00F216AA" w:rsidRDefault="003575C2" w:rsidP="00F943E7">
            <w:pPr>
              <w:pStyle w:val="a-I-EUBodytextsingle"/>
              <w:spacing w:line="276" w:lineRule="auto"/>
            </w:pPr>
          </w:p>
        </w:tc>
        <w:tc>
          <w:tcPr>
            <w:tcW w:w="709" w:type="dxa"/>
            <w:vMerge w:val="restart"/>
            <w:shd w:val="clear" w:color="auto" w:fill="auto"/>
            <w:vAlign w:val="center"/>
          </w:tcPr>
          <w:p w14:paraId="0CA1B7C9" w14:textId="47FFB19F" w:rsidR="003575C2" w:rsidRPr="00F216AA" w:rsidRDefault="003575C2" w:rsidP="00F943E7">
            <w:pPr>
              <w:pStyle w:val="a-I-EUBodytextsingle"/>
              <w:spacing w:line="276" w:lineRule="auto"/>
            </w:pPr>
          </w:p>
        </w:tc>
        <w:tc>
          <w:tcPr>
            <w:tcW w:w="709" w:type="dxa"/>
            <w:vMerge w:val="restart"/>
            <w:shd w:val="clear" w:color="auto" w:fill="auto"/>
            <w:vAlign w:val="center"/>
          </w:tcPr>
          <w:p w14:paraId="33145C1B" w14:textId="2FC8DE2A" w:rsidR="003575C2" w:rsidRPr="00F216AA" w:rsidRDefault="003575C2" w:rsidP="00F943E7">
            <w:pPr>
              <w:pStyle w:val="a-I-EUBodytextsingle"/>
              <w:spacing w:line="276" w:lineRule="auto"/>
            </w:pPr>
          </w:p>
        </w:tc>
        <w:tc>
          <w:tcPr>
            <w:tcW w:w="709" w:type="dxa"/>
            <w:vMerge w:val="restart"/>
            <w:shd w:val="clear" w:color="auto" w:fill="auto"/>
            <w:vAlign w:val="center"/>
            <w:hideMark/>
          </w:tcPr>
          <w:p w14:paraId="2F1E5997" w14:textId="58FEAE58" w:rsidR="003575C2" w:rsidRPr="00F216AA" w:rsidRDefault="003575C2" w:rsidP="00F943E7">
            <w:pPr>
              <w:pStyle w:val="a-I-EUBodytextsingle"/>
              <w:spacing w:line="276" w:lineRule="auto"/>
            </w:pPr>
          </w:p>
        </w:tc>
        <w:tc>
          <w:tcPr>
            <w:tcW w:w="708" w:type="dxa"/>
            <w:vMerge w:val="restart"/>
            <w:shd w:val="clear" w:color="auto" w:fill="auto"/>
            <w:vAlign w:val="center"/>
            <w:hideMark/>
          </w:tcPr>
          <w:p w14:paraId="3A5FD145" w14:textId="3D733F5C" w:rsidR="003575C2" w:rsidRPr="00F216AA" w:rsidRDefault="003575C2" w:rsidP="00F943E7">
            <w:pPr>
              <w:pStyle w:val="a-I-EUBodytextsingle"/>
              <w:spacing w:line="276" w:lineRule="auto"/>
            </w:pPr>
          </w:p>
        </w:tc>
        <w:tc>
          <w:tcPr>
            <w:tcW w:w="708" w:type="dxa"/>
            <w:vMerge w:val="restart"/>
            <w:shd w:val="clear" w:color="auto" w:fill="auto"/>
            <w:vAlign w:val="center"/>
            <w:hideMark/>
          </w:tcPr>
          <w:p w14:paraId="08EC0EA0" w14:textId="09527AA7" w:rsidR="003575C2" w:rsidRPr="00F216AA" w:rsidRDefault="003575C2" w:rsidP="00F943E7">
            <w:pPr>
              <w:pStyle w:val="a-I-EUBodytextsingle"/>
              <w:spacing w:line="276" w:lineRule="auto"/>
            </w:pPr>
          </w:p>
        </w:tc>
      </w:tr>
      <w:tr w:rsidR="0045259B" w:rsidRPr="00554978" w14:paraId="340AC487" w14:textId="77777777" w:rsidTr="00F5402A">
        <w:trPr>
          <w:trHeight w:val="217"/>
        </w:trPr>
        <w:tc>
          <w:tcPr>
            <w:tcW w:w="4531" w:type="dxa"/>
            <w:vMerge/>
            <w:vAlign w:val="center"/>
            <w:hideMark/>
          </w:tcPr>
          <w:p w14:paraId="11F571D5" w14:textId="77777777" w:rsidR="003575C2" w:rsidRPr="00554978" w:rsidRDefault="003575C2" w:rsidP="00F943E7">
            <w:pPr>
              <w:pStyle w:val="a-I-EUBodytextsingle"/>
              <w:spacing w:line="276" w:lineRule="auto"/>
            </w:pPr>
          </w:p>
        </w:tc>
        <w:tc>
          <w:tcPr>
            <w:tcW w:w="1134" w:type="dxa"/>
            <w:vMerge/>
            <w:vAlign w:val="center"/>
          </w:tcPr>
          <w:p w14:paraId="101CB3E0" w14:textId="77777777" w:rsidR="003575C2" w:rsidRPr="00F216AA" w:rsidRDefault="003575C2" w:rsidP="00F943E7">
            <w:pPr>
              <w:pStyle w:val="a-I-EUBodytextsingle"/>
              <w:spacing w:line="276" w:lineRule="auto"/>
            </w:pPr>
          </w:p>
        </w:tc>
        <w:tc>
          <w:tcPr>
            <w:tcW w:w="709" w:type="dxa"/>
            <w:vMerge/>
            <w:vAlign w:val="center"/>
          </w:tcPr>
          <w:p w14:paraId="382D5465" w14:textId="77777777" w:rsidR="003575C2" w:rsidRPr="00F216AA" w:rsidRDefault="003575C2" w:rsidP="00F943E7">
            <w:pPr>
              <w:pStyle w:val="a-I-EUBodytextsingle"/>
              <w:spacing w:line="276" w:lineRule="auto"/>
            </w:pPr>
          </w:p>
        </w:tc>
        <w:tc>
          <w:tcPr>
            <w:tcW w:w="709" w:type="dxa"/>
            <w:vMerge/>
            <w:vAlign w:val="center"/>
          </w:tcPr>
          <w:p w14:paraId="3E0B6D20" w14:textId="77777777" w:rsidR="003575C2" w:rsidRPr="00F216AA" w:rsidRDefault="003575C2" w:rsidP="00F943E7">
            <w:pPr>
              <w:pStyle w:val="a-I-EUBodytextsingle"/>
              <w:spacing w:line="276" w:lineRule="auto"/>
            </w:pPr>
          </w:p>
        </w:tc>
        <w:tc>
          <w:tcPr>
            <w:tcW w:w="709" w:type="dxa"/>
            <w:vMerge/>
            <w:vAlign w:val="center"/>
            <w:hideMark/>
          </w:tcPr>
          <w:p w14:paraId="57663493" w14:textId="77777777" w:rsidR="003575C2" w:rsidRPr="00F216AA" w:rsidRDefault="003575C2" w:rsidP="00F943E7">
            <w:pPr>
              <w:pStyle w:val="a-I-EUBodytextsingle"/>
              <w:spacing w:line="276" w:lineRule="auto"/>
            </w:pPr>
          </w:p>
        </w:tc>
        <w:tc>
          <w:tcPr>
            <w:tcW w:w="708" w:type="dxa"/>
            <w:vMerge/>
            <w:vAlign w:val="center"/>
            <w:hideMark/>
          </w:tcPr>
          <w:p w14:paraId="06FBBDFA" w14:textId="77777777" w:rsidR="003575C2" w:rsidRPr="00F216AA" w:rsidRDefault="003575C2" w:rsidP="00F943E7">
            <w:pPr>
              <w:pStyle w:val="a-I-EUBodytextsingle"/>
              <w:spacing w:line="276" w:lineRule="auto"/>
            </w:pPr>
          </w:p>
        </w:tc>
        <w:tc>
          <w:tcPr>
            <w:tcW w:w="708" w:type="dxa"/>
            <w:vMerge/>
            <w:vAlign w:val="center"/>
            <w:hideMark/>
          </w:tcPr>
          <w:p w14:paraId="02B3D9BE" w14:textId="77777777" w:rsidR="003575C2" w:rsidRPr="00F216AA" w:rsidRDefault="003575C2" w:rsidP="00F943E7">
            <w:pPr>
              <w:pStyle w:val="a-I-EUBodytextsingle"/>
              <w:spacing w:line="276" w:lineRule="auto"/>
            </w:pPr>
          </w:p>
        </w:tc>
      </w:tr>
      <w:tr w:rsidR="0045259B" w:rsidRPr="00554978" w14:paraId="2B676DCD" w14:textId="77777777" w:rsidTr="00F5402A">
        <w:trPr>
          <w:trHeight w:val="217"/>
        </w:trPr>
        <w:tc>
          <w:tcPr>
            <w:tcW w:w="4531" w:type="dxa"/>
            <w:vMerge/>
            <w:vAlign w:val="center"/>
            <w:hideMark/>
          </w:tcPr>
          <w:p w14:paraId="1C2235C7" w14:textId="77777777" w:rsidR="003575C2" w:rsidRPr="00554978" w:rsidRDefault="003575C2" w:rsidP="00F943E7">
            <w:pPr>
              <w:pStyle w:val="a-I-EUBodytextsingle"/>
              <w:spacing w:line="276" w:lineRule="auto"/>
            </w:pPr>
          </w:p>
        </w:tc>
        <w:tc>
          <w:tcPr>
            <w:tcW w:w="1134" w:type="dxa"/>
            <w:vMerge/>
            <w:vAlign w:val="center"/>
          </w:tcPr>
          <w:p w14:paraId="6775D8C0" w14:textId="77777777" w:rsidR="003575C2" w:rsidRPr="00F216AA" w:rsidRDefault="003575C2" w:rsidP="00F943E7">
            <w:pPr>
              <w:pStyle w:val="a-I-EUBodytextsingle"/>
              <w:spacing w:line="276" w:lineRule="auto"/>
            </w:pPr>
          </w:p>
        </w:tc>
        <w:tc>
          <w:tcPr>
            <w:tcW w:w="709" w:type="dxa"/>
            <w:vMerge/>
            <w:vAlign w:val="center"/>
          </w:tcPr>
          <w:p w14:paraId="2F092634" w14:textId="77777777" w:rsidR="003575C2" w:rsidRPr="00F216AA" w:rsidRDefault="003575C2" w:rsidP="00F943E7">
            <w:pPr>
              <w:pStyle w:val="a-I-EUBodytextsingle"/>
              <w:spacing w:line="276" w:lineRule="auto"/>
            </w:pPr>
          </w:p>
        </w:tc>
        <w:tc>
          <w:tcPr>
            <w:tcW w:w="709" w:type="dxa"/>
            <w:vMerge/>
            <w:vAlign w:val="center"/>
          </w:tcPr>
          <w:p w14:paraId="0D0B5450" w14:textId="77777777" w:rsidR="003575C2" w:rsidRPr="00F216AA" w:rsidRDefault="003575C2" w:rsidP="00F943E7">
            <w:pPr>
              <w:pStyle w:val="a-I-EUBodytextsingle"/>
              <w:spacing w:line="276" w:lineRule="auto"/>
            </w:pPr>
          </w:p>
        </w:tc>
        <w:tc>
          <w:tcPr>
            <w:tcW w:w="709" w:type="dxa"/>
            <w:vMerge/>
            <w:vAlign w:val="center"/>
            <w:hideMark/>
          </w:tcPr>
          <w:p w14:paraId="06AE361E" w14:textId="77777777" w:rsidR="003575C2" w:rsidRPr="00F216AA" w:rsidRDefault="003575C2" w:rsidP="00F943E7">
            <w:pPr>
              <w:pStyle w:val="a-I-EUBodytextsingle"/>
              <w:spacing w:line="276" w:lineRule="auto"/>
            </w:pPr>
          </w:p>
        </w:tc>
        <w:tc>
          <w:tcPr>
            <w:tcW w:w="708" w:type="dxa"/>
            <w:vMerge/>
            <w:vAlign w:val="center"/>
            <w:hideMark/>
          </w:tcPr>
          <w:p w14:paraId="645EC116" w14:textId="77777777" w:rsidR="003575C2" w:rsidRPr="00F216AA" w:rsidRDefault="003575C2" w:rsidP="00F943E7">
            <w:pPr>
              <w:pStyle w:val="a-I-EUBodytextsingle"/>
              <w:spacing w:line="276" w:lineRule="auto"/>
            </w:pPr>
          </w:p>
        </w:tc>
        <w:tc>
          <w:tcPr>
            <w:tcW w:w="708" w:type="dxa"/>
            <w:vMerge/>
            <w:vAlign w:val="center"/>
            <w:hideMark/>
          </w:tcPr>
          <w:p w14:paraId="22225EEE" w14:textId="77777777" w:rsidR="003575C2" w:rsidRPr="00F216AA" w:rsidRDefault="003575C2" w:rsidP="00F943E7">
            <w:pPr>
              <w:pStyle w:val="a-I-EUBodytextsingle"/>
              <w:spacing w:line="276" w:lineRule="auto"/>
            </w:pPr>
          </w:p>
        </w:tc>
      </w:tr>
      <w:tr w:rsidR="0045259B" w:rsidRPr="00554978" w14:paraId="2FFEB491" w14:textId="77777777" w:rsidTr="00F5402A">
        <w:tc>
          <w:tcPr>
            <w:tcW w:w="4531" w:type="dxa"/>
            <w:shd w:val="clear" w:color="auto" w:fill="auto"/>
            <w:vAlign w:val="center"/>
            <w:hideMark/>
          </w:tcPr>
          <w:p w14:paraId="39EC0D0B" w14:textId="77777777" w:rsidR="003B407F" w:rsidRPr="00554978" w:rsidRDefault="003B407F" w:rsidP="00F943E7">
            <w:pPr>
              <w:pStyle w:val="a-I-EUBodytextsingle"/>
              <w:spacing w:line="276" w:lineRule="auto"/>
            </w:pPr>
            <w:r w:rsidRPr="00554978">
              <w:t>Helsinki-Uusimaa Regional Council RIS3 coordination</w:t>
            </w:r>
          </w:p>
        </w:tc>
        <w:tc>
          <w:tcPr>
            <w:tcW w:w="1134" w:type="dxa"/>
            <w:shd w:val="clear" w:color="auto" w:fill="auto"/>
            <w:vAlign w:val="center"/>
            <w:hideMark/>
          </w:tcPr>
          <w:p w14:paraId="78CE4240" w14:textId="3C37FE0F" w:rsidR="003B407F" w:rsidRPr="00F216AA" w:rsidRDefault="003B407F" w:rsidP="00F943E7">
            <w:pPr>
              <w:pStyle w:val="a-I-EUBodytextsingle"/>
              <w:spacing w:line="276" w:lineRule="auto"/>
            </w:pPr>
          </w:p>
        </w:tc>
        <w:tc>
          <w:tcPr>
            <w:tcW w:w="709" w:type="dxa"/>
            <w:shd w:val="clear" w:color="auto" w:fill="auto"/>
            <w:vAlign w:val="center"/>
          </w:tcPr>
          <w:p w14:paraId="2FBD21FC" w14:textId="5CB72333" w:rsidR="003B407F" w:rsidRPr="00F216AA" w:rsidRDefault="003B407F" w:rsidP="00F943E7">
            <w:pPr>
              <w:pStyle w:val="a-I-EUBodytextsingle"/>
              <w:spacing w:line="276" w:lineRule="auto"/>
            </w:pPr>
          </w:p>
        </w:tc>
        <w:tc>
          <w:tcPr>
            <w:tcW w:w="709" w:type="dxa"/>
            <w:shd w:val="clear" w:color="auto" w:fill="auto"/>
            <w:vAlign w:val="center"/>
            <w:hideMark/>
          </w:tcPr>
          <w:p w14:paraId="05CD82DD" w14:textId="4B1A516D" w:rsidR="003B407F" w:rsidRPr="00F216AA" w:rsidRDefault="003B407F" w:rsidP="00F943E7">
            <w:pPr>
              <w:pStyle w:val="a-I-EUBodytextsingle"/>
              <w:spacing w:line="276" w:lineRule="auto"/>
            </w:pPr>
          </w:p>
        </w:tc>
        <w:tc>
          <w:tcPr>
            <w:tcW w:w="709" w:type="dxa"/>
            <w:shd w:val="clear" w:color="auto" w:fill="auto"/>
            <w:vAlign w:val="center"/>
            <w:hideMark/>
          </w:tcPr>
          <w:p w14:paraId="3822023F" w14:textId="4BB2A37B" w:rsidR="003B407F" w:rsidRPr="00F216AA" w:rsidRDefault="00F216AA" w:rsidP="00F943E7">
            <w:pPr>
              <w:pStyle w:val="a-I-EUBodytextsingle"/>
              <w:spacing w:line="276" w:lineRule="auto"/>
            </w:pPr>
            <w:r w:rsidRPr="00F216AA">
              <w:t>1</w:t>
            </w:r>
          </w:p>
        </w:tc>
        <w:tc>
          <w:tcPr>
            <w:tcW w:w="708" w:type="dxa"/>
            <w:shd w:val="clear" w:color="auto" w:fill="auto"/>
            <w:vAlign w:val="center"/>
            <w:hideMark/>
          </w:tcPr>
          <w:p w14:paraId="0BBCF9F1" w14:textId="1F367A34" w:rsidR="003B407F" w:rsidRPr="00F216AA" w:rsidRDefault="003B407F" w:rsidP="00F943E7">
            <w:pPr>
              <w:pStyle w:val="a-I-EUBodytextsingle"/>
              <w:spacing w:line="276" w:lineRule="auto"/>
            </w:pPr>
          </w:p>
        </w:tc>
        <w:tc>
          <w:tcPr>
            <w:tcW w:w="708" w:type="dxa"/>
            <w:shd w:val="clear" w:color="auto" w:fill="auto"/>
            <w:vAlign w:val="center"/>
            <w:hideMark/>
          </w:tcPr>
          <w:p w14:paraId="6BCD37DD" w14:textId="4AF89EBE" w:rsidR="003B407F" w:rsidRPr="00F216AA" w:rsidRDefault="003B407F" w:rsidP="00F943E7">
            <w:pPr>
              <w:pStyle w:val="a-I-EUBodytextsingle"/>
              <w:spacing w:line="276" w:lineRule="auto"/>
            </w:pPr>
          </w:p>
        </w:tc>
      </w:tr>
      <w:tr w:rsidR="0045259B" w:rsidRPr="00554978" w14:paraId="406D086B" w14:textId="77777777" w:rsidTr="00F5402A">
        <w:tc>
          <w:tcPr>
            <w:tcW w:w="4531" w:type="dxa"/>
            <w:shd w:val="clear" w:color="auto" w:fill="auto"/>
            <w:vAlign w:val="center"/>
            <w:hideMark/>
          </w:tcPr>
          <w:p w14:paraId="688B06A0" w14:textId="77777777" w:rsidR="003B407F" w:rsidRPr="00554978" w:rsidRDefault="003B407F" w:rsidP="00F943E7">
            <w:pPr>
              <w:pStyle w:val="a-I-EUBodytextsingle"/>
              <w:spacing w:line="276" w:lineRule="auto"/>
            </w:pPr>
            <w:r w:rsidRPr="00554978">
              <w:t>High Technology farming platform, GR (on behalf of many regions)</w:t>
            </w:r>
          </w:p>
        </w:tc>
        <w:tc>
          <w:tcPr>
            <w:tcW w:w="1134" w:type="dxa"/>
            <w:shd w:val="clear" w:color="auto" w:fill="auto"/>
            <w:vAlign w:val="center"/>
            <w:hideMark/>
          </w:tcPr>
          <w:p w14:paraId="7046B442" w14:textId="07FAF28A" w:rsidR="003B407F" w:rsidRPr="00F216AA" w:rsidRDefault="003B407F" w:rsidP="00F943E7">
            <w:pPr>
              <w:pStyle w:val="a-I-EUBodytextsingle"/>
              <w:spacing w:line="276" w:lineRule="auto"/>
            </w:pPr>
          </w:p>
        </w:tc>
        <w:tc>
          <w:tcPr>
            <w:tcW w:w="709" w:type="dxa"/>
            <w:shd w:val="clear" w:color="auto" w:fill="auto"/>
            <w:vAlign w:val="center"/>
          </w:tcPr>
          <w:p w14:paraId="388A0DF4" w14:textId="1713DE60" w:rsidR="003B407F" w:rsidRPr="00F216AA" w:rsidRDefault="003B407F" w:rsidP="00F943E7">
            <w:pPr>
              <w:pStyle w:val="a-I-EUBodytextsingle"/>
              <w:spacing w:line="276" w:lineRule="auto"/>
            </w:pPr>
          </w:p>
        </w:tc>
        <w:tc>
          <w:tcPr>
            <w:tcW w:w="709" w:type="dxa"/>
            <w:shd w:val="clear" w:color="auto" w:fill="auto"/>
            <w:vAlign w:val="center"/>
            <w:hideMark/>
          </w:tcPr>
          <w:p w14:paraId="23461DB6" w14:textId="41373CD9" w:rsidR="003B407F" w:rsidRPr="00F216AA" w:rsidRDefault="003B407F" w:rsidP="00F943E7">
            <w:pPr>
              <w:pStyle w:val="a-I-EUBodytextsingle"/>
              <w:spacing w:line="276" w:lineRule="auto"/>
            </w:pPr>
          </w:p>
        </w:tc>
        <w:tc>
          <w:tcPr>
            <w:tcW w:w="709" w:type="dxa"/>
            <w:shd w:val="clear" w:color="auto" w:fill="auto"/>
            <w:vAlign w:val="center"/>
            <w:hideMark/>
          </w:tcPr>
          <w:p w14:paraId="53EEA150" w14:textId="7F262AD1" w:rsidR="003B407F" w:rsidRPr="00F216AA" w:rsidRDefault="003B407F" w:rsidP="00F943E7">
            <w:pPr>
              <w:pStyle w:val="a-I-EUBodytextsingle"/>
              <w:spacing w:line="276" w:lineRule="auto"/>
            </w:pPr>
          </w:p>
        </w:tc>
        <w:tc>
          <w:tcPr>
            <w:tcW w:w="708" w:type="dxa"/>
            <w:shd w:val="clear" w:color="auto" w:fill="auto"/>
            <w:vAlign w:val="center"/>
            <w:hideMark/>
          </w:tcPr>
          <w:p w14:paraId="04AF5DDF" w14:textId="764599E5" w:rsidR="003B407F" w:rsidRPr="00F216AA" w:rsidRDefault="003B407F" w:rsidP="00F943E7">
            <w:pPr>
              <w:pStyle w:val="a-I-EUBodytextsingle"/>
              <w:spacing w:line="276" w:lineRule="auto"/>
            </w:pPr>
          </w:p>
        </w:tc>
        <w:tc>
          <w:tcPr>
            <w:tcW w:w="708" w:type="dxa"/>
            <w:shd w:val="clear" w:color="auto" w:fill="auto"/>
            <w:vAlign w:val="center"/>
            <w:hideMark/>
          </w:tcPr>
          <w:p w14:paraId="56B0E563" w14:textId="672DDDB3" w:rsidR="003B407F" w:rsidRPr="00F216AA" w:rsidRDefault="003B407F" w:rsidP="00F943E7">
            <w:pPr>
              <w:pStyle w:val="a-I-EUBodytextsingle"/>
              <w:spacing w:line="276" w:lineRule="auto"/>
            </w:pPr>
          </w:p>
        </w:tc>
      </w:tr>
      <w:tr w:rsidR="0045259B" w:rsidRPr="00554978" w14:paraId="6CCC9519" w14:textId="77777777" w:rsidTr="00F5402A">
        <w:trPr>
          <w:trHeight w:val="217"/>
        </w:trPr>
        <w:tc>
          <w:tcPr>
            <w:tcW w:w="4531" w:type="dxa"/>
            <w:vMerge w:val="restart"/>
            <w:shd w:val="clear" w:color="auto" w:fill="auto"/>
            <w:vAlign w:val="center"/>
            <w:hideMark/>
          </w:tcPr>
          <w:p w14:paraId="31E8BE59" w14:textId="77777777" w:rsidR="003B407F" w:rsidRPr="00554978" w:rsidRDefault="003B407F" w:rsidP="00F943E7">
            <w:pPr>
              <w:pStyle w:val="a-I-EUBodytextsingle"/>
              <w:spacing w:line="276" w:lineRule="auto"/>
            </w:pPr>
            <w:r w:rsidRPr="00554978">
              <w:t>Traceability and Big Data for achieving European AgroFood Sector Smart Specialisation</w:t>
            </w:r>
          </w:p>
        </w:tc>
        <w:tc>
          <w:tcPr>
            <w:tcW w:w="1134" w:type="dxa"/>
            <w:vMerge w:val="restart"/>
            <w:shd w:val="clear" w:color="auto" w:fill="auto"/>
            <w:vAlign w:val="center"/>
            <w:hideMark/>
          </w:tcPr>
          <w:p w14:paraId="7852AF16" w14:textId="659F1170" w:rsidR="003B407F" w:rsidRPr="00F216AA" w:rsidRDefault="003B407F" w:rsidP="00F943E7">
            <w:pPr>
              <w:pStyle w:val="a-I-EUBodytextsingle"/>
              <w:spacing w:line="276" w:lineRule="auto"/>
            </w:pPr>
          </w:p>
        </w:tc>
        <w:tc>
          <w:tcPr>
            <w:tcW w:w="709" w:type="dxa"/>
            <w:vMerge w:val="restart"/>
            <w:shd w:val="clear" w:color="auto" w:fill="auto"/>
            <w:vAlign w:val="center"/>
          </w:tcPr>
          <w:p w14:paraId="48DB2F21" w14:textId="303B91BC" w:rsidR="003B407F" w:rsidRPr="00F216AA" w:rsidRDefault="003B407F" w:rsidP="00F943E7">
            <w:pPr>
              <w:pStyle w:val="a-I-EUBodytextsingle"/>
              <w:spacing w:line="276" w:lineRule="auto"/>
            </w:pPr>
          </w:p>
        </w:tc>
        <w:tc>
          <w:tcPr>
            <w:tcW w:w="709" w:type="dxa"/>
            <w:vMerge w:val="restart"/>
            <w:shd w:val="clear" w:color="auto" w:fill="auto"/>
            <w:vAlign w:val="center"/>
            <w:hideMark/>
          </w:tcPr>
          <w:p w14:paraId="1BABD3D1" w14:textId="226CE7BB" w:rsidR="003B407F" w:rsidRPr="00F216AA" w:rsidRDefault="003B407F" w:rsidP="00F943E7">
            <w:pPr>
              <w:pStyle w:val="a-I-EUBodytextsingle"/>
              <w:spacing w:line="276" w:lineRule="auto"/>
            </w:pPr>
          </w:p>
        </w:tc>
        <w:tc>
          <w:tcPr>
            <w:tcW w:w="709" w:type="dxa"/>
            <w:vMerge w:val="restart"/>
            <w:shd w:val="clear" w:color="auto" w:fill="auto"/>
            <w:vAlign w:val="center"/>
            <w:hideMark/>
          </w:tcPr>
          <w:p w14:paraId="29E9AFB3" w14:textId="4702B5F1" w:rsidR="003B407F" w:rsidRPr="00F216AA" w:rsidRDefault="003B407F" w:rsidP="00F943E7">
            <w:pPr>
              <w:pStyle w:val="a-I-EUBodytextsingle"/>
              <w:spacing w:line="276" w:lineRule="auto"/>
            </w:pPr>
          </w:p>
        </w:tc>
        <w:tc>
          <w:tcPr>
            <w:tcW w:w="708" w:type="dxa"/>
            <w:vMerge w:val="restart"/>
            <w:shd w:val="clear" w:color="auto" w:fill="auto"/>
            <w:vAlign w:val="center"/>
            <w:hideMark/>
          </w:tcPr>
          <w:p w14:paraId="05063767" w14:textId="4E0AC38E" w:rsidR="003B407F" w:rsidRPr="00F216AA" w:rsidRDefault="003B407F" w:rsidP="00F943E7">
            <w:pPr>
              <w:pStyle w:val="a-I-EUBodytextsingle"/>
              <w:spacing w:line="276" w:lineRule="auto"/>
            </w:pPr>
          </w:p>
        </w:tc>
        <w:tc>
          <w:tcPr>
            <w:tcW w:w="708" w:type="dxa"/>
            <w:vMerge w:val="restart"/>
            <w:shd w:val="clear" w:color="auto" w:fill="auto"/>
            <w:vAlign w:val="center"/>
            <w:hideMark/>
          </w:tcPr>
          <w:p w14:paraId="5A8827EF" w14:textId="0DFCF2BC" w:rsidR="003B407F" w:rsidRPr="00F216AA" w:rsidRDefault="003B407F" w:rsidP="00F943E7">
            <w:pPr>
              <w:pStyle w:val="a-I-EUBodytextsingle"/>
              <w:spacing w:line="276" w:lineRule="auto"/>
            </w:pPr>
          </w:p>
        </w:tc>
      </w:tr>
      <w:tr w:rsidR="0045259B" w:rsidRPr="00E43D41" w14:paraId="675847F2" w14:textId="77777777" w:rsidTr="00F5402A">
        <w:trPr>
          <w:trHeight w:val="217"/>
        </w:trPr>
        <w:tc>
          <w:tcPr>
            <w:tcW w:w="4531" w:type="dxa"/>
            <w:vMerge/>
            <w:vAlign w:val="center"/>
            <w:hideMark/>
          </w:tcPr>
          <w:p w14:paraId="7F80D378" w14:textId="77777777" w:rsidR="003B407F" w:rsidRPr="00E43D41" w:rsidRDefault="003B407F" w:rsidP="003B6C3E">
            <w:pPr>
              <w:pStyle w:val="a-I-EUBodytextsingle"/>
              <w:rPr>
                <w:lang w:val="fi-FI"/>
              </w:rPr>
            </w:pPr>
          </w:p>
        </w:tc>
        <w:tc>
          <w:tcPr>
            <w:tcW w:w="1134" w:type="dxa"/>
            <w:vMerge/>
            <w:vAlign w:val="center"/>
            <w:hideMark/>
          </w:tcPr>
          <w:p w14:paraId="07BE7282" w14:textId="77777777" w:rsidR="003B407F" w:rsidRPr="00E43D41" w:rsidRDefault="003B407F" w:rsidP="003B6C3E">
            <w:pPr>
              <w:pStyle w:val="a-I-EUBodytextsingle"/>
              <w:rPr>
                <w:lang w:val="fi-FI"/>
              </w:rPr>
            </w:pPr>
          </w:p>
        </w:tc>
        <w:tc>
          <w:tcPr>
            <w:tcW w:w="709" w:type="dxa"/>
            <w:vMerge/>
            <w:vAlign w:val="center"/>
          </w:tcPr>
          <w:p w14:paraId="0C3D984F" w14:textId="54CAEBA1" w:rsidR="003B407F" w:rsidRPr="00E43D41" w:rsidRDefault="003B407F" w:rsidP="003B6C3E">
            <w:pPr>
              <w:pStyle w:val="a-I-EUBodytextsingle"/>
              <w:rPr>
                <w:lang w:val="fi-FI"/>
              </w:rPr>
            </w:pPr>
          </w:p>
        </w:tc>
        <w:tc>
          <w:tcPr>
            <w:tcW w:w="709" w:type="dxa"/>
            <w:vMerge/>
            <w:vAlign w:val="center"/>
            <w:hideMark/>
          </w:tcPr>
          <w:p w14:paraId="3208CFF7" w14:textId="77777777" w:rsidR="003B407F" w:rsidRPr="00E43D41" w:rsidRDefault="003B407F" w:rsidP="003B6C3E">
            <w:pPr>
              <w:pStyle w:val="a-I-EUBodytextsingle"/>
              <w:rPr>
                <w:lang w:val="fi-FI"/>
              </w:rPr>
            </w:pPr>
          </w:p>
        </w:tc>
        <w:tc>
          <w:tcPr>
            <w:tcW w:w="709" w:type="dxa"/>
            <w:vMerge/>
            <w:vAlign w:val="center"/>
            <w:hideMark/>
          </w:tcPr>
          <w:p w14:paraId="171EF23A" w14:textId="77777777" w:rsidR="003B407F" w:rsidRPr="00E43D41" w:rsidRDefault="003B407F" w:rsidP="003B6C3E">
            <w:pPr>
              <w:pStyle w:val="a-I-EUBodytextsingle"/>
              <w:rPr>
                <w:lang w:val="fi-FI"/>
              </w:rPr>
            </w:pPr>
          </w:p>
        </w:tc>
        <w:tc>
          <w:tcPr>
            <w:tcW w:w="708" w:type="dxa"/>
            <w:vMerge/>
            <w:vAlign w:val="center"/>
            <w:hideMark/>
          </w:tcPr>
          <w:p w14:paraId="193F5717" w14:textId="77777777" w:rsidR="003B407F" w:rsidRPr="00E43D41" w:rsidRDefault="003B407F" w:rsidP="003B6C3E">
            <w:pPr>
              <w:pStyle w:val="a-I-EUBodytextsingle"/>
              <w:rPr>
                <w:lang w:val="fi-FI"/>
              </w:rPr>
            </w:pPr>
          </w:p>
        </w:tc>
        <w:tc>
          <w:tcPr>
            <w:tcW w:w="708" w:type="dxa"/>
            <w:vMerge/>
            <w:vAlign w:val="center"/>
            <w:hideMark/>
          </w:tcPr>
          <w:p w14:paraId="2DFCD3CA" w14:textId="77777777" w:rsidR="003B407F" w:rsidRPr="00E43D41" w:rsidRDefault="003B407F" w:rsidP="003B6C3E">
            <w:pPr>
              <w:pStyle w:val="a-I-EUBodytextsingle"/>
              <w:rPr>
                <w:lang w:val="fi-FI"/>
              </w:rPr>
            </w:pPr>
          </w:p>
        </w:tc>
      </w:tr>
    </w:tbl>
    <w:p w14:paraId="2973BF39" w14:textId="4B1157CD" w:rsidR="00083984" w:rsidRDefault="00083984" w:rsidP="003B6C3E">
      <w:pPr>
        <w:pStyle w:val="a-I-EUBodytextsingle"/>
      </w:pPr>
      <w:bookmarkStart w:id="98" w:name="_Ref502412986"/>
      <w:bookmarkEnd w:id="97"/>
    </w:p>
    <w:p w14:paraId="73623879" w14:textId="1A1D7478" w:rsidR="000F381C" w:rsidRDefault="000F381C" w:rsidP="003B6C3E">
      <w:pPr>
        <w:pStyle w:val="a-I-EUBodytextsingle"/>
      </w:pPr>
    </w:p>
    <w:p w14:paraId="7709D278" w14:textId="0BBDA913" w:rsidR="000F381C" w:rsidRDefault="000F381C" w:rsidP="003B6C3E">
      <w:pPr>
        <w:pStyle w:val="a-I-EUBodytextsingle"/>
      </w:pPr>
    </w:p>
    <w:p w14:paraId="060BF760" w14:textId="4FC8CAB7" w:rsidR="000F381C" w:rsidRDefault="000F381C" w:rsidP="003B6C3E">
      <w:pPr>
        <w:pStyle w:val="a-I-EUBodytextsingle"/>
      </w:pPr>
    </w:p>
    <w:p w14:paraId="6515B368" w14:textId="36CDF336" w:rsidR="000F381C" w:rsidRDefault="000F381C" w:rsidP="003B6C3E">
      <w:pPr>
        <w:pStyle w:val="a-I-EUBodytextsingle"/>
      </w:pPr>
    </w:p>
    <w:p w14:paraId="76CD7104" w14:textId="1CE087F3" w:rsidR="00A121C5" w:rsidRPr="006559BC" w:rsidRDefault="00611F28" w:rsidP="000F381C">
      <w:pPr>
        <w:pStyle w:val="Caption"/>
      </w:pPr>
      <w:bookmarkStart w:id="99" w:name="_Toc526456805"/>
      <w:bookmarkEnd w:id="98"/>
      <w:r>
        <w:t xml:space="preserve">Table </w:t>
      </w:r>
      <w:r>
        <w:fldChar w:fldCharType="begin"/>
      </w:r>
      <w:r>
        <w:instrText xml:space="preserve"> SEQ Table \* ARABIC </w:instrText>
      </w:r>
      <w:r>
        <w:fldChar w:fldCharType="separate"/>
      </w:r>
      <w:r w:rsidR="004338EC">
        <w:t>5</w:t>
      </w:r>
      <w:r>
        <w:fldChar w:fldCharType="end"/>
      </w:r>
      <w:r>
        <w:t xml:space="preserve"> </w:t>
      </w:r>
      <w:bookmarkStart w:id="100" w:name="_Ref502424410"/>
      <w:r w:rsidR="00A121C5" w:rsidRPr="006559BC">
        <w:t>Good practice selection and improvement</w:t>
      </w:r>
      <w:r w:rsidR="00E84CDF" w:rsidRPr="006559BC">
        <w:t xml:space="preserve"> of technological connectivity types.</w:t>
      </w:r>
      <w:bookmarkEnd w:id="99"/>
      <w:bookmarkEnd w:id="100"/>
    </w:p>
    <w:tbl>
      <w:tblPr>
        <w:tblStyle w:val="TableGrid"/>
        <w:tblW w:w="8789" w:type="dxa"/>
        <w:tblBorders>
          <w:top w:val="single" w:sz="2" w:space="0" w:color="171717" w:themeColor="background2" w:themeShade="1A"/>
          <w:left w:val="single" w:sz="2" w:space="0" w:color="171717" w:themeColor="background2" w:themeShade="1A"/>
          <w:bottom w:val="single" w:sz="2" w:space="0" w:color="171717" w:themeColor="background2" w:themeShade="1A"/>
          <w:right w:val="single" w:sz="2" w:space="0" w:color="171717" w:themeColor="background2" w:themeShade="1A"/>
          <w:insideH w:val="dotted" w:sz="4" w:space="0" w:color="A6A6A6" w:themeColor="background1" w:themeShade="A6"/>
          <w:insideV w:val="single" w:sz="2" w:space="0" w:color="BFBFBF" w:themeColor="background1" w:themeShade="BF"/>
        </w:tblBorders>
        <w:tblLook w:val="04A0" w:firstRow="1" w:lastRow="0" w:firstColumn="1" w:lastColumn="0" w:noHBand="0" w:noVBand="1"/>
      </w:tblPr>
      <w:tblGrid>
        <w:gridCol w:w="1213"/>
        <w:gridCol w:w="3776"/>
        <w:gridCol w:w="3800"/>
      </w:tblGrid>
      <w:tr w:rsidR="00243D5E" w:rsidRPr="00640777" w14:paraId="3B59FBC2" w14:textId="77777777" w:rsidTr="00F5402A">
        <w:trPr>
          <w:tblHeader/>
        </w:trPr>
        <w:tc>
          <w:tcPr>
            <w:tcW w:w="2837" w:type="pct"/>
            <w:gridSpan w:val="2"/>
            <w:shd w:val="clear" w:color="auto" w:fill="F2F2F2" w:themeFill="background1" w:themeFillShade="F2"/>
          </w:tcPr>
          <w:p w14:paraId="5F7C06BB" w14:textId="2E1E7FA5" w:rsidR="00243D5E" w:rsidRPr="00640777" w:rsidRDefault="00243D5E" w:rsidP="00640777">
            <w:pPr>
              <w:pStyle w:val="a-I-EUBodytextsingle"/>
              <w:spacing w:after="200"/>
              <w:rPr>
                <w:b/>
              </w:rPr>
            </w:pPr>
            <w:r w:rsidRPr="00640777">
              <w:rPr>
                <w:b/>
              </w:rPr>
              <w:t xml:space="preserve">Types of </w:t>
            </w:r>
            <w:r w:rsidR="00970597" w:rsidRPr="00640777">
              <w:rPr>
                <w:b/>
              </w:rPr>
              <w:t>t</w:t>
            </w:r>
            <w:r w:rsidRPr="00640777">
              <w:rPr>
                <w:b/>
              </w:rPr>
              <w:t xml:space="preserve">echnological connectivity </w:t>
            </w:r>
          </w:p>
        </w:tc>
        <w:tc>
          <w:tcPr>
            <w:tcW w:w="2163" w:type="pct"/>
            <w:shd w:val="clear" w:color="auto" w:fill="F2F2F2" w:themeFill="background1" w:themeFillShade="F2"/>
          </w:tcPr>
          <w:p w14:paraId="44AF7D49" w14:textId="66A240DC" w:rsidR="00243D5E" w:rsidRPr="00640777" w:rsidRDefault="00020156" w:rsidP="00640777">
            <w:pPr>
              <w:pStyle w:val="a-I-EUBodytextsingle"/>
              <w:spacing w:after="200"/>
              <w:rPr>
                <w:b/>
              </w:rPr>
            </w:pPr>
            <w:r w:rsidRPr="00640777">
              <w:rPr>
                <w:b/>
              </w:rPr>
              <w:t>Relevant selected GPs (</w:t>
            </w:r>
            <w:r w:rsidR="00243D5E" w:rsidRPr="00640777">
              <w:rPr>
                <w:b/>
              </w:rPr>
              <w:t>overlaps</w:t>
            </w:r>
            <w:r w:rsidRPr="00640777">
              <w:rPr>
                <w:b/>
              </w:rPr>
              <w:t xml:space="preserve"> included</w:t>
            </w:r>
            <w:r w:rsidR="00243D5E" w:rsidRPr="00640777">
              <w:rPr>
                <w:b/>
              </w:rPr>
              <w:t>)</w:t>
            </w:r>
          </w:p>
        </w:tc>
      </w:tr>
      <w:tr w:rsidR="0066498E" w:rsidRPr="001020F0" w14:paraId="6B2BE12F" w14:textId="77777777" w:rsidTr="00F5402A">
        <w:trPr>
          <w:trHeight w:val="519"/>
        </w:trPr>
        <w:tc>
          <w:tcPr>
            <w:tcW w:w="690" w:type="pct"/>
          </w:tcPr>
          <w:p w14:paraId="15115D30" w14:textId="6F94E23A" w:rsidR="0066498E" w:rsidRPr="001020F0" w:rsidRDefault="0066498E" w:rsidP="00F943E7">
            <w:pPr>
              <w:pStyle w:val="a-I-EUBodytextsingle"/>
              <w:spacing w:line="276" w:lineRule="auto"/>
            </w:pPr>
            <w:r>
              <w:t>GP theme 1</w:t>
            </w:r>
          </w:p>
        </w:tc>
        <w:tc>
          <w:tcPr>
            <w:tcW w:w="2148" w:type="pct"/>
          </w:tcPr>
          <w:p w14:paraId="061C10C1" w14:textId="7FDF02E4" w:rsidR="0066498E" w:rsidRPr="001020F0" w:rsidRDefault="0066498E" w:rsidP="00F943E7">
            <w:pPr>
              <w:pStyle w:val="a-I-EUBodytextsingle"/>
              <w:spacing w:line="276" w:lineRule="auto"/>
            </w:pPr>
            <w:r w:rsidRPr="001020F0">
              <w:t>Type 1 Programme based (such as a centre of competence programme)</w:t>
            </w:r>
          </w:p>
        </w:tc>
        <w:tc>
          <w:tcPr>
            <w:tcW w:w="2163" w:type="pct"/>
          </w:tcPr>
          <w:p w14:paraId="68CBDF97" w14:textId="65B9BBEC" w:rsidR="0066498E" w:rsidRPr="001020F0" w:rsidRDefault="0066498E" w:rsidP="00F943E7">
            <w:pPr>
              <w:pStyle w:val="a-I-EUBodytextsingle"/>
              <w:spacing w:line="276" w:lineRule="auto"/>
            </w:pPr>
            <w:r>
              <w:t xml:space="preserve">2: </w:t>
            </w:r>
            <w:r w:rsidRPr="00E43D41">
              <w:t>The Bio Economy Science Centre, Jülich (Nordrhein-Westfalen)</w:t>
            </w:r>
            <w:r>
              <w:t xml:space="preserve"> and </w:t>
            </w:r>
            <w:r w:rsidRPr="00E43D41">
              <w:t>Kantola Industrial Estate and Woodpolis</w:t>
            </w:r>
          </w:p>
        </w:tc>
      </w:tr>
      <w:tr w:rsidR="0066498E" w:rsidRPr="001020F0" w14:paraId="6D2971E9" w14:textId="77777777" w:rsidTr="00F5402A">
        <w:tc>
          <w:tcPr>
            <w:tcW w:w="690" w:type="pct"/>
          </w:tcPr>
          <w:p w14:paraId="39BD7FBE" w14:textId="6436A3BB" w:rsidR="0066498E" w:rsidRPr="001020F0" w:rsidRDefault="0066498E" w:rsidP="00F943E7">
            <w:pPr>
              <w:pStyle w:val="a-I-EUBodytextsingle"/>
              <w:spacing w:line="276" w:lineRule="auto"/>
            </w:pPr>
            <w:r>
              <w:t>GP theme 2</w:t>
            </w:r>
          </w:p>
        </w:tc>
        <w:tc>
          <w:tcPr>
            <w:tcW w:w="2148" w:type="pct"/>
          </w:tcPr>
          <w:p w14:paraId="0D6AAD75" w14:textId="297EE6FB" w:rsidR="0066498E" w:rsidRPr="001020F0" w:rsidRDefault="0066498E" w:rsidP="00F943E7">
            <w:pPr>
              <w:pStyle w:val="a-I-EUBodytextsingle"/>
              <w:spacing w:line="276" w:lineRule="auto"/>
            </w:pPr>
            <w:r w:rsidRPr="001020F0">
              <w:t xml:space="preserve">Type 2 Access to research services </w:t>
            </w:r>
          </w:p>
        </w:tc>
        <w:tc>
          <w:tcPr>
            <w:tcW w:w="2163" w:type="pct"/>
          </w:tcPr>
          <w:p w14:paraId="3DCDDE4A" w14:textId="3A56322F" w:rsidR="0066498E" w:rsidRPr="001020F0" w:rsidRDefault="0066498E" w:rsidP="00F943E7">
            <w:pPr>
              <w:pStyle w:val="a-I-EUBodytextsingle"/>
              <w:spacing w:line="276" w:lineRule="auto"/>
              <w:rPr>
                <w:color w:val="021B2B"/>
              </w:rPr>
            </w:pPr>
            <w:r>
              <w:rPr>
                <w:color w:val="021B2B"/>
              </w:rPr>
              <w:t xml:space="preserve">4: </w:t>
            </w:r>
            <w:r w:rsidRPr="00E43D41">
              <w:t>AUTODIAGNOSTIC TOOL FOR AGRO-SMEs</w:t>
            </w:r>
            <w:r>
              <w:t xml:space="preserve">, Bank of patents, Large research infrastuctures, and </w:t>
            </w:r>
            <w:r w:rsidRPr="00554978">
              <w:rPr>
                <w:color w:val="021B2B"/>
              </w:rPr>
              <w:t>CENTROPE _tt innovation voucher</w:t>
            </w:r>
            <w:r>
              <w:rPr>
                <w:color w:val="021B2B"/>
              </w:rPr>
              <w:t xml:space="preserve"> (for the pilot)</w:t>
            </w:r>
          </w:p>
        </w:tc>
      </w:tr>
      <w:tr w:rsidR="0066498E" w:rsidRPr="001020F0" w14:paraId="63A25F77" w14:textId="77777777" w:rsidTr="00F5402A">
        <w:tc>
          <w:tcPr>
            <w:tcW w:w="690" w:type="pct"/>
          </w:tcPr>
          <w:p w14:paraId="4C6F9019" w14:textId="6B1B739C" w:rsidR="0066498E" w:rsidRPr="001020F0" w:rsidRDefault="0066498E" w:rsidP="00F943E7">
            <w:pPr>
              <w:pStyle w:val="a-I-EUBodytextsingle"/>
              <w:spacing w:line="276" w:lineRule="auto"/>
            </w:pPr>
          </w:p>
        </w:tc>
        <w:tc>
          <w:tcPr>
            <w:tcW w:w="2148" w:type="pct"/>
          </w:tcPr>
          <w:p w14:paraId="6A03F260" w14:textId="046FF24B" w:rsidR="0066498E" w:rsidRPr="001020F0" w:rsidRDefault="0066498E" w:rsidP="00F943E7">
            <w:pPr>
              <w:pStyle w:val="a-I-EUBodytextsingle"/>
              <w:spacing w:line="276" w:lineRule="auto"/>
            </w:pPr>
            <w:r w:rsidRPr="001020F0">
              <w:t>Type 3 KET applications</w:t>
            </w:r>
            <w:r w:rsidRPr="001020F0">
              <w:tab/>
            </w:r>
          </w:p>
        </w:tc>
        <w:tc>
          <w:tcPr>
            <w:tcW w:w="2163" w:type="pct"/>
          </w:tcPr>
          <w:p w14:paraId="61878FD1" w14:textId="412D4F85" w:rsidR="0066498E" w:rsidRPr="001020F0" w:rsidRDefault="0066498E" w:rsidP="00F943E7">
            <w:pPr>
              <w:pStyle w:val="a-I-EUBodytextsingle"/>
              <w:spacing w:line="276" w:lineRule="auto"/>
            </w:pPr>
          </w:p>
        </w:tc>
      </w:tr>
      <w:tr w:rsidR="0066498E" w:rsidRPr="001020F0" w14:paraId="7F818EE2" w14:textId="77777777" w:rsidTr="00F5402A">
        <w:tc>
          <w:tcPr>
            <w:tcW w:w="690" w:type="pct"/>
          </w:tcPr>
          <w:p w14:paraId="4C77D80D" w14:textId="172F13CC" w:rsidR="0066498E" w:rsidRPr="001020F0" w:rsidRDefault="0066498E" w:rsidP="00F943E7">
            <w:pPr>
              <w:pStyle w:val="a-I-EUBodytextsingle"/>
              <w:spacing w:line="276" w:lineRule="auto"/>
            </w:pPr>
          </w:p>
        </w:tc>
        <w:tc>
          <w:tcPr>
            <w:tcW w:w="2148" w:type="pct"/>
          </w:tcPr>
          <w:p w14:paraId="673546F9" w14:textId="55AEE92F" w:rsidR="0066498E" w:rsidRPr="001020F0" w:rsidRDefault="0066498E" w:rsidP="00F943E7">
            <w:pPr>
              <w:pStyle w:val="a-I-EUBodytextsingle"/>
              <w:spacing w:line="276" w:lineRule="auto"/>
            </w:pPr>
            <w:r w:rsidRPr="001020F0">
              <w:t>Type 4 TRL improvement / certification</w:t>
            </w:r>
          </w:p>
        </w:tc>
        <w:tc>
          <w:tcPr>
            <w:tcW w:w="2163" w:type="pct"/>
          </w:tcPr>
          <w:p w14:paraId="1E56AE87" w14:textId="77777777" w:rsidR="0066498E" w:rsidRPr="001020F0" w:rsidRDefault="0066498E" w:rsidP="00F943E7">
            <w:pPr>
              <w:pStyle w:val="a-I-EUBodytextsingle"/>
              <w:spacing w:line="276" w:lineRule="auto"/>
            </w:pPr>
          </w:p>
        </w:tc>
      </w:tr>
      <w:tr w:rsidR="0066498E" w:rsidRPr="001020F0" w14:paraId="08C5E300" w14:textId="77777777" w:rsidTr="00F5402A">
        <w:tc>
          <w:tcPr>
            <w:tcW w:w="690" w:type="pct"/>
          </w:tcPr>
          <w:p w14:paraId="33D52CE1" w14:textId="47A07FA5" w:rsidR="0066498E" w:rsidRPr="001020F0" w:rsidRDefault="00AB65F2" w:rsidP="00F943E7">
            <w:pPr>
              <w:pStyle w:val="a-I-EUBodytextsingle"/>
              <w:spacing w:line="276" w:lineRule="auto"/>
            </w:pPr>
            <w:r>
              <w:t>GP theme 3</w:t>
            </w:r>
          </w:p>
        </w:tc>
        <w:tc>
          <w:tcPr>
            <w:tcW w:w="2148" w:type="pct"/>
          </w:tcPr>
          <w:p w14:paraId="28538264" w14:textId="323483EC" w:rsidR="0066498E" w:rsidRPr="001020F0" w:rsidRDefault="0066498E" w:rsidP="00F943E7">
            <w:pPr>
              <w:pStyle w:val="a-I-EUBodytextsingle"/>
              <w:spacing w:line="276" w:lineRule="auto"/>
            </w:pPr>
            <w:r w:rsidRPr="001020F0">
              <w:t>Type 5 Innovation management chain</w:t>
            </w:r>
          </w:p>
        </w:tc>
        <w:tc>
          <w:tcPr>
            <w:tcW w:w="2163" w:type="pct"/>
          </w:tcPr>
          <w:p w14:paraId="3146C123" w14:textId="06F7801D" w:rsidR="0066498E" w:rsidRPr="001020F0" w:rsidRDefault="0066498E" w:rsidP="00F943E7">
            <w:pPr>
              <w:pStyle w:val="a-I-EUBodytextsingle"/>
              <w:spacing w:line="276" w:lineRule="auto"/>
            </w:pPr>
            <w:r>
              <w:t xml:space="preserve">2: </w:t>
            </w:r>
            <w:r w:rsidRPr="00554978">
              <w:t>Helsinki-Uusimaa Regional Council RIS3 coordination</w:t>
            </w:r>
            <w:r>
              <w:t xml:space="preserve"> and Bank of patents</w:t>
            </w:r>
          </w:p>
        </w:tc>
      </w:tr>
      <w:tr w:rsidR="0066498E" w:rsidRPr="001020F0" w14:paraId="7C86C298" w14:textId="77777777" w:rsidTr="00F5402A">
        <w:trPr>
          <w:trHeight w:val="295"/>
        </w:trPr>
        <w:tc>
          <w:tcPr>
            <w:tcW w:w="690" w:type="pct"/>
          </w:tcPr>
          <w:p w14:paraId="732DEA82" w14:textId="07AEE53A" w:rsidR="0066498E" w:rsidRPr="001020F0" w:rsidRDefault="00AB65F2" w:rsidP="00F943E7">
            <w:pPr>
              <w:pStyle w:val="a-I-EUBodytextsingle"/>
              <w:spacing w:line="276" w:lineRule="auto"/>
            </w:pPr>
            <w:r>
              <w:t>GP theme 3</w:t>
            </w:r>
          </w:p>
        </w:tc>
        <w:tc>
          <w:tcPr>
            <w:tcW w:w="2148" w:type="pct"/>
          </w:tcPr>
          <w:p w14:paraId="2AA223D0" w14:textId="23B5B207" w:rsidR="0066498E" w:rsidRPr="001020F0" w:rsidRDefault="0066498E" w:rsidP="00F943E7">
            <w:pPr>
              <w:pStyle w:val="a-I-EUBodytextsingle"/>
              <w:spacing w:line="276" w:lineRule="auto"/>
            </w:pPr>
            <w:r w:rsidRPr="001020F0">
              <w:t xml:space="preserve">Type 6 Constant renewal services     </w:t>
            </w:r>
          </w:p>
        </w:tc>
        <w:tc>
          <w:tcPr>
            <w:tcW w:w="2163" w:type="pct"/>
          </w:tcPr>
          <w:p w14:paraId="2236091F" w14:textId="5BD5152B" w:rsidR="0066498E" w:rsidRPr="001020F0" w:rsidRDefault="0066498E" w:rsidP="00F943E7">
            <w:pPr>
              <w:pStyle w:val="a-I-EUBodytextsingle"/>
              <w:spacing w:line="276" w:lineRule="auto"/>
            </w:pPr>
          </w:p>
        </w:tc>
      </w:tr>
      <w:tr w:rsidR="0066498E" w:rsidRPr="001020F0" w14:paraId="22E78CFE" w14:textId="77777777" w:rsidTr="00F5402A">
        <w:tc>
          <w:tcPr>
            <w:tcW w:w="690" w:type="pct"/>
          </w:tcPr>
          <w:p w14:paraId="4A2B10CF" w14:textId="5B9CA56E" w:rsidR="0066498E" w:rsidRPr="001020F0" w:rsidRDefault="00AB65F2" w:rsidP="00F943E7">
            <w:pPr>
              <w:pStyle w:val="a-I-EUBodytextsingle"/>
              <w:spacing w:line="276" w:lineRule="auto"/>
            </w:pPr>
            <w:r>
              <w:t>GP theme 3</w:t>
            </w:r>
          </w:p>
        </w:tc>
        <w:tc>
          <w:tcPr>
            <w:tcW w:w="2148" w:type="pct"/>
          </w:tcPr>
          <w:p w14:paraId="58E44431" w14:textId="0C7B805A" w:rsidR="0066498E" w:rsidRPr="001020F0" w:rsidRDefault="0066498E" w:rsidP="00F943E7">
            <w:pPr>
              <w:pStyle w:val="a-I-EUBodytextsingle"/>
              <w:spacing w:line="276" w:lineRule="auto"/>
            </w:pPr>
            <w:r w:rsidRPr="001020F0">
              <w:t>Type 7 Commercialisation of research, cross border</w:t>
            </w:r>
          </w:p>
        </w:tc>
        <w:tc>
          <w:tcPr>
            <w:tcW w:w="2163" w:type="pct"/>
          </w:tcPr>
          <w:p w14:paraId="5BCA7A36" w14:textId="34C6CA11" w:rsidR="0066498E" w:rsidRPr="001020F0" w:rsidRDefault="0066498E" w:rsidP="00F943E7">
            <w:pPr>
              <w:pStyle w:val="a-I-EUBodytextsingle"/>
              <w:spacing w:line="276" w:lineRule="auto"/>
            </w:pPr>
            <w:r>
              <w:t xml:space="preserve">2: </w:t>
            </w:r>
            <w:r w:rsidRPr="00554978">
              <w:t>Traceability and Big Data for achieving European AgroFood Sector Smart Specialisation</w:t>
            </w:r>
            <w:r>
              <w:t xml:space="preserve"> and </w:t>
            </w:r>
            <w:r w:rsidRPr="00554978">
              <w:t>CENTROPE _tt innovation voucher</w:t>
            </w:r>
            <w:r>
              <w:t xml:space="preserve"> (for the pilot)</w:t>
            </w:r>
          </w:p>
        </w:tc>
      </w:tr>
      <w:tr w:rsidR="0066498E" w:rsidRPr="001020F0" w14:paraId="78A3AAC2" w14:textId="77777777" w:rsidTr="00F5402A">
        <w:trPr>
          <w:trHeight w:val="183"/>
        </w:trPr>
        <w:tc>
          <w:tcPr>
            <w:tcW w:w="690" w:type="pct"/>
          </w:tcPr>
          <w:p w14:paraId="1F66D063" w14:textId="2383521E" w:rsidR="0066498E" w:rsidRPr="001020F0" w:rsidRDefault="00AB65F2" w:rsidP="00F943E7">
            <w:pPr>
              <w:pStyle w:val="a-I-EUBodytextsingle"/>
              <w:spacing w:line="276" w:lineRule="auto"/>
            </w:pPr>
            <w:r>
              <w:t>GP theme 3</w:t>
            </w:r>
          </w:p>
        </w:tc>
        <w:tc>
          <w:tcPr>
            <w:tcW w:w="2148" w:type="pct"/>
          </w:tcPr>
          <w:p w14:paraId="2818BDBA" w14:textId="78F7ACF2" w:rsidR="0066498E" w:rsidRPr="001020F0" w:rsidRDefault="0066498E" w:rsidP="00F943E7">
            <w:pPr>
              <w:pStyle w:val="a-I-EUBodytextsingle"/>
              <w:spacing w:line="276" w:lineRule="auto"/>
            </w:pPr>
            <w:r w:rsidRPr="001020F0">
              <w:t xml:space="preserve">Type 8 Direct research to business cooperation </w:t>
            </w:r>
          </w:p>
        </w:tc>
        <w:tc>
          <w:tcPr>
            <w:tcW w:w="2163" w:type="pct"/>
          </w:tcPr>
          <w:p w14:paraId="6C64A7E3" w14:textId="185A4969" w:rsidR="0066498E" w:rsidRPr="001020F0" w:rsidRDefault="0066498E" w:rsidP="00F943E7">
            <w:pPr>
              <w:pStyle w:val="a-I-EUBodytextsingle"/>
              <w:spacing w:line="276" w:lineRule="auto"/>
            </w:pPr>
            <w:r>
              <w:t>No GP, but testing ROP opening in Western Macedonia</w:t>
            </w:r>
          </w:p>
        </w:tc>
      </w:tr>
    </w:tbl>
    <w:p w14:paraId="17EC6533" w14:textId="15F647DA" w:rsidR="00E84CDF" w:rsidRPr="001F43AF" w:rsidRDefault="00E01E24" w:rsidP="003676F1">
      <w:pPr>
        <w:pStyle w:val="Title"/>
      </w:pPr>
      <w:r>
        <w:t>I</w:t>
      </w:r>
      <w:r w:rsidR="00505193" w:rsidRPr="0006238C">
        <w:t>nsights</w:t>
      </w:r>
      <w:r w:rsidR="00505193" w:rsidRPr="001F43AF">
        <w:t xml:space="preserve"> </w:t>
      </w:r>
      <w:r>
        <w:t>….</w:t>
      </w:r>
    </w:p>
    <w:p w14:paraId="4606ACA8" w14:textId="6D9663C8" w:rsidR="0009602C" w:rsidRPr="00505193" w:rsidRDefault="00F66B2A" w:rsidP="00F943E7">
      <w:pPr>
        <w:pStyle w:val="ListNumber"/>
        <w:numPr>
          <w:ilvl w:val="0"/>
          <w:numId w:val="52"/>
        </w:numPr>
      </w:pPr>
      <w:r>
        <w:t>Total GP contributions: 30</w:t>
      </w:r>
    </w:p>
    <w:p w14:paraId="091A7995" w14:textId="18D0738F" w:rsidR="0009602C" w:rsidRPr="00505193" w:rsidRDefault="0009602C" w:rsidP="00F943E7">
      <w:pPr>
        <w:pStyle w:val="ListNumber"/>
        <w:numPr>
          <w:ilvl w:val="0"/>
          <w:numId w:val="52"/>
        </w:numPr>
      </w:pPr>
      <w:r w:rsidRPr="00505193">
        <w:t xml:space="preserve">GPs </w:t>
      </w:r>
      <w:r w:rsidR="00F66B2A">
        <w:t>pre-</w:t>
      </w:r>
      <w:r w:rsidRPr="00505193">
        <w:t>sele</w:t>
      </w:r>
      <w:r w:rsidR="00F66B2A">
        <w:t>cted</w:t>
      </w:r>
      <w:r w:rsidR="00F97532">
        <w:t xml:space="preserve"> (and uploaded to the PLP)</w:t>
      </w:r>
      <w:r w:rsidR="00F66B2A">
        <w:t>: 17</w:t>
      </w:r>
    </w:p>
    <w:p w14:paraId="57B706B8" w14:textId="556B7CD6" w:rsidR="0009602C" w:rsidRPr="00505193" w:rsidRDefault="00F97532" w:rsidP="00F943E7">
      <w:pPr>
        <w:pStyle w:val="ListNumber"/>
        <w:numPr>
          <w:ilvl w:val="0"/>
          <w:numId w:val="52"/>
        </w:numPr>
      </w:pPr>
      <w:r>
        <w:t>GP frequency of uptake:  2</w:t>
      </w:r>
      <w:r w:rsidR="0009602C" w:rsidRPr="00505193">
        <w:t xml:space="preserve"> GPs out of 14 GPs have been selected by more than 1 partner </w:t>
      </w:r>
    </w:p>
    <w:p w14:paraId="440C7921" w14:textId="29FB020F" w:rsidR="0009602C" w:rsidRPr="00505193" w:rsidRDefault="0009602C" w:rsidP="00F943E7">
      <w:pPr>
        <w:pStyle w:val="ListNumber"/>
        <w:numPr>
          <w:ilvl w:val="0"/>
          <w:numId w:val="52"/>
        </w:numPr>
      </w:pPr>
      <w:r w:rsidRPr="00505193">
        <w:t xml:space="preserve">GP theme frequency of uptake: GP theme 1 innovation infrastructures </w:t>
      </w:r>
      <w:r w:rsidR="00441A75">
        <w:t xml:space="preserve">3 times; </w:t>
      </w:r>
      <w:r w:rsidR="00BE54D5" w:rsidRPr="00505193">
        <w:t>G</w:t>
      </w:r>
      <w:r w:rsidRPr="00505193">
        <w:t>P theme 2 research to business</w:t>
      </w:r>
      <w:r w:rsidR="00340AB8">
        <w:t xml:space="preserve"> </w:t>
      </w:r>
      <w:r w:rsidR="00921D3B" w:rsidRPr="00505193">
        <w:t>5</w:t>
      </w:r>
      <w:r w:rsidRPr="00505193">
        <w:t xml:space="preserve"> times</w:t>
      </w:r>
      <w:r w:rsidR="00BE54D5" w:rsidRPr="00505193">
        <w:t>; G</w:t>
      </w:r>
      <w:r w:rsidRPr="00505193">
        <w:t>P theme 3 multi-level synergies</w:t>
      </w:r>
      <w:r w:rsidR="002A0ABB" w:rsidRPr="00505193">
        <w:t xml:space="preserve"> </w:t>
      </w:r>
      <w:r w:rsidRPr="00505193">
        <w:t>6 times</w:t>
      </w:r>
      <w:r w:rsidR="00DF00E9" w:rsidRPr="00505193">
        <w:t xml:space="preserve">. </w:t>
      </w:r>
    </w:p>
    <w:p w14:paraId="2D8FCCBE" w14:textId="0D96B3E2" w:rsidR="0009602C" w:rsidRPr="00505193" w:rsidRDefault="0009602C" w:rsidP="00F943E7">
      <w:pPr>
        <w:pStyle w:val="ListNumber"/>
        <w:numPr>
          <w:ilvl w:val="0"/>
          <w:numId w:val="52"/>
        </w:numPr>
      </w:pPr>
      <w:r w:rsidRPr="00505193">
        <w:t>Strong overlaps GP theme</w:t>
      </w:r>
      <w:r w:rsidR="005E74F2">
        <w:t>s</w:t>
      </w:r>
      <w:r w:rsidRPr="00505193">
        <w:t xml:space="preserve"> 1 &amp; 2</w:t>
      </w:r>
      <w:r w:rsidR="005E74F2">
        <w:t xml:space="preserve"> and GP themes 2 &amp;3</w:t>
      </w:r>
      <w:r w:rsidRPr="00505193">
        <w:t>.</w:t>
      </w:r>
    </w:p>
    <w:p w14:paraId="14E285FA" w14:textId="77777777" w:rsidR="00E8132F" w:rsidRPr="00505193" w:rsidRDefault="00E8132F" w:rsidP="00F943E7">
      <w:pPr>
        <w:pStyle w:val="ListNumber"/>
        <w:numPr>
          <w:ilvl w:val="0"/>
          <w:numId w:val="52"/>
        </w:numPr>
      </w:pPr>
      <w:r w:rsidRPr="00505193">
        <w:t>Number of regions benefitting from Types 1 and / or 2 adoption into their action plan: 5 out of 6.</w:t>
      </w:r>
    </w:p>
    <w:p w14:paraId="513A8F3A" w14:textId="77777777" w:rsidR="00E8132F" w:rsidRPr="00505193" w:rsidRDefault="00E8132F" w:rsidP="00F943E7">
      <w:pPr>
        <w:pStyle w:val="ListNumber"/>
        <w:numPr>
          <w:ilvl w:val="0"/>
          <w:numId w:val="52"/>
        </w:numPr>
      </w:pPr>
      <w:r w:rsidRPr="00505193">
        <w:t>Types of technological connectivity frequency and patterns of uptake: overwhelmingly, innovation infrastructures and access to research services come together, i.e. advocating the adoption of the CREST model for industry – led centres of competence, i.e. integrated approaches, combining excellence and competence initiatives.</w:t>
      </w:r>
    </w:p>
    <w:p w14:paraId="72522EF0" w14:textId="2242CD81" w:rsidR="00E8132F" w:rsidRPr="0006238C" w:rsidRDefault="00E01E24" w:rsidP="003676F1">
      <w:pPr>
        <w:pStyle w:val="Title"/>
      </w:pPr>
      <w:r>
        <w:lastRenderedPageBreak/>
        <w:t>… and</w:t>
      </w:r>
      <w:r w:rsidR="00C32477">
        <w:t>,</w:t>
      </w:r>
      <w:r>
        <w:t xml:space="preserve"> </w:t>
      </w:r>
      <w:r w:rsidR="00650958">
        <w:t xml:space="preserve">as a base for further discussions, </w:t>
      </w:r>
      <w:r>
        <w:t>s</w:t>
      </w:r>
      <w:r w:rsidR="0006238C">
        <w:t>ome first conclusions</w:t>
      </w:r>
    </w:p>
    <w:p w14:paraId="29D96F8C" w14:textId="77777777" w:rsidR="00117918" w:rsidRDefault="009D7571" w:rsidP="00C32477">
      <w:pPr>
        <w:pStyle w:val="ListNumber"/>
        <w:numPr>
          <w:ilvl w:val="0"/>
          <w:numId w:val="53"/>
        </w:numPr>
      </w:pPr>
      <w:r>
        <w:t>The emphasis on selecting GPs from GP theme 1 and connectivity type 1 and / or GP theme closely related to GP theme 1 functions (items 7, 8 and 9 in the preceding list) confirms the relevance of the BRIDGES project focus on</w:t>
      </w:r>
      <w:r w:rsidR="00E8132F">
        <w:t xml:space="preserve"> improv</w:t>
      </w:r>
      <w:r>
        <w:t xml:space="preserve">ing </w:t>
      </w:r>
      <w:r w:rsidR="00E8132F">
        <w:t>innovation infrastructures and addressing</w:t>
      </w:r>
      <w:r>
        <w:t xml:space="preserve"> research-to-business approaches.</w:t>
      </w:r>
      <w:r w:rsidR="00554002">
        <w:t xml:space="preserve"> </w:t>
      </w:r>
    </w:p>
    <w:p w14:paraId="7C82652F" w14:textId="4696FFA0" w:rsidR="00B940D3" w:rsidRDefault="00287757" w:rsidP="00C32477">
      <w:pPr>
        <w:pStyle w:val="ListNumber"/>
        <w:numPr>
          <w:ilvl w:val="0"/>
          <w:numId w:val="53"/>
        </w:numPr>
      </w:pPr>
      <w:r>
        <w:t>R</w:t>
      </w:r>
      <w:r w:rsidR="007767B9">
        <w:t>egarding development partnerships, we realise that it is important to (1)</w:t>
      </w:r>
      <w:r w:rsidR="0009602C" w:rsidRPr="00921D3B">
        <w:t xml:space="preserve"> bring together innovation leader regions with less advanced ones</w:t>
      </w:r>
      <w:r w:rsidR="00921D3B">
        <w:t xml:space="preserve"> in view of policy planning and implementation aspects. </w:t>
      </w:r>
      <w:r w:rsidR="00921D3B" w:rsidRPr="00921D3B">
        <w:t xml:space="preserve">To achieve this, win-win situations need to be </w:t>
      </w:r>
      <w:r w:rsidR="00E37FED">
        <w:t xml:space="preserve">identified </w:t>
      </w:r>
      <w:r w:rsidR="00921D3B" w:rsidRPr="00921D3B">
        <w:t>and the tools for coming and staying together should also be defined</w:t>
      </w:r>
      <w:r w:rsidR="007767B9">
        <w:t xml:space="preserve">; (2) </w:t>
      </w:r>
      <w:r w:rsidR="00921D3B">
        <w:t>involve excellence institutions as advisory partners, as they are contributing the most advanced types of case studies as GPs, resulting from e.g. FP7 and Horizon 2020 projects</w:t>
      </w:r>
      <w:r w:rsidR="00E3636B">
        <w:t xml:space="preserve">. Such involvement could be </w:t>
      </w:r>
      <w:r w:rsidR="00921D3B">
        <w:t xml:space="preserve">understood as </w:t>
      </w:r>
      <w:r w:rsidR="00E3636B">
        <w:t xml:space="preserve">part of </w:t>
      </w:r>
      <w:r w:rsidR="00921D3B">
        <w:t>knowledge exploitation</w:t>
      </w:r>
      <w:r w:rsidR="00E3636B">
        <w:t xml:space="preserve"> actions, which is a very important part of all H2020 initiatives</w:t>
      </w:r>
      <w:r w:rsidR="00554002">
        <w:t xml:space="preserve">. </w:t>
      </w:r>
    </w:p>
    <w:p w14:paraId="42ED7F56" w14:textId="30786B81" w:rsidR="00160A6D" w:rsidRDefault="00160A6D" w:rsidP="00C32477">
      <w:pPr>
        <w:pStyle w:val="ListNumber"/>
        <w:numPr>
          <w:ilvl w:val="0"/>
          <w:numId w:val="53"/>
        </w:numPr>
      </w:pPr>
      <w:r>
        <w:t xml:space="preserve">Synergies: </w:t>
      </w:r>
      <w:r w:rsidR="00287757">
        <w:t>W</w:t>
      </w:r>
      <w:r w:rsidR="007767B9">
        <w:t>e recognise that s</w:t>
      </w:r>
      <w:r w:rsidR="0009602C" w:rsidRPr="00921D3B">
        <w:t>ynergies</w:t>
      </w:r>
      <w:r w:rsidR="00E3636B">
        <w:t xml:space="preserve"> with simila</w:t>
      </w:r>
      <w:r w:rsidR="006D78B8">
        <w:t>r / complementary initiatives a</w:t>
      </w:r>
      <w:r w:rsidR="00E3636B">
        <w:t xml:space="preserve">nd learning from the GPs of other projects </w:t>
      </w:r>
      <w:r w:rsidR="0009602C" w:rsidRPr="00921D3B">
        <w:t>are imp</w:t>
      </w:r>
      <w:r w:rsidR="00921D3B">
        <w:t>ortant and should be encouraged</w:t>
      </w:r>
      <w:r w:rsidR="006D78B8">
        <w:t>.</w:t>
      </w:r>
      <w:r w:rsidR="00EE6D3E">
        <w:t xml:space="preserve"> </w:t>
      </w:r>
      <w:r>
        <w:t xml:space="preserve">For example, </w:t>
      </w:r>
      <w:r w:rsidRPr="00160A6D">
        <w:t xml:space="preserve">Patents Bank has been identified by the Interreg Europe project iEER. It will be applied in synergy between iEER and BRIDGES in Helsinki-Uusimaa as it overlaps with the </w:t>
      </w:r>
      <w:r w:rsidR="005B1BC5">
        <w:t>objectives of the both projects</w:t>
      </w:r>
      <w:r w:rsidRPr="00160A6D">
        <w:t>.</w:t>
      </w:r>
    </w:p>
    <w:p w14:paraId="4028687E" w14:textId="4ADABC4D" w:rsidR="00EE451F" w:rsidRDefault="005B1BC5" w:rsidP="00C32477">
      <w:pPr>
        <w:pStyle w:val="ListNumber"/>
        <w:numPr>
          <w:ilvl w:val="0"/>
          <w:numId w:val="53"/>
        </w:numPr>
      </w:pPr>
      <w:r>
        <w:t>Partners have repeatedly recgnised the</w:t>
      </w:r>
      <w:r w:rsidR="00EE451F">
        <w:t xml:space="preserve"> need for interregional innovation funding options on-demand, i.e. innovation vouchers with interregional eligibility and respective support services on the ground. </w:t>
      </w:r>
      <w:r w:rsidR="00667EE9">
        <w:t>Partners decided (12.9.2018) to apply for a pilot action to address this need.</w:t>
      </w:r>
    </w:p>
    <w:p w14:paraId="16C10829" w14:textId="72E8D4FF" w:rsidR="005B1BC5" w:rsidRPr="00160A6D" w:rsidRDefault="005B1BC5" w:rsidP="00667EE9">
      <w:pPr>
        <w:pStyle w:val="ListNumber2"/>
        <w:numPr>
          <w:ilvl w:val="0"/>
          <w:numId w:val="0"/>
        </w:numPr>
        <w:ind w:left="360"/>
      </w:pPr>
    </w:p>
    <w:p w14:paraId="0F0B9254" w14:textId="4BB58820" w:rsidR="006D78B8" w:rsidRDefault="006D78B8" w:rsidP="000F381C"/>
    <w:p w14:paraId="0E340CB8" w14:textId="0941F82F" w:rsidR="00F860A0" w:rsidRDefault="00F860A0" w:rsidP="000F381C">
      <w:r>
        <w:br w:type="page"/>
      </w:r>
    </w:p>
    <w:p w14:paraId="701516A2" w14:textId="78BC3BCE" w:rsidR="00817E9E" w:rsidRPr="00E14342" w:rsidRDefault="00817E9E" w:rsidP="00C701E7">
      <w:pPr>
        <w:pStyle w:val="Heading1"/>
      </w:pPr>
      <w:bookmarkStart w:id="101" w:name="_Toc354494992"/>
      <w:bookmarkStart w:id="102" w:name="_Toc354519068"/>
      <w:bookmarkStart w:id="103" w:name="_Toc368210690"/>
      <w:bookmarkStart w:id="104" w:name="_Toc502477982"/>
      <w:bookmarkStart w:id="105" w:name="_Toc526583513"/>
      <w:bookmarkStart w:id="106" w:name="_References"/>
      <w:bookmarkStart w:id="107" w:name="_Toc526586516"/>
      <w:bookmarkEnd w:id="106"/>
      <w:r w:rsidRPr="00E14342">
        <w:lastRenderedPageBreak/>
        <w:t>References</w:t>
      </w:r>
      <w:bookmarkEnd w:id="83"/>
      <w:bookmarkEnd w:id="101"/>
      <w:bookmarkEnd w:id="102"/>
      <w:bookmarkEnd w:id="103"/>
      <w:bookmarkEnd w:id="104"/>
      <w:bookmarkEnd w:id="105"/>
      <w:bookmarkEnd w:id="107"/>
    </w:p>
    <w:p w14:paraId="741242CE" w14:textId="77777777" w:rsidR="00817E9E" w:rsidRPr="00E14342" w:rsidRDefault="00817E9E" w:rsidP="0071392B">
      <w:pPr>
        <w:pStyle w:val="Heading2"/>
      </w:pPr>
      <w:bookmarkStart w:id="108" w:name="_Toc353104285"/>
      <w:bookmarkStart w:id="109" w:name="_Toc354494993"/>
      <w:bookmarkStart w:id="110" w:name="_Toc354519069"/>
      <w:bookmarkStart w:id="111" w:name="_Toc368210691"/>
      <w:bookmarkStart w:id="112" w:name="_Toc502477983"/>
      <w:bookmarkStart w:id="113" w:name="_Toc526583514"/>
      <w:bookmarkStart w:id="114" w:name="_Toc526586517"/>
      <w:r w:rsidRPr="00E14342">
        <w:t>Some useful readings, Good practice theme 1</w:t>
      </w:r>
      <w:bookmarkEnd w:id="108"/>
      <w:bookmarkEnd w:id="109"/>
      <w:bookmarkEnd w:id="110"/>
      <w:bookmarkEnd w:id="111"/>
      <w:bookmarkEnd w:id="112"/>
      <w:bookmarkEnd w:id="113"/>
      <w:bookmarkEnd w:id="114"/>
    </w:p>
    <w:p w14:paraId="05B3CA31" w14:textId="5ED75FC5" w:rsidR="00BD5805" w:rsidRPr="00E14342" w:rsidRDefault="00BD5805" w:rsidP="00817E9E">
      <w:pPr>
        <w:pStyle w:val="Heading5"/>
      </w:pPr>
      <w:bookmarkStart w:id="115" w:name="_Philip_Cooke,_Mikel"/>
      <w:bookmarkStart w:id="116" w:name="_Toc354494994"/>
      <w:bookmarkStart w:id="117" w:name="_Toc354519070"/>
      <w:bookmarkStart w:id="118" w:name="_Toc368210692"/>
      <w:bookmarkEnd w:id="115"/>
      <w:r w:rsidRPr="00E14342">
        <w:t>Aho Group Report, 2006. Creating an Innovative Europe; set up of the CREST group (European Union, Scientific and Technical Research Committee –CREST).</w:t>
      </w:r>
      <w:bookmarkEnd w:id="116"/>
      <w:bookmarkEnd w:id="117"/>
      <w:bookmarkEnd w:id="118"/>
    </w:p>
    <w:p w14:paraId="5D605E11" w14:textId="77777777" w:rsidR="00BD5805" w:rsidRPr="00E14342" w:rsidRDefault="00BD5805" w:rsidP="00817E9E">
      <w:pPr>
        <w:pStyle w:val="Heading5"/>
      </w:pPr>
      <w:bookmarkStart w:id="119" w:name="_Andrea_Ascani,_Riccardo"/>
      <w:bookmarkStart w:id="120" w:name="_Toc354495038"/>
      <w:bookmarkStart w:id="121" w:name="_Toc354519114"/>
      <w:bookmarkStart w:id="122" w:name="_Toc368210736"/>
      <w:bookmarkEnd w:id="119"/>
      <w:r w:rsidRPr="00E14342">
        <w:t xml:space="preserve">Alexiadis, Stilianos  2012. Neoclassical and Post-Keynesian Theories of Regional Growth and Convergence/Divergence, Chapter </w:t>
      </w:r>
      <w:hyperlink r:id="rId13" w:history="1">
        <w:r w:rsidRPr="00E14342">
          <w:t>Convergence Clubs and Spatial Externalities</w:t>
        </w:r>
      </w:hyperlink>
      <w:r w:rsidRPr="00E14342">
        <w:t xml:space="preserve">, Part of the series </w:t>
      </w:r>
      <w:hyperlink r:id="rId14" w:history="1">
        <w:r w:rsidRPr="00E14342">
          <w:t>Advances in Spatial Science</w:t>
        </w:r>
      </w:hyperlink>
      <w:r w:rsidRPr="00E14342">
        <w:t xml:space="preserve"> pp 9-38.</w:t>
      </w:r>
      <w:bookmarkEnd w:id="120"/>
      <w:bookmarkEnd w:id="121"/>
      <w:bookmarkEnd w:id="122"/>
    </w:p>
    <w:p w14:paraId="550588B8" w14:textId="77777777" w:rsidR="00BD5805" w:rsidRPr="00E14342" w:rsidRDefault="00BD5805" w:rsidP="00817E9E">
      <w:pPr>
        <w:pStyle w:val="Heading5"/>
      </w:pPr>
      <w:bookmarkStart w:id="123" w:name="_Toc354494995"/>
      <w:bookmarkStart w:id="124" w:name="_Toc354519071"/>
      <w:bookmarkStart w:id="125" w:name="_Toc368210693"/>
      <w:r w:rsidRPr="00E14342">
        <w:t>Andrea Ascani, Riccardo Crescenzi, Simona Iammarino, 2012. Regional Economic Development: A Review; FP7 project SEARCH (grant agreement 266834), WP1/03 SEARCH WORKING PAPER.</w:t>
      </w:r>
      <w:bookmarkEnd w:id="123"/>
      <w:bookmarkEnd w:id="124"/>
      <w:bookmarkEnd w:id="125"/>
    </w:p>
    <w:p w14:paraId="505ACCD1" w14:textId="77777777" w:rsidR="00BD5805" w:rsidRPr="00E14342" w:rsidRDefault="00BD5805" w:rsidP="00817E9E">
      <w:pPr>
        <w:pStyle w:val="Heading5"/>
      </w:pPr>
      <w:bookmarkStart w:id="126" w:name="_Benneworth,_P._and"/>
      <w:bookmarkStart w:id="127" w:name="_Toc354494996"/>
      <w:bookmarkStart w:id="128" w:name="_Toc354519072"/>
      <w:bookmarkStart w:id="129" w:name="_Toc368210694"/>
      <w:bookmarkEnd w:id="126"/>
      <w:r w:rsidRPr="00E14342">
        <w:t>Benneworth, P. &amp; G.-J. Hospers (2007), “The New Economic Geography of Old Industrial Regions: Universities as Global–Local Pipelines”, Environment and Planning C: Government and Poliicy, 25(6), pp. 779–802.</w:t>
      </w:r>
      <w:bookmarkEnd w:id="127"/>
      <w:bookmarkEnd w:id="128"/>
      <w:bookmarkEnd w:id="129"/>
    </w:p>
    <w:p w14:paraId="46703CD3" w14:textId="77777777" w:rsidR="00BD5805" w:rsidRPr="00E14342" w:rsidRDefault="00BD5805" w:rsidP="00817E9E">
      <w:pPr>
        <w:pStyle w:val="Heading5"/>
      </w:pPr>
      <w:bookmarkStart w:id="130" w:name="_Toc354494997"/>
      <w:bookmarkStart w:id="131" w:name="_Toc354519073"/>
      <w:bookmarkStart w:id="132" w:name="_Toc368210695"/>
      <w:r w:rsidRPr="00E14342">
        <w:t>Benneworth, P. and A. Dassen (2011), “Strengthening Global-Local Connectivity in Regional Innovation Strategies: Implications for Regional Innovation Policy”, OECD Regional Development Working Papers, 2011/01, OECD Publishing. http://dx.doi.org/10.1787/5kgc6d80nns4-en</w:t>
      </w:r>
      <w:bookmarkEnd w:id="130"/>
      <w:bookmarkEnd w:id="131"/>
      <w:bookmarkEnd w:id="132"/>
    </w:p>
    <w:p w14:paraId="5ADA4EC1" w14:textId="77777777" w:rsidR="00BD5805" w:rsidRPr="00E14342" w:rsidRDefault="00BD5805" w:rsidP="00817E9E">
      <w:pPr>
        <w:pStyle w:val="Heading5"/>
      </w:pPr>
      <w:bookmarkStart w:id="133" w:name="_Toc354494998"/>
      <w:bookmarkStart w:id="134" w:name="_Toc354519074"/>
      <w:bookmarkStart w:id="135" w:name="_Toc368210696"/>
      <w:r w:rsidRPr="00E14342">
        <w:t>Bjørn T. Asheim, Lars Coenen, 2005.  Knowledge bases and regional innovation systems: Comparing Nordic clusters, Research Policy 34 (2005) 1173–1190</w:t>
      </w:r>
      <w:bookmarkEnd w:id="133"/>
      <w:bookmarkEnd w:id="134"/>
      <w:bookmarkEnd w:id="135"/>
    </w:p>
    <w:p w14:paraId="040C35BB" w14:textId="77777777" w:rsidR="00BD5805" w:rsidRPr="00E14342" w:rsidRDefault="00BD5805" w:rsidP="00817E9E">
      <w:pPr>
        <w:pStyle w:val="Heading5"/>
      </w:pPr>
      <w:bookmarkStart w:id="136" w:name="_Thorsten_Böhn_/"/>
      <w:bookmarkStart w:id="137" w:name="_Thorsten_Böhn_/_1"/>
      <w:bookmarkStart w:id="138" w:name="_Toc354494999"/>
      <w:bookmarkStart w:id="139" w:name="_Toc354519075"/>
      <w:bookmarkStart w:id="140" w:name="_Toc368210697"/>
      <w:bookmarkEnd w:id="136"/>
      <w:bookmarkEnd w:id="137"/>
      <w:r w:rsidRPr="00E14342">
        <w:t>Casey J. Dawkins RegiCoordinating the research Framework Programme and the Structural Funds to support Research and Regional Development Theory: Conceptual Foundations, Classic Works, and Recent Developments, CPL Bibliography.</w:t>
      </w:r>
      <w:bookmarkEnd w:id="138"/>
      <w:bookmarkEnd w:id="139"/>
      <w:bookmarkEnd w:id="140"/>
    </w:p>
    <w:p w14:paraId="637604D3" w14:textId="77777777" w:rsidR="00BD5805" w:rsidRPr="00E14342" w:rsidRDefault="00BD5805" w:rsidP="00817E9E">
      <w:pPr>
        <w:pStyle w:val="Heading5"/>
      </w:pPr>
      <w:bookmarkStart w:id="141" w:name="_Toc354495002"/>
      <w:bookmarkStart w:id="142" w:name="_Toc354519078"/>
      <w:bookmarkStart w:id="143" w:name="_Toc368210700"/>
      <w:r w:rsidRPr="00E14342">
        <w:t>Cooke, P (2005), “Regionally Asymmetric Knowledge Capabilities and Open Innovation: Exploring „Globalisation 2‟ – A New Model of Industry Organisation”, Research Policy, 34, pp. 1128-1149.</w:t>
      </w:r>
      <w:bookmarkEnd w:id="141"/>
      <w:bookmarkEnd w:id="142"/>
      <w:bookmarkEnd w:id="143"/>
    </w:p>
    <w:p w14:paraId="41A3EDD7" w14:textId="77777777" w:rsidR="00BD5805" w:rsidRPr="00E14342" w:rsidRDefault="00BD5805" w:rsidP="00817E9E">
      <w:pPr>
        <w:pStyle w:val="Heading5"/>
      </w:pPr>
      <w:bookmarkStart w:id="144" w:name="_Toc354495001"/>
      <w:bookmarkStart w:id="145" w:name="_Toc354519077"/>
      <w:bookmarkStart w:id="146" w:name="_Toc368210699"/>
      <w:r w:rsidRPr="00E14342">
        <w:t>Cooke, P., 2005. The role of research in regional innovation systems: new models meeting knowledge economy demands, Int. J. Technology Management, Vol. 28, Nos. 3/4/5/6, 2004.</w:t>
      </w:r>
      <w:bookmarkEnd w:id="144"/>
      <w:bookmarkEnd w:id="145"/>
      <w:bookmarkEnd w:id="146"/>
    </w:p>
    <w:p w14:paraId="48E82D1E" w14:textId="77777777" w:rsidR="00BD5805" w:rsidRPr="00E14342" w:rsidRDefault="00BD5805" w:rsidP="00817E9E">
      <w:pPr>
        <w:pStyle w:val="Heading5"/>
      </w:pPr>
      <w:bookmarkStart w:id="147" w:name="_CREST_guidelines,_2007."/>
      <w:bookmarkStart w:id="148" w:name="_Toc354495000"/>
      <w:bookmarkStart w:id="149" w:name="_Toc354519076"/>
      <w:bookmarkStart w:id="150" w:name="_Toc368210698"/>
      <w:bookmarkEnd w:id="147"/>
      <w:r w:rsidRPr="00E14342">
        <w:t>Cooke, P., Mikel Gomez Uraga, Goio Etxebarria, 1997. Regional innovation systems: Institutional and organisational dimensions, Research Policy 1997, DOI: 10.1016/S0048-7333(97)00025-5.</w:t>
      </w:r>
      <w:bookmarkEnd w:id="148"/>
      <w:bookmarkEnd w:id="149"/>
      <w:bookmarkEnd w:id="150"/>
    </w:p>
    <w:p w14:paraId="0E17B3D7" w14:textId="77777777" w:rsidR="00BD5805" w:rsidRPr="00E14342" w:rsidRDefault="00BD5805" w:rsidP="00817E9E">
      <w:pPr>
        <w:pStyle w:val="Heading5"/>
      </w:pPr>
      <w:bookmarkStart w:id="151" w:name="_Toc354495003"/>
      <w:bookmarkStart w:id="152" w:name="_Toc354519079"/>
      <w:bookmarkStart w:id="153" w:name="_Toc368210701"/>
      <w:r w:rsidRPr="00E14342">
        <w:t>CREST guidelines, 2007.</w:t>
      </w:r>
      <w:bookmarkEnd w:id="151"/>
      <w:bookmarkEnd w:id="152"/>
      <w:bookmarkEnd w:id="153"/>
    </w:p>
    <w:p w14:paraId="3E5AEDB6" w14:textId="77777777" w:rsidR="00BD5805" w:rsidRPr="00E14342" w:rsidRDefault="00BD5805" w:rsidP="00817E9E">
      <w:pPr>
        <w:pStyle w:val="Heading5"/>
      </w:pPr>
      <w:bookmarkStart w:id="154" w:name="_Toc354495004"/>
      <w:bookmarkStart w:id="155" w:name="_Toc354519080"/>
      <w:bookmarkStart w:id="156" w:name="_Toc368210702"/>
      <w:r w:rsidRPr="00E14342">
        <w:t>CREST report, 2008. Internationalisation of R&amp;D Facing the Challenge of Globalisation: Approaches to a Proactive International Policy in S&amp;T.</w:t>
      </w:r>
      <w:bookmarkEnd w:id="154"/>
      <w:bookmarkEnd w:id="155"/>
      <w:bookmarkEnd w:id="156"/>
    </w:p>
    <w:p w14:paraId="415E3835" w14:textId="77777777" w:rsidR="00BD5805" w:rsidRPr="00E14342" w:rsidRDefault="00BD5805" w:rsidP="00817E9E">
      <w:pPr>
        <w:pStyle w:val="Heading5"/>
      </w:pPr>
      <w:bookmarkStart w:id="157" w:name="_CREST,_Increasing_the"/>
      <w:bookmarkStart w:id="158" w:name="_Toc354495005"/>
      <w:bookmarkStart w:id="159" w:name="_Toc354519081"/>
      <w:bookmarkStart w:id="160" w:name="_Toc368210703"/>
      <w:bookmarkEnd w:id="157"/>
      <w:r w:rsidRPr="00E14342">
        <w:t>CREST report, 2009. Mutual learning on approaches to improve the excellence of research in universities.</w:t>
      </w:r>
      <w:bookmarkEnd w:id="158"/>
      <w:bookmarkEnd w:id="159"/>
      <w:bookmarkEnd w:id="160"/>
    </w:p>
    <w:p w14:paraId="569F21F8" w14:textId="77777777" w:rsidR="00BD5805" w:rsidRPr="00E14342" w:rsidRDefault="00BD5805" w:rsidP="00817E9E">
      <w:pPr>
        <w:pStyle w:val="Heading5"/>
      </w:pPr>
      <w:bookmarkStart w:id="161" w:name="_Dalum,_B.,_Johnson,"/>
      <w:bookmarkStart w:id="162" w:name="_Toc354495006"/>
      <w:bookmarkStart w:id="163" w:name="_Toc354519082"/>
      <w:bookmarkStart w:id="164" w:name="_Toc368210704"/>
      <w:bookmarkEnd w:id="161"/>
      <w:r w:rsidRPr="00E14342">
        <w:lastRenderedPageBreak/>
        <w:t>CREST, Increasing the Impact of National Research Programmes through Transnational Cooperation and Opening, Good practice guide.</w:t>
      </w:r>
      <w:bookmarkEnd w:id="162"/>
      <w:bookmarkEnd w:id="163"/>
      <w:bookmarkEnd w:id="164"/>
    </w:p>
    <w:p w14:paraId="31E70355" w14:textId="77777777" w:rsidR="00BD5805" w:rsidRPr="00E14342" w:rsidRDefault="00BD5805" w:rsidP="00817E9E">
      <w:pPr>
        <w:pStyle w:val="Heading5"/>
      </w:pPr>
      <w:bookmarkStart w:id="165" w:name="_Toc354495007"/>
      <w:bookmarkStart w:id="166" w:name="_Toc354519083"/>
      <w:bookmarkStart w:id="167" w:name="_Toc368210705"/>
      <w:r w:rsidRPr="00E14342">
        <w:t>Dalum, B., Johnson, B., Lundvall, B., 1992. Public policy in the learning society. In: Lundvall, B. (Ed.), National Systems of Innovation: Towards a Theory of Innovation and Interactive Learning. Pinter, London.</w:t>
      </w:r>
      <w:bookmarkEnd w:id="165"/>
      <w:bookmarkEnd w:id="166"/>
      <w:bookmarkEnd w:id="167"/>
    </w:p>
    <w:p w14:paraId="06779E5D" w14:textId="77777777" w:rsidR="00BD5805" w:rsidRPr="00E14342" w:rsidRDefault="00BD5805" w:rsidP="00817E9E">
      <w:pPr>
        <w:pStyle w:val="Heading5"/>
      </w:pPr>
      <w:bookmarkStart w:id="168" w:name="_Toc354495008"/>
      <w:bookmarkStart w:id="169" w:name="_Toc354519084"/>
      <w:bookmarkStart w:id="170" w:name="_Toc368210706"/>
      <w:r w:rsidRPr="00E14342">
        <w:t>Douglas Reeve et al, 2013.  Second Evaluation of VINN Excellence Centres - BiMaC Innovation, BIOMATCELL, CESC, Chase, ECO2, Faste, FunMat, GigaHertz, HELIX, Hero-m, iPACK, Mobile Life, ProNova, SAMOT, SuMo &amp; Wingquist , VINNOVA - Swedish Governmental Agency for Innovation Systems / Verket för Innovationssystem.</w:t>
      </w:r>
      <w:bookmarkEnd w:id="168"/>
      <w:bookmarkEnd w:id="169"/>
      <w:bookmarkEnd w:id="170"/>
    </w:p>
    <w:p w14:paraId="3602F807" w14:textId="77777777" w:rsidR="00BD5805" w:rsidRPr="00E14342" w:rsidRDefault="00BD5805" w:rsidP="00817E9E">
      <w:pPr>
        <w:pStyle w:val="Heading5"/>
      </w:pPr>
      <w:bookmarkStart w:id="171" w:name="_Enterprise_Ireland,_Technology"/>
      <w:bookmarkStart w:id="172" w:name="_Toc354495009"/>
      <w:bookmarkStart w:id="173" w:name="_Toc354519085"/>
      <w:bookmarkStart w:id="174" w:name="_Toc368210707"/>
      <w:bookmarkEnd w:id="171"/>
      <w:r w:rsidRPr="00E14342">
        <w:t>Ebesberger, B. (2005) The Impact of Public R&amp;D Funding, (Espoo: VTT), VTT Publications 588. </w:t>
      </w:r>
      <w:bookmarkEnd w:id="172"/>
      <w:bookmarkEnd w:id="173"/>
      <w:bookmarkEnd w:id="174"/>
    </w:p>
    <w:p w14:paraId="2AF1FEC2" w14:textId="77777777" w:rsidR="00BD5805" w:rsidRPr="00E14342" w:rsidRDefault="00BD5805" w:rsidP="00817E9E">
      <w:pPr>
        <w:pStyle w:val="Heading5"/>
      </w:pPr>
      <w:bookmarkStart w:id="175" w:name="_Toc354495011"/>
      <w:bookmarkStart w:id="176" w:name="_Toc354519087"/>
      <w:bookmarkStart w:id="177" w:name="_Toc368210709"/>
      <w:r w:rsidRPr="00E14342">
        <w:t xml:space="preserve">Enterprise Ireland, Overview of the Industry Led Research Networks Programme, </w:t>
      </w:r>
      <w:hyperlink r:id="rId15" w:history="1">
        <w:r w:rsidRPr="00E14342">
          <w:rPr>
            <w:rStyle w:val="Hyperlink"/>
            <w:sz w:val="20"/>
          </w:rPr>
          <w:t>https://enterprise-ireland.com/en/Research-Innovation/Companies/C...research-institutes/Industry-Led-Research-Networks-Programme.html</w:t>
        </w:r>
      </w:hyperlink>
      <w:r w:rsidRPr="00E14342">
        <w:t xml:space="preserve"> .</w:t>
      </w:r>
      <w:bookmarkEnd w:id="175"/>
      <w:bookmarkEnd w:id="176"/>
      <w:bookmarkEnd w:id="177"/>
    </w:p>
    <w:p w14:paraId="20C726A1" w14:textId="77777777" w:rsidR="00BD5805" w:rsidRPr="00E14342" w:rsidRDefault="00BD5805" w:rsidP="00817E9E">
      <w:pPr>
        <w:pStyle w:val="Heading5"/>
      </w:pPr>
      <w:bookmarkStart w:id="178" w:name="_Toc354495010"/>
      <w:bookmarkStart w:id="179" w:name="_Toc354519086"/>
      <w:bookmarkStart w:id="180" w:name="_Toc368210708"/>
      <w:r w:rsidRPr="00E14342">
        <w:t xml:space="preserve">Enterprise Ireland, Technology Centres. </w:t>
      </w:r>
      <w:hyperlink r:id="rId16" w:history="1">
        <w:r w:rsidRPr="00E14342">
          <w:rPr>
            <w:rStyle w:val="Hyperlink"/>
            <w:sz w:val="20"/>
          </w:rPr>
          <w:t>https://enterprise-ireland.com/en/Research-Innovation/Companies/Collaborate-with-companies-research-institutes/Technology-Centres.html</w:t>
        </w:r>
        <w:bookmarkEnd w:id="178"/>
        <w:bookmarkEnd w:id="179"/>
        <w:bookmarkEnd w:id="180"/>
      </w:hyperlink>
    </w:p>
    <w:p w14:paraId="1321B347" w14:textId="77777777" w:rsidR="00BD5805" w:rsidRPr="00E14342" w:rsidRDefault="00BD5805" w:rsidP="00817E9E">
      <w:pPr>
        <w:pStyle w:val="Heading5"/>
      </w:pPr>
      <w:bookmarkStart w:id="181" w:name="_Toc354495012"/>
      <w:bookmarkStart w:id="182" w:name="_Toc354519088"/>
      <w:bookmarkStart w:id="183" w:name="_Toc368210710"/>
      <w:r w:rsidRPr="00E14342">
        <w:t>Etzkowitz, H. &amp; Leydesdorff, L. (Eds) (2001) Universities and the Global Knowledge Economy. A Triple Helix of University–Industry–Government Relations (London: Continuum). </w:t>
      </w:r>
      <w:bookmarkEnd w:id="181"/>
      <w:bookmarkEnd w:id="182"/>
      <w:bookmarkEnd w:id="183"/>
    </w:p>
    <w:p w14:paraId="0EE75488" w14:textId="77777777" w:rsidR="00BD5805" w:rsidRPr="00E14342" w:rsidRDefault="00BD5805" w:rsidP="00817E9E">
      <w:pPr>
        <w:pStyle w:val="Heading5"/>
      </w:pPr>
      <w:bookmarkStart w:id="184" w:name="_Toc354495014"/>
      <w:bookmarkStart w:id="185" w:name="_Toc354519090"/>
      <w:bookmarkStart w:id="186" w:name="_Toc368210712"/>
      <w:r w:rsidRPr="00E14342">
        <w:t>European Union, 2007. Recommendations of the final report of the Working Group on Policy mix, to CREST group, page 42:</w:t>
      </w:r>
      <w:bookmarkEnd w:id="184"/>
      <w:bookmarkEnd w:id="185"/>
      <w:bookmarkEnd w:id="186"/>
    </w:p>
    <w:p w14:paraId="5BA29F8D" w14:textId="77777777" w:rsidR="00BD5805" w:rsidRPr="00E14342" w:rsidRDefault="00BD5805" w:rsidP="00817E9E">
      <w:pPr>
        <w:pStyle w:val="Heading5"/>
      </w:pPr>
      <w:bookmarkStart w:id="187" w:name="_FFG-Austrian_Research_Promotion"/>
      <w:bookmarkStart w:id="188" w:name="_Toc354495013"/>
      <w:bookmarkStart w:id="189" w:name="_Toc354519089"/>
      <w:bookmarkStart w:id="190" w:name="_Toc368210711"/>
      <w:bookmarkEnd w:id="187"/>
      <w:r w:rsidRPr="00E14342">
        <w:t>Everett M. Rogers, 1983. DIFFUSION OF INNOVATIONS, Third Edition, he Free Press A Division of Macmillan Publishing Co., Inc.</w:t>
      </w:r>
      <w:bookmarkEnd w:id="188"/>
      <w:bookmarkEnd w:id="189"/>
      <w:bookmarkEnd w:id="190"/>
    </w:p>
    <w:p w14:paraId="08CFBC44" w14:textId="77777777" w:rsidR="00BD5805" w:rsidRPr="00E14342" w:rsidRDefault="00BD5805" w:rsidP="00817E9E">
      <w:pPr>
        <w:pStyle w:val="Heading5"/>
      </w:pPr>
      <w:bookmarkStart w:id="191" w:name="_Toc354495015"/>
      <w:bookmarkStart w:id="192" w:name="_Toc354519091"/>
      <w:bookmarkStart w:id="193" w:name="_Toc368210713"/>
      <w:r w:rsidRPr="00E14342">
        <w:t>FFG-Austrian Research Promotion Agency,  2014. 6.4 Proposal Task Force on Competence Centre Programs</w:t>
      </w:r>
      <w:bookmarkEnd w:id="191"/>
      <w:bookmarkEnd w:id="192"/>
      <w:bookmarkEnd w:id="193"/>
    </w:p>
    <w:p w14:paraId="24764097" w14:textId="77777777" w:rsidR="00BD5805" w:rsidRPr="00E14342" w:rsidRDefault="00BD5805" w:rsidP="00817E9E">
      <w:pPr>
        <w:pStyle w:val="Heading5"/>
      </w:pPr>
      <w:bookmarkStart w:id="194" w:name="_Toc354495016"/>
      <w:bookmarkStart w:id="195" w:name="_Toc354519092"/>
      <w:bookmarkStart w:id="196" w:name="_Toc368210714"/>
      <w:r w:rsidRPr="00E14342">
        <w:t>Greg Clark, Joe Huxley, Debra Mountford, 2010. Organising Local Economic Development, THE ROLE OF DEVELOPMENT AGENCIES AND COMPANIES; Local Economic and Employment Development (LEED), OECD 2010, DOI 10.1787/9789264083530-en</w:t>
      </w:r>
      <w:bookmarkEnd w:id="194"/>
      <w:bookmarkEnd w:id="195"/>
      <w:bookmarkEnd w:id="196"/>
    </w:p>
    <w:p w14:paraId="6798AA0F" w14:textId="77777777" w:rsidR="00BD5805" w:rsidRPr="00E14342" w:rsidRDefault="00BD5805" w:rsidP="00817E9E">
      <w:pPr>
        <w:pStyle w:val="Heading5"/>
      </w:pPr>
      <w:bookmarkStart w:id="197" w:name="_Toc354495017"/>
      <w:bookmarkStart w:id="198" w:name="_Toc354519093"/>
      <w:bookmarkStart w:id="199" w:name="_Toc368210715"/>
      <w:r w:rsidRPr="00E14342">
        <w:t>Gülhan BİLEN, 2007. Reviewing the Incisive Influences of the Theories on Regional Economics, Annual International Conference of Regional Studies Association “Regions in Focus?” Universidade de Lisboa, Lisbon, Portugal, 2nd and 5th April 2007.</w:t>
      </w:r>
      <w:bookmarkEnd w:id="197"/>
      <w:bookmarkEnd w:id="198"/>
      <w:bookmarkEnd w:id="199"/>
    </w:p>
    <w:p w14:paraId="66C0ED0B" w14:textId="77777777" w:rsidR="00BD5805" w:rsidRPr="00E14342" w:rsidRDefault="00BD5805" w:rsidP="005A1F6B">
      <w:pPr>
        <w:pStyle w:val="Heading5"/>
        <w:rPr>
          <w:lang w:eastAsia="fi-FI"/>
        </w:rPr>
      </w:pPr>
      <w:bookmarkStart w:id="200" w:name="_JEAN-ALAIN_HEÉRAUD,_2010."/>
      <w:bookmarkStart w:id="201" w:name="_Toc354495018"/>
      <w:bookmarkStart w:id="202" w:name="_Toc354519094"/>
      <w:bookmarkStart w:id="203" w:name="_Toc368210716"/>
      <w:bookmarkEnd w:id="200"/>
      <w:r w:rsidRPr="00E14342">
        <w:lastRenderedPageBreak/>
        <w:t>Inkinen, Tommi, Katri Suorsa, 2010. Intermediaries in Regional Innovation Systems: High-Technology Enterprise Survey from Northern Finland, European Planning Studies · February 2010.</w:t>
      </w:r>
      <w:bookmarkEnd w:id="201"/>
      <w:bookmarkEnd w:id="202"/>
      <w:bookmarkEnd w:id="203"/>
      <w:r w:rsidRPr="00E14342">
        <w:t xml:space="preserve"> </w:t>
      </w:r>
      <w:bookmarkStart w:id="204" w:name="_Toc354495019"/>
      <w:bookmarkStart w:id="205" w:name="_Toc354519095"/>
      <w:bookmarkStart w:id="206" w:name="_Toc368210717"/>
      <w:r w:rsidRPr="00E14342">
        <w:t>Page 10 “(1)  Which intermediaries are the most important to high-technology enterprises?  (2)  What public sector activities and support do high-technology enterprises benefit from  the most?  (3)  What kind of high-technology enterprises benefit the most from intermediaries?  … [Page 8] In the Finnish context, Ebesberger (2005) has done an extensive econometric analysis on public sector R&amp;D investment impacts. Concisely, his view is that public investments have a positive impact on private sector R&amp;D efforts.</w:t>
      </w:r>
      <w:bookmarkEnd w:id="204"/>
      <w:bookmarkEnd w:id="205"/>
      <w:bookmarkEnd w:id="206"/>
      <w:r w:rsidRPr="00E14342">
        <w:rPr>
          <w:lang w:eastAsia="fi-FI"/>
        </w:rPr>
        <w:t xml:space="preserve"> </w:t>
      </w:r>
    </w:p>
    <w:p w14:paraId="1252B8E8" w14:textId="77777777" w:rsidR="00BD5805" w:rsidRPr="00E14342" w:rsidRDefault="00BD5805" w:rsidP="00817E9E">
      <w:pPr>
        <w:pStyle w:val="Heading5"/>
      </w:pPr>
      <w:bookmarkStart w:id="207" w:name="_Toc354495020"/>
      <w:bookmarkStart w:id="208" w:name="_Toc354519096"/>
      <w:bookmarkStart w:id="209" w:name="_Toc368210718"/>
      <w:r w:rsidRPr="00E14342">
        <w:t>JEAN-ALAIN HEÉRAUD, 2010. Regional Innovation Systems and European Research Policy: Convergence or Misunderstanding? European Planning Studies Volume 11, Issue 1, 2003, pages 41-56; 10.1080/09654310303658.</w:t>
      </w:r>
      <w:bookmarkEnd w:id="207"/>
      <w:bookmarkEnd w:id="208"/>
      <w:bookmarkEnd w:id="209"/>
    </w:p>
    <w:p w14:paraId="0A8C6411" w14:textId="77777777" w:rsidR="00BD5805" w:rsidRPr="00E14342" w:rsidRDefault="00BD5805" w:rsidP="00817E9E">
      <w:pPr>
        <w:pStyle w:val="Heading5"/>
      </w:pPr>
      <w:bookmarkStart w:id="210" w:name="_Toc354495021"/>
      <w:bookmarkStart w:id="211" w:name="_Toc354519097"/>
      <w:bookmarkStart w:id="212" w:name="_Toc368210719"/>
      <w:r w:rsidRPr="00E14342">
        <w:t>Kaisa Lähteenmäki-Smith, 2003. Innovation through programming? The finish centres of expertise programme as an instrument of networking and knowledge building. Paper to be presented at the DRUID Summer Conference 2003 on CREATING, SHARING AND TRANSFERRING KNOWLEDGE. The role of Geography, Institutions and Organizations. Copenhagen June 12-14, 2003.</w:t>
      </w:r>
      <w:bookmarkEnd w:id="210"/>
      <w:bookmarkEnd w:id="211"/>
      <w:bookmarkEnd w:id="212"/>
    </w:p>
    <w:p w14:paraId="46E7941A" w14:textId="77777777" w:rsidR="00BD5805" w:rsidRPr="00E14342" w:rsidRDefault="00BD5805" w:rsidP="00817E9E">
      <w:pPr>
        <w:pStyle w:val="Heading5"/>
      </w:pPr>
      <w:bookmarkStart w:id="213" w:name="_Toc354495022"/>
      <w:bookmarkStart w:id="214" w:name="_Toc354519098"/>
      <w:bookmarkStart w:id="215" w:name="_Toc368210720"/>
      <w:r w:rsidRPr="00E14342">
        <w:t>Kaldor, N. (1957) ‘A model of economic growth’, Economic Journal, 67, 591–624. Kaldor, N. (1970) ’The case for regional policies’, Scottish Journal of Political Economy, 18, 337–48. </w:t>
      </w:r>
      <w:bookmarkEnd w:id="213"/>
      <w:bookmarkEnd w:id="214"/>
      <w:bookmarkEnd w:id="215"/>
    </w:p>
    <w:p w14:paraId="3D297E90" w14:textId="77777777" w:rsidR="00BD5805" w:rsidRPr="00E14342" w:rsidRDefault="00BD5805" w:rsidP="00817E9E">
      <w:pPr>
        <w:pStyle w:val="Heading5"/>
      </w:pPr>
      <w:bookmarkStart w:id="216" w:name="_Toc354495023"/>
      <w:bookmarkStart w:id="217" w:name="_Toc354519099"/>
      <w:bookmarkStart w:id="218" w:name="_Toc368210721"/>
      <w:r w:rsidRPr="00E14342">
        <w:t>Kaldor, N. (1972) ‘The irrelevance of equilibrium economics’, The Economic Journal, 82, 1237–55. </w:t>
      </w:r>
      <w:bookmarkEnd w:id="216"/>
      <w:bookmarkEnd w:id="217"/>
      <w:bookmarkEnd w:id="218"/>
    </w:p>
    <w:p w14:paraId="7BE94156" w14:textId="77777777" w:rsidR="00BD5805" w:rsidRPr="00E14342" w:rsidRDefault="00BD5805" w:rsidP="00817E9E">
      <w:pPr>
        <w:pStyle w:val="Heading5"/>
      </w:pPr>
      <w:bookmarkStart w:id="219" w:name="_Toc354495024"/>
      <w:bookmarkStart w:id="220" w:name="_Toc354519100"/>
      <w:bookmarkStart w:id="221" w:name="_Toc368210722"/>
      <w:r w:rsidRPr="00E14342">
        <w:t>Kaldor, N. (1981) ‘The role of increasing returns, technical progress and cumulative causation in the theory of international trade and growth’, Économie Appliquée, 34,</w:t>
      </w:r>
      <w:bookmarkEnd w:id="219"/>
      <w:bookmarkEnd w:id="220"/>
      <w:bookmarkEnd w:id="221"/>
    </w:p>
    <w:p w14:paraId="3E7C7714" w14:textId="77777777" w:rsidR="00BD5805" w:rsidRPr="00E14342" w:rsidRDefault="00BD5805" w:rsidP="00817E9E">
      <w:pPr>
        <w:pStyle w:val="Heading5"/>
      </w:pPr>
      <w:bookmarkStart w:id="222" w:name="_Toc354495025"/>
      <w:bookmarkStart w:id="223" w:name="_Toc354519101"/>
      <w:bookmarkStart w:id="224" w:name="_Toc368210723"/>
      <w:r w:rsidRPr="00E14342">
        <w:t>Kaldor, N. (1985) Economics Without Equilibrium, Cardiff, University College Cardiff Press. </w:t>
      </w:r>
      <w:bookmarkEnd w:id="222"/>
      <w:bookmarkEnd w:id="223"/>
      <w:bookmarkEnd w:id="224"/>
    </w:p>
    <w:p w14:paraId="47F11767" w14:textId="77777777" w:rsidR="00BD5805" w:rsidRPr="00E14342" w:rsidRDefault="00BD5805" w:rsidP="00817E9E">
      <w:pPr>
        <w:pStyle w:val="Heading5"/>
      </w:pPr>
      <w:bookmarkStart w:id="225" w:name="_Toc354495026"/>
      <w:bookmarkStart w:id="226" w:name="_Toc354519102"/>
      <w:bookmarkStart w:id="227" w:name="_Toc368210724"/>
      <w:r w:rsidRPr="00E14342">
        <w:t>Lucas, R.E. (1988) ‘On the mechanics of economic development’, Journal of Monetary Economics, 22, 3–42. </w:t>
      </w:r>
      <w:bookmarkEnd w:id="225"/>
      <w:bookmarkEnd w:id="226"/>
      <w:bookmarkEnd w:id="227"/>
    </w:p>
    <w:p w14:paraId="071B9BCB" w14:textId="77777777" w:rsidR="00BD5805" w:rsidRPr="00E14342" w:rsidRDefault="00BD5805" w:rsidP="00817E9E">
      <w:pPr>
        <w:pStyle w:val="Heading5"/>
        <w:rPr>
          <w:snapToGrid w:val="0"/>
        </w:rPr>
      </w:pPr>
      <w:bookmarkStart w:id="228" w:name="_Toc354495027"/>
      <w:bookmarkStart w:id="229" w:name="_Toc354519103"/>
      <w:bookmarkStart w:id="230" w:name="_Toc368210725"/>
      <w:r w:rsidRPr="00E14342">
        <w:rPr>
          <w:snapToGrid w:val="0"/>
        </w:rPr>
        <w:t>Muller E. and Doloreux D. (2007), The key dimensions of KIBS analysis: a decade of evolution, Working Papers U1. Fraunhofer Institute</w:t>
      </w:r>
      <w:bookmarkEnd w:id="228"/>
      <w:bookmarkEnd w:id="229"/>
      <w:bookmarkEnd w:id="230"/>
    </w:p>
    <w:p w14:paraId="49347843" w14:textId="77777777" w:rsidR="00BD5805" w:rsidRPr="00E14342" w:rsidRDefault="00BD5805" w:rsidP="00817E9E">
      <w:pPr>
        <w:pStyle w:val="Heading5"/>
        <w:rPr>
          <w:rFonts w:cs="Times New Roman"/>
          <w:snapToGrid w:val="0"/>
        </w:rPr>
      </w:pPr>
      <w:bookmarkStart w:id="231" w:name="_Toc354495029"/>
      <w:bookmarkStart w:id="232" w:name="_Toc354519105"/>
      <w:bookmarkStart w:id="233" w:name="_Toc368210727"/>
      <w:r w:rsidRPr="00E14342">
        <w:rPr>
          <w:snapToGrid w:val="0"/>
        </w:rPr>
        <w:t xml:space="preserve">Nauwelaers, C. (2011): “Intermediaries in regional innovation systems: role and challenges for policy”. </w:t>
      </w:r>
      <w:r w:rsidRPr="00E14342">
        <w:rPr>
          <w:rFonts w:cs="Times New Roman"/>
          <w:snapToGrid w:val="0"/>
        </w:rPr>
        <w:t>Handbook of regional innovation and growth. Publisher: Edward Elgar Pub. ISBN-10: 1848444176.</w:t>
      </w:r>
      <w:bookmarkEnd w:id="231"/>
      <w:bookmarkEnd w:id="232"/>
      <w:bookmarkEnd w:id="233"/>
    </w:p>
    <w:p w14:paraId="7CF6810C" w14:textId="77777777" w:rsidR="00BD5805" w:rsidRPr="00E14342" w:rsidRDefault="00BD5805" w:rsidP="00817E9E">
      <w:pPr>
        <w:pStyle w:val="Heading5"/>
      </w:pPr>
      <w:bookmarkStart w:id="234" w:name="_Toc354495028"/>
      <w:bookmarkStart w:id="235" w:name="_Toc354519104"/>
      <w:bookmarkStart w:id="236" w:name="_Toc368210726"/>
      <w:r w:rsidRPr="00E14342">
        <w:t>Nell, E.J. (1992) Transformational Growth and Effective Demand, London, Macmillan.</w:t>
      </w:r>
      <w:bookmarkEnd w:id="234"/>
      <w:bookmarkEnd w:id="235"/>
      <w:bookmarkEnd w:id="236"/>
    </w:p>
    <w:p w14:paraId="17C199FB" w14:textId="77777777" w:rsidR="00BD5805" w:rsidRPr="00E14342" w:rsidRDefault="00BD5805" w:rsidP="00817E9E">
      <w:pPr>
        <w:pStyle w:val="Heading5"/>
      </w:pPr>
      <w:bookmarkStart w:id="237" w:name="_Peter_Stern,_Erik"/>
      <w:bookmarkStart w:id="238" w:name="_Toc354495030"/>
      <w:bookmarkStart w:id="239" w:name="_Toc354519106"/>
      <w:bookmarkStart w:id="240" w:name="_Toc368210728"/>
      <w:bookmarkEnd w:id="237"/>
      <w:r w:rsidRPr="00E14342">
        <w:t>Pasinetti, L. (1981) Structural Change and Economic Growth: A Theoretical Essay on the Dynamics of the Wealth of Nations, Cambridge, Cambridge University Press.</w:t>
      </w:r>
      <w:bookmarkEnd w:id="238"/>
      <w:bookmarkEnd w:id="239"/>
      <w:bookmarkEnd w:id="240"/>
    </w:p>
    <w:p w14:paraId="793CE5F5" w14:textId="77777777" w:rsidR="00BD5805" w:rsidRPr="00E14342" w:rsidRDefault="00BD5805" w:rsidP="00817E9E">
      <w:pPr>
        <w:pStyle w:val="Heading5"/>
      </w:pPr>
      <w:bookmarkStart w:id="241" w:name="_Toc354495031"/>
      <w:bookmarkStart w:id="242" w:name="_Toc354519107"/>
      <w:bookmarkStart w:id="243" w:name="_Toc368210729"/>
      <w:r w:rsidRPr="00E14342">
        <w:t>Peter Stern, Erik Arnold, Malin Carlberg, Tobias Fridholm, Cristina Rosemberg &amp; Miriam Terrell, 2013. Long Term Industrial Impacts of the Swedish Competence Centres, ISBN: 978-91-86517-92-2.</w:t>
      </w:r>
      <w:bookmarkEnd w:id="241"/>
      <w:bookmarkEnd w:id="242"/>
      <w:bookmarkEnd w:id="243"/>
    </w:p>
    <w:p w14:paraId="304ED58D" w14:textId="77777777" w:rsidR="00BD5805" w:rsidRPr="00E14342" w:rsidRDefault="00BD5805" w:rsidP="00817E9E">
      <w:pPr>
        <w:pStyle w:val="Heading5"/>
      </w:pPr>
      <w:bookmarkStart w:id="244" w:name="_Toc354495032"/>
      <w:bookmarkStart w:id="245" w:name="_Toc354519108"/>
      <w:bookmarkStart w:id="246" w:name="_Toc368210730"/>
      <w:r w:rsidRPr="00E14342">
        <w:lastRenderedPageBreak/>
        <w:t>Philippe De Lombaerde, Luk Van Langenhove, 2005.  Indicators of regional integration: methodological issues. IIIS Discussion Paper No.64/March 2005.</w:t>
      </w:r>
      <w:bookmarkEnd w:id="244"/>
      <w:bookmarkEnd w:id="245"/>
      <w:bookmarkEnd w:id="246"/>
    </w:p>
    <w:p w14:paraId="5B634B47" w14:textId="77777777" w:rsidR="00BD5805" w:rsidRPr="00E14342" w:rsidRDefault="00BD5805" w:rsidP="00BD5805">
      <w:pPr>
        <w:pStyle w:val="Heading5"/>
      </w:pPr>
      <w:bookmarkStart w:id="247" w:name="_Toc354495042"/>
      <w:bookmarkStart w:id="248" w:name="_Toc354519118"/>
      <w:bookmarkStart w:id="249" w:name="_Toc368210740"/>
      <w:r w:rsidRPr="00E14342">
        <w:t>Pons, Xabier Alberdi, Juan José Gibaja Martíns, and Mario Davide Parrilli, 2014. Intermediaries and Regional Innovation Systemic behavior: A typology for Spain; CIRCLE, Papers in Innovation Studies, Paper no. 2014/20.</w:t>
      </w:r>
      <w:bookmarkStart w:id="250" w:name="_Toc354495043"/>
      <w:bookmarkStart w:id="251" w:name="_Toc354519119"/>
      <w:bookmarkStart w:id="252" w:name="_Toc368210741"/>
      <w:bookmarkEnd w:id="247"/>
      <w:bookmarkEnd w:id="248"/>
      <w:bookmarkEnd w:id="249"/>
      <w:r w:rsidRPr="00E14342">
        <w:t xml:space="preserve"> Page 32: Nevertheless, their adaptation is not an easy process, bringing to the fore a number of tensions. First, intermediary organizations have grown in a somewhat “anarchic” way, becoming too numerous and important to remain ignored (Muller and Doloreux, 2007; Nauwelaers, 2011). Second, and due to rapid changes in innovation environments, their services are sometimes incoherent; while other times invisible or even overlapping.</w:t>
      </w:r>
      <w:bookmarkEnd w:id="250"/>
      <w:bookmarkEnd w:id="251"/>
      <w:bookmarkEnd w:id="252"/>
    </w:p>
    <w:p w14:paraId="0B4BC075" w14:textId="77777777" w:rsidR="00BD5805" w:rsidRPr="00E14342" w:rsidRDefault="00BD5805" w:rsidP="00817E9E">
      <w:pPr>
        <w:pStyle w:val="Heading5"/>
      </w:pPr>
      <w:bookmarkStart w:id="253" w:name="_Toc354495033"/>
      <w:bookmarkStart w:id="254" w:name="_Toc354519109"/>
      <w:bookmarkStart w:id="255" w:name="_Toc368210731"/>
      <w:r w:rsidRPr="00E14342">
        <w:t>Setterfield, M. (1997a) ‘Should economists dispense with the notion of equilibrium?’ Journal of Post Keynesian Economics, 20, 47–76. </w:t>
      </w:r>
      <w:bookmarkEnd w:id="253"/>
      <w:bookmarkEnd w:id="254"/>
      <w:bookmarkEnd w:id="255"/>
    </w:p>
    <w:p w14:paraId="7422FDED" w14:textId="77777777" w:rsidR="00BD5805" w:rsidRPr="00E14342" w:rsidRDefault="00BD5805" w:rsidP="00817E9E">
      <w:pPr>
        <w:pStyle w:val="Heading5"/>
      </w:pPr>
      <w:bookmarkStart w:id="256" w:name="_Toc354495034"/>
      <w:bookmarkStart w:id="257" w:name="_Toc354519110"/>
      <w:bookmarkStart w:id="258" w:name="_Toc368210732"/>
      <w:r w:rsidRPr="00E14342">
        <w:t>Setterfield, M. (1997b) Rapid Growth and Relative Decline: Modelling Macroeconomic Dynamics with Hysteresis, London, Macmillan.</w:t>
      </w:r>
      <w:bookmarkEnd w:id="256"/>
      <w:bookmarkEnd w:id="257"/>
      <w:bookmarkEnd w:id="258"/>
    </w:p>
    <w:p w14:paraId="7D745A7D" w14:textId="77777777" w:rsidR="00BD5805" w:rsidRPr="00E14342" w:rsidRDefault="00BD5805" w:rsidP="00817E9E">
      <w:pPr>
        <w:pStyle w:val="Heading5"/>
      </w:pPr>
      <w:bookmarkStart w:id="259" w:name="_Toc354495035"/>
      <w:bookmarkStart w:id="260" w:name="_Toc354519111"/>
      <w:bookmarkStart w:id="261" w:name="_Toc368210733"/>
      <w:r w:rsidRPr="00E14342">
        <w:t>Setterfield, M.2002. Chapter 1Introduction: a dissenter’s view of the development of growth theory and the importance of demand-led growth; Published in print: 26 Jun 2002 ISBN:9781840641776, eISBN:9781843765325, DOI:10.4337/9781843765325, Pages:320</w:t>
      </w:r>
      <w:bookmarkEnd w:id="259"/>
      <w:bookmarkEnd w:id="260"/>
      <w:bookmarkEnd w:id="261"/>
    </w:p>
    <w:p w14:paraId="73C0751A" w14:textId="77777777" w:rsidR="00BD5805" w:rsidRPr="00E14342" w:rsidRDefault="00BD5805" w:rsidP="00817E9E">
      <w:pPr>
        <w:pStyle w:val="Heading5"/>
      </w:pPr>
      <w:bookmarkStart w:id="262" w:name="_Toc354495036"/>
      <w:bookmarkStart w:id="263" w:name="_Toc354519112"/>
      <w:bookmarkStart w:id="264" w:name="_Toc368210734"/>
      <w:r w:rsidRPr="00E14342">
        <w:t>Solow, R. (1956) ‘A contribution to the theory of economic growth’, Quarterly Journal of Economics, 70, 65–94.</w:t>
      </w:r>
      <w:bookmarkEnd w:id="262"/>
      <w:bookmarkEnd w:id="263"/>
      <w:bookmarkEnd w:id="264"/>
    </w:p>
    <w:p w14:paraId="395964DA" w14:textId="77777777" w:rsidR="00BD5805" w:rsidRPr="00E14342" w:rsidRDefault="00BD5805" w:rsidP="00817E9E">
      <w:pPr>
        <w:pStyle w:val="Heading5"/>
        <w:rPr>
          <w:color w:val="auto"/>
        </w:rPr>
      </w:pPr>
      <w:bookmarkStart w:id="265" w:name="_Toc354495037"/>
      <w:bookmarkStart w:id="266" w:name="_Toc354519113"/>
      <w:bookmarkStart w:id="267" w:name="_Toc368210735"/>
      <w:r w:rsidRPr="00E14342">
        <w:t xml:space="preserve">Sonn J. and Storper M., 2008. The increasing importance of geographical proximity in knowledge production: An analysis of US patent citations, 1975-1997. </w:t>
      </w:r>
      <w:r w:rsidRPr="00E14342">
        <w:rPr>
          <w:i/>
          <w:iCs/>
        </w:rPr>
        <w:t xml:space="preserve">Environment and Planning A </w:t>
      </w:r>
      <w:r w:rsidRPr="00E14342">
        <w:rPr>
          <w:bCs/>
        </w:rPr>
        <w:t>40</w:t>
      </w:r>
      <w:r w:rsidRPr="00E14342">
        <w:t>, 1020-1039. </w:t>
      </w:r>
      <w:bookmarkEnd w:id="265"/>
      <w:bookmarkEnd w:id="266"/>
      <w:bookmarkEnd w:id="267"/>
    </w:p>
    <w:p w14:paraId="357EC328" w14:textId="77777777" w:rsidR="00BD5805" w:rsidRPr="00E14342" w:rsidRDefault="00BD5805" w:rsidP="00817E9E">
      <w:pPr>
        <w:pStyle w:val="Heading5"/>
        <w:rPr>
          <w:sz w:val="24"/>
        </w:rPr>
      </w:pPr>
      <w:bookmarkStart w:id="268" w:name="_Toc354495039"/>
      <w:bookmarkStart w:id="269" w:name="_Toc354519115"/>
      <w:bookmarkStart w:id="270" w:name="_Toc368210737"/>
      <w:r w:rsidRPr="00E14342">
        <w:t xml:space="preserve">Storper M. and Venables A., 2004. Buzz: face-to-face contact and the urban economy. </w:t>
      </w:r>
      <w:r w:rsidRPr="00E14342">
        <w:rPr>
          <w:i/>
          <w:iCs/>
        </w:rPr>
        <w:t xml:space="preserve">Journal of Economic Geography </w:t>
      </w:r>
      <w:r w:rsidRPr="00E14342">
        <w:rPr>
          <w:bCs/>
        </w:rPr>
        <w:t>4</w:t>
      </w:r>
      <w:r w:rsidRPr="00E14342">
        <w:t>, 351-370.</w:t>
      </w:r>
      <w:bookmarkEnd w:id="268"/>
      <w:bookmarkEnd w:id="269"/>
      <w:bookmarkEnd w:id="270"/>
    </w:p>
    <w:p w14:paraId="5B11A5B4" w14:textId="77777777" w:rsidR="00BD5805" w:rsidRPr="00E14342" w:rsidRDefault="00BD5805" w:rsidP="00817E9E">
      <w:pPr>
        <w:pStyle w:val="Heading5"/>
      </w:pPr>
      <w:bookmarkStart w:id="271" w:name="_Toc354495040"/>
      <w:bookmarkStart w:id="272" w:name="_Toc354519116"/>
      <w:bookmarkStart w:id="273" w:name="_Toc368210738"/>
      <w:r w:rsidRPr="00E14342">
        <w:t xml:space="preserve">Storper M., 1995. The resurgence of regional economies, ten years later: The region as a nexus of untraded interdependencies. </w:t>
      </w:r>
      <w:r w:rsidRPr="00E14342">
        <w:rPr>
          <w:i/>
          <w:iCs/>
        </w:rPr>
        <w:t xml:space="preserve">European Urban and Regional Studies </w:t>
      </w:r>
      <w:r w:rsidRPr="00E14342">
        <w:rPr>
          <w:bCs/>
        </w:rPr>
        <w:t>2</w:t>
      </w:r>
      <w:r w:rsidRPr="00E14342">
        <w:t>, 191-221.</w:t>
      </w:r>
      <w:bookmarkEnd w:id="271"/>
      <w:bookmarkEnd w:id="272"/>
      <w:bookmarkEnd w:id="273"/>
    </w:p>
    <w:p w14:paraId="4F0ED1DE" w14:textId="77777777" w:rsidR="00BD5805" w:rsidRPr="00E14342" w:rsidRDefault="00BD5805" w:rsidP="00817E9E">
      <w:pPr>
        <w:pStyle w:val="Heading5"/>
      </w:pPr>
      <w:bookmarkStart w:id="274" w:name="_Toc354495041"/>
      <w:bookmarkStart w:id="275" w:name="_Toc354519117"/>
      <w:bookmarkStart w:id="276" w:name="_Toc368210739"/>
      <w:r w:rsidRPr="00E14342">
        <w:t>Thorsten Böhn / Walter Thomi, 2004. Knowledge Intensive Business Services in Regional Systems of Innovation –the Case of Southeast-Finland.</w:t>
      </w:r>
      <w:bookmarkEnd w:id="274"/>
      <w:bookmarkEnd w:id="275"/>
      <w:bookmarkEnd w:id="276"/>
    </w:p>
    <w:p w14:paraId="617F355B" w14:textId="77777777" w:rsidR="0071392B" w:rsidRDefault="0071392B" w:rsidP="0071392B">
      <w:pPr>
        <w:pStyle w:val="Heading2"/>
      </w:pPr>
      <w:bookmarkStart w:id="277" w:name="_Toc353104286"/>
      <w:bookmarkStart w:id="278" w:name="_Toc354495044"/>
      <w:bookmarkStart w:id="279" w:name="_Toc354519120"/>
      <w:bookmarkStart w:id="280" w:name="_Toc368210742"/>
      <w:bookmarkStart w:id="281" w:name="_Toc502477984"/>
    </w:p>
    <w:p w14:paraId="4E208966" w14:textId="55560EB6" w:rsidR="00817E9E" w:rsidRPr="00E14342" w:rsidRDefault="00817E9E" w:rsidP="0071392B">
      <w:pPr>
        <w:pStyle w:val="Heading2"/>
      </w:pPr>
      <w:bookmarkStart w:id="282" w:name="_Toc526583515"/>
      <w:bookmarkStart w:id="283" w:name="_Toc526586518"/>
      <w:r w:rsidRPr="00E14342">
        <w:t>Some useful readings, Good practice theme 2</w:t>
      </w:r>
      <w:bookmarkStart w:id="284" w:name="_Toc354495045"/>
      <w:bookmarkStart w:id="285" w:name="_Toc354519121"/>
      <w:bookmarkStart w:id="286" w:name="_Toc368210743"/>
      <w:bookmarkEnd w:id="277"/>
      <w:bookmarkEnd w:id="278"/>
      <w:bookmarkEnd w:id="279"/>
      <w:bookmarkEnd w:id="280"/>
      <w:bookmarkEnd w:id="281"/>
      <w:bookmarkEnd w:id="282"/>
      <w:bookmarkEnd w:id="283"/>
    </w:p>
    <w:p w14:paraId="5143FC20" w14:textId="282ADE60" w:rsidR="00817E9E" w:rsidRPr="00E14342" w:rsidRDefault="00817E9E" w:rsidP="00276916">
      <w:pPr>
        <w:pStyle w:val="Heading5"/>
      </w:pPr>
      <w:r w:rsidRPr="00E14342">
        <w:t>Agricultural Knowledge and Innovation Systems towards the future. A Foresight Paper (Strategic Working Group AKIS-3 Report, AKIS, 2016).</w:t>
      </w:r>
      <w:bookmarkEnd w:id="284"/>
      <w:bookmarkEnd w:id="285"/>
      <w:bookmarkEnd w:id="286"/>
    </w:p>
    <w:p w14:paraId="382C2AF2" w14:textId="48E3F558" w:rsidR="00817E9E" w:rsidRPr="00E14342" w:rsidRDefault="00817E9E" w:rsidP="00276916">
      <w:pPr>
        <w:pStyle w:val="Heading5"/>
      </w:pPr>
      <w:bookmarkStart w:id="287" w:name="_BERST_(2016)._Good"/>
      <w:bookmarkStart w:id="288" w:name="_Toc354495046"/>
      <w:bookmarkStart w:id="289" w:name="_Toc354519122"/>
      <w:bookmarkStart w:id="290" w:name="_Toc368210744"/>
      <w:bookmarkEnd w:id="287"/>
      <w:r w:rsidRPr="00E14342">
        <w:lastRenderedPageBreak/>
        <w:t xml:space="preserve">BERST (2016). Good Practices in selected </w:t>
      </w:r>
      <w:r w:rsidR="00D444D1" w:rsidRPr="00E14342">
        <w:t>bio economy</w:t>
      </w:r>
      <w:r w:rsidRPr="00E14342">
        <w:t xml:space="preserve"> sector clusters; a comparative analysis;  publication from FP7 BERST project, "BioEconomy Regional Strategy Toolkit Imperial College London (eds); JAMK &amp; Region of Central Finland; BioCampus Straubing GmbH &amp; FNR; Wageningen University, Gemeente Westland &amp; </w:t>
      </w:r>
      <w:r w:rsidR="00571D9B" w:rsidRPr="00E14342">
        <w:t>Bio based</w:t>
      </w:r>
      <w:r w:rsidRPr="00E14342">
        <w:t xml:space="preserve"> Delta</w:t>
      </w:r>
      <w:r w:rsidR="008547BE">
        <w:rPr>
          <w:rStyle w:val="FootnoteReference"/>
        </w:rPr>
        <w:footnoteReference w:id="25"/>
      </w:r>
      <w:r w:rsidRPr="00E14342">
        <w:t>.</w:t>
      </w:r>
      <w:bookmarkEnd w:id="288"/>
      <w:bookmarkEnd w:id="289"/>
      <w:bookmarkEnd w:id="290"/>
    </w:p>
    <w:p w14:paraId="11785F28" w14:textId="77777777" w:rsidR="00817E9E" w:rsidRPr="00E14342" w:rsidRDefault="00817E9E" w:rsidP="00276916">
      <w:pPr>
        <w:pStyle w:val="Heading5"/>
      </w:pPr>
      <w:bookmarkStart w:id="291" w:name="_Toc354495047"/>
      <w:bookmarkStart w:id="292" w:name="_Toc354519123"/>
      <w:bookmarkStart w:id="293" w:name="_Toc368210745"/>
      <w:r w:rsidRPr="00E14342">
        <w:t>EC (2010) An Integrated Industrial Policy for the Globalisation Era. Putting Competitiveness and Sustainability at Centre Stage, COM(2010) 614 Final, Brussels</w:t>
      </w:r>
      <w:bookmarkEnd w:id="291"/>
      <w:bookmarkEnd w:id="292"/>
      <w:bookmarkEnd w:id="293"/>
    </w:p>
    <w:p w14:paraId="51E741D2" w14:textId="77777777" w:rsidR="00817E9E" w:rsidRPr="00E14342" w:rsidRDefault="00817E9E" w:rsidP="00276916">
      <w:pPr>
        <w:pStyle w:val="Heading5"/>
      </w:pPr>
      <w:bookmarkStart w:id="294" w:name="_Toc354495048"/>
      <w:bookmarkStart w:id="295" w:name="_Toc354519124"/>
      <w:bookmarkStart w:id="296" w:name="_Toc368210746"/>
      <w:r w:rsidRPr="00E14342">
        <w:t>EC (2011). A Resource-efficient Europe—Flagship Initiative Under the Europe 2020 Strategy. COM(2011) 21, BrusselsEC (2012), Innovating for Sustainable Growth: A Bioeconomy for Europe; Brussels, Communication from the Commission to the European Parliament, the Council, the European Economic and Social Committee and the Committee of the Regions, COM(2012) 60 final, February 13</w:t>
      </w:r>
      <w:bookmarkEnd w:id="294"/>
      <w:bookmarkEnd w:id="295"/>
      <w:bookmarkEnd w:id="296"/>
    </w:p>
    <w:p w14:paraId="2FD4E949" w14:textId="39D0FC6C" w:rsidR="00817E9E" w:rsidRPr="00E14342" w:rsidRDefault="00817E9E" w:rsidP="00276916">
      <w:pPr>
        <w:pStyle w:val="Heading5"/>
      </w:pPr>
      <w:bookmarkStart w:id="297" w:name="_Toc354495049"/>
      <w:bookmarkStart w:id="298" w:name="_Toc354519125"/>
      <w:bookmarkStart w:id="299" w:name="_Toc368210747"/>
      <w:r w:rsidRPr="00E14342">
        <w:t xml:space="preserve">Imperial College London, et al. (2015), Good Practices in selected </w:t>
      </w:r>
      <w:r w:rsidR="00D444D1" w:rsidRPr="00E14342">
        <w:t>bio economy</w:t>
      </w:r>
      <w:r w:rsidRPr="00E14342">
        <w:t xml:space="preserve"> sector clusters; a comparative analysis. BERST.</w:t>
      </w:r>
      <w:bookmarkEnd w:id="297"/>
      <w:bookmarkEnd w:id="298"/>
      <w:bookmarkEnd w:id="299"/>
    </w:p>
    <w:p w14:paraId="160660C0" w14:textId="77777777" w:rsidR="00817E9E" w:rsidRPr="00E14342" w:rsidRDefault="00817E9E" w:rsidP="00276916">
      <w:pPr>
        <w:pStyle w:val="Heading5"/>
      </w:pPr>
      <w:bookmarkStart w:id="300" w:name="_Toc354495050"/>
      <w:bookmarkStart w:id="301" w:name="_Toc354519126"/>
      <w:bookmarkStart w:id="302" w:name="_Toc368210748"/>
      <w:r w:rsidRPr="00E14342">
        <w:lastRenderedPageBreak/>
        <w:t>Christian Ketels (2015), Competitiveness and Clusters: Implications for a New European Growth Strategy. Working Paper no 84. MS48 “Policy paper: Role of clusters, competitiveness in the new orientation of the European growth strategy”.</w:t>
      </w:r>
      <w:bookmarkEnd w:id="300"/>
      <w:bookmarkEnd w:id="301"/>
      <w:bookmarkEnd w:id="302"/>
    </w:p>
    <w:p w14:paraId="431A3F6E" w14:textId="3F0DA7F4" w:rsidR="00817E9E" w:rsidRPr="00E14342" w:rsidRDefault="00817E9E" w:rsidP="00773C62">
      <w:pPr>
        <w:pStyle w:val="Heading5"/>
      </w:pPr>
      <w:bookmarkStart w:id="303" w:name="_Toc354495051"/>
      <w:bookmarkStart w:id="304" w:name="_Toc354519127"/>
      <w:bookmarkStart w:id="305" w:name="_Toc368210749"/>
      <w:r w:rsidRPr="00E14342">
        <w:t>LEI Wageningen UR (NL), Berst Final report , "BioEconomy Regional Strategy Toolkit". December 23, 2015</w:t>
      </w:r>
      <w:bookmarkStart w:id="306" w:name="_Toc354495052"/>
      <w:bookmarkStart w:id="307" w:name="_Toc354519128"/>
      <w:bookmarkStart w:id="308" w:name="_Toc368210750"/>
      <w:bookmarkEnd w:id="303"/>
      <w:bookmarkEnd w:id="304"/>
      <w:bookmarkEnd w:id="305"/>
      <w:r w:rsidR="00773C62" w:rsidRPr="00E14342">
        <w:t xml:space="preserve">, </w:t>
      </w:r>
      <w:r w:rsidRPr="00E14342">
        <w:t>Grant agreement no: 613671.</w:t>
      </w:r>
      <w:bookmarkEnd w:id="306"/>
      <w:bookmarkEnd w:id="307"/>
      <w:bookmarkEnd w:id="308"/>
    </w:p>
    <w:p w14:paraId="129074B1" w14:textId="77777777" w:rsidR="00773C62" w:rsidRPr="00E14342" w:rsidRDefault="00817E9E" w:rsidP="00773C62">
      <w:pPr>
        <w:pStyle w:val="Heading5"/>
      </w:pPr>
      <w:bookmarkStart w:id="309" w:name="_Toc354495053"/>
      <w:bookmarkStart w:id="310" w:name="_Toc354519129"/>
      <w:bookmarkStart w:id="311" w:name="_Toc368210751"/>
      <w:r w:rsidRPr="00E14342">
        <w:t>Göran Lindqvist, Christian Ketels (2013), Örjan Sölvell. The Cluster Initiative Greenbook 2.0</w:t>
      </w:r>
      <w:bookmarkEnd w:id="309"/>
      <w:bookmarkEnd w:id="310"/>
      <w:bookmarkEnd w:id="311"/>
      <w:r w:rsidR="00773C62" w:rsidRPr="00E14342">
        <w:t>.</w:t>
      </w:r>
      <w:bookmarkStart w:id="312" w:name="_McCormick,_K._and"/>
      <w:bookmarkStart w:id="313" w:name="_Toc354495054"/>
      <w:bookmarkStart w:id="314" w:name="_Toc354519130"/>
      <w:bookmarkStart w:id="315" w:name="_Toc368210752"/>
      <w:bookmarkEnd w:id="312"/>
      <w:r w:rsidR="00773C62" w:rsidRPr="00E14342">
        <w:t xml:space="preserve"> </w:t>
      </w:r>
    </w:p>
    <w:p w14:paraId="12A42DCD" w14:textId="77777777" w:rsidR="00773C62" w:rsidRPr="00E14342" w:rsidRDefault="00817E9E" w:rsidP="00773C62">
      <w:pPr>
        <w:pStyle w:val="Heading5"/>
      </w:pPr>
      <w:r w:rsidRPr="00E14342">
        <w:t xml:space="preserve">McCormick, K. and N. Kautto (2013). The Bioeconomy in Europe: An Overview  Sustainability 2013, 5, 2589-2608Oxford Research AS (2008), Cluster policy in Europe; A brief summary of cluster policies in 31 European countries; Kristiansand, Europe Innova Cluster Mapping Project; Via website: </w:t>
      </w:r>
    </w:p>
    <w:p w14:paraId="5F5F2FDA" w14:textId="3F7DC8C5" w:rsidR="00817E9E" w:rsidRPr="00E14342" w:rsidRDefault="00F53DA7" w:rsidP="00773C62">
      <w:pPr>
        <w:pStyle w:val="Heading5"/>
      </w:pPr>
      <w:hyperlink r:id="rId17" w:history="1">
        <w:r w:rsidR="00817E9E" w:rsidRPr="00E14342">
          <w:rPr>
            <w:rStyle w:val="Hyperlink"/>
            <w:lang w:eastAsia="en-GB"/>
          </w:rPr>
          <w:t>http://www.clusterobservatory.eu/system/modules/com.gridnine.opencms.modules.eco/providers/getpdf.jsp?uid=100146</w:t>
        </w:r>
        <w:bookmarkEnd w:id="313"/>
        <w:bookmarkEnd w:id="314"/>
        <w:bookmarkEnd w:id="315"/>
      </w:hyperlink>
    </w:p>
    <w:p w14:paraId="61BBA66B" w14:textId="77777777" w:rsidR="00817E9E" w:rsidRPr="00E14342" w:rsidRDefault="00817E9E" w:rsidP="00276916">
      <w:pPr>
        <w:pStyle w:val="Heading5"/>
      </w:pPr>
      <w:bookmarkStart w:id="316" w:name="_Toc354495055"/>
      <w:bookmarkStart w:id="317" w:name="_Toc354519131"/>
      <w:bookmarkStart w:id="318" w:name="_Toc368210753"/>
      <w:r w:rsidRPr="00E14342">
        <w:t>Netmatch (2012) Inspirational Catalogue. Matchmaking, knowledge sharing and idea creation. The Danish Agency for Science, Technology and Innovation.</w:t>
      </w:r>
      <w:bookmarkEnd w:id="316"/>
      <w:bookmarkEnd w:id="317"/>
      <w:bookmarkEnd w:id="318"/>
    </w:p>
    <w:p w14:paraId="76EC4A1C" w14:textId="77777777" w:rsidR="00817E9E" w:rsidRPr="00E14342" w:rsidRDefault="00817E9E" w:rsidP="00276916">
      <w:pPr>
        <w:pStyle w:val="Heading5"/>
      </w:pPr>
      <w:bookmarkStart w:id="319" w:name="_Toc354495056"/>
      <w:bookmarkStart w:id="320" w:name="_Toc354519132"/>
      <w:bookmarkStart w:id="321" w:name="_Toc368210754"/>
      <w:r w:rsidRPr="00E14342">
        <w:t xml:space="preserve">PwC (2011), Regional Biotechnology Establishing a methodology and performance indicators for assessing bioclusters and bioregions relevant to the KBBE area; Brussels; Via website: </w:t>
      </w:r>
      <w:hyperlink r:id="rId18" w:history="1">
        <w:r w:rsidRPr="00E14342">
          <w:rPr>
            <w:rStyle w:val="Hyperlink"/>
            <w:lang w:eastAsia="en-GB"/>
          </w:rPr>
          <w:t>http://ec.europa.eu/research/bioeconomy/pdf/regional-biotech-report.pdf</w:t>
        </w:r>
        <w:bookmarkEnd w:id="319"/>
        <w:bookmarkEnd w:id="320"/>
        <w:bookmarkEnd w:id="321"/>
      </w:hyperlink>
    </w:p>
    <w:p w14:paraId="61E3FBF2" w14:textId="43F32B79" w:rsidR="00817E9E" w:rsidRPr="00E14342" w:rsidRDefault="00817E9E" w:rsidP="00276916">
      <w:pPr>
        <w:pStyle w:val="Heading5"/>
      </w:pPr>
      <w:bookmarkStart w:id="322" w:name="_Toc354495057"/>
      <w:bookmarkStart w:id="323" w:name="_Toc354519133"/>
      <w:bookmarkStart w:id="324" w:name="_Toc368210755"/>
      <w:r w:rsidRPr="00E14342">
        <w:t xml:space="preserve">SAT-BB consortium (2013). Tools for evaluating and monitoring the EU </w:t>
      </w:r>
      <w:r w:rsidR="00D444D1" w:rsidRPr="00E14342">
        <w:t>bio economy</w:t>
      </w:r>
      <w:r w:rsidRPr="00E14342">
        <w:t>: Indicators. Deliverable 2.2, LEI-Wageningen UR, The Hague</w:t>
      </w:r>
      <w:bookmarkEnd w:id="322"/>
      <w:bookmarkEnd w:id="323"/>
      <w:bookmarkEnd w:id="324"/>
    </w:p>
    <w:p w14:paraId="024562C9" w14:textId="77777777" w:rsidR="00817E9E" w:rsidRPr="00E14342" w:rsidRDefault="00817E9E" w:rsidP="00276916">
      <w:pPr>
        <w:pStyle w:val="Heading5"/>
      </w:pPr>
      <w:bookmarkStart w:id="325" w:name="_Storper,_M._(1995),"/>
      <w:bookmarkStart w:id="326" w:name="_Toc354495058"/>
      <w:bookmarkStart w:id="327" w:name="_Toc354519134"/>
      <w:bookmarkStart w:id="328" w:name="_Toc368210756"/>
      <w:bookmarkEnd w:id="325"/>
      <w:r w:rsidRPr="00E14342">
        <w:t>Storper, M. (1995), The resurgence of regional economies, ten years later: the region as a nexus of untraded interdependencies; European Urban and Rural Studies 2-3, 1995, p. 191-221</w:t>
      </w:r>
      <w:bookmarkEnd w:id="326"/>
      <w:bookmarkEnd w:id="327"/>
      <w:bookmarkEnd w:id="328"/>
    </w:p>
    <w:p w14:paraId="3AEB73C4" w14:textId="77777777" w:rsidR="00817E9E" w:rsidRPr="00E14342" w:rsidRDefault="00817E9E" w:rsidP="00276916">
      <w:pPr>
        <w:pStyle w:val="Heading5"/>
      </w:pPr>
      <w:bookmarkStart w:id="329" w:name="_Toc354495059"/>
      <w:bookmarkStart w:id="330" w:name="_Toc354519135"/>
      <w:bookmarkStart w:id="331" w:name="_Toc368210757"/>
      <w:r w:rsidRPr="00E14342">
        <w:t>Wenger E., McDemott R., Snyder W.M. (2002) Cultivating communities of practice. Harvard Business Press.</w:t>
      </w:r>
      <w:bookmarkEnd w:id="329"/>
      <w:bookmarkEnd w:id="330"/>
      <w:bookmarkEnd w:id="331"/>
    </w:p>
    <w:p w14:paraId="7C1539C4" w14:textId="77777777" w:rsidR="0071392B" w:rsidRDefault="0071392B" w:rsidP="0071392B">
      <w:pPr>
        <w:pStyle w:val="Heading2"/>
      </w:pPr>
      <w:bookmarkStart w:id="332" w:name="_Toc353104287"/>
      <w:bookmarkStart w:id="333" w:name="_Toc354495060"/>
      <w:bookmarkStart w:id="334" w:name="_Toc354519136"/>
      <w:bookmarkStart w:id="335" w:name="_Toc368210758"/>
      <w:bookmarkStart w:id="336" w:name="_Toc502477985"/>
    </w:p>
    <w:p w14:paraId="75C4E943" w14:textId="1A6A5395" w:rsidR="00817E9E" w:rsidRPr="00E14342" w:rsidRDefault="00817E9E" w:rsidP="0071392B">
      <w:pPr>
        <w:pStyle w:val="Heading2"/>
      </w:pPr>
      <w:bookmarkStart w:id="337" w:name="_Toc526583516"/>
      <w:bookmarkStart w:id="338" w:name="_Toc526586519"/>
      <w:r w:rsidRPr="00E14342">
        <w:t>Some useful readings, Good practice theme 3</w:t>
      </w:r>
      <w:bookmarkEnd w:id="332"/>
      <w:bookmarkEnd w:id="333"/>
      <w:bookmarkEnd w:id="334"/>
      <w:bookmarkEnd w:id="335"/>
      <w:bookmarkEnd w:id="336"/>
      <w:bookmarkEnd w:id="337"/>
      <w:bookmarkEnd w:id="338"/>
    </w:p>
    <w:p w14:paraId="777F7404" w14:textId="77777777" w:rsidR="008063FF" w:rsidRPr="00E14342" w:rsidRDefault="008063FF" w:rsidP="008063FF">
      <w:pPr>
        <w:pStyle w:val="Heading5"/>
      </w:pPr>
      <w:r w:rsidRPr="00E14342">
        <w:t>Åsa Ericson, Johan Wenngren, Daniel Örtqvist, 2008. Innovation systems in non-metropolitan regions A live case journey, CiiR, Centre for Inter-organizational Innovation Research Luleå University of Technology, page 3, the different models of triple helices.</w:t>
      </w:r>
    </w:p>
    <w:p w14:paraId="6F92B868" w14:textId="5022E1A3" w:rsidR="008063FF" w:rsidRPr="00E14342" w:rsidRDefault="008063FF" w:rsidP="00276916">
      <w:pPr>
        <w:pStyle w:val="Heading5"/>
      </w:pPr>
      <w:bookmarkStart w:id="339" w:name="_Toc354495061"/>
      <w:bookmarkStart w:id="340" w:name="_Toc354519137"/>
      <w:bookmarkStart w:id="341" w:name="_Toc368210759"/>
      <w:r w:rsidRPr="00E14342">
        <w:t xml:space="preserve">Asheim B, Gertler M, 2005, “The geography of innovation: Regional innovation systems”, in The Oxford Handbook of Innovation Eds Fagerberg J, Mowery D C, Nelson R, (Oxford University Press, Oxford). </w:t>
      </w:r>
      <w:hyperlink r:id="rId19" w:history="1">
        <w:r w:rsidRPr="00E14342">
          <w:t>Google Scholar</w:t>
        </w:r>
        <w:bookmarkEnd w:id="339"/>
        <w:bookmarkEnd w:id="340"/>
        <w:bookmarkEnd w:id="341"/>
      </w:hyperlink>
    </w:p>
    <w:p w14:paraId="6AB970D4" w14:textId="77777777" w:rsidR="008063FF" w:rsidRPr="00E14342" w:rsidRDefault="008063FF" w:rsidP="00276916">
      <w:pPr>
        <w:pStyle w:val="Heading5"/>
      </w:pPr>
      <w:bookmarkStart w:id="342" w:name="_Toc354495062"/>
      <w:bookmarkStart w:id="343" w:name="_Toc354519138"/>
      <w:bookmarkStart w:id="344" w:name="_Toc368210760"/>
      <w:r w:rsidRPr="00E14342">
        <w:t xml:space="preserve">Asheim B, Isaksen A, 2002, “Regional innovation systems: The integration of local sticky and global ubiquitous knowledge” The Journal of Technology Transfer 27 77–86. </w:t>
      </w:r>
      <w:hyperlink r:id="rId20" w:history="1">
        <w:r w:rsidRPr="00E14342">
          <w:t>CrossRef</w:t>
        </w:r>
      </w:hyperlink>
      <w:hyperlink r:id="rId21" w:history="1">
        <w:r w:rsidRPr="00E14342">
          <w:t>Google Scholar</w:t>
        </w:r>
      </w:hyperlink>
      <w:r w:rsidRPr="00E14342">
        <w:t>.</w:t>
      </w:r>
      <w:bookmarkEnd w:id="342"/>
      <w:bookmarkEnd w:id="343"/>
      <w:bookmarkEnd w:id="344"/>
    </w:p>
    <w:p w14:paraId="672A6961" w14:textId="77777777" w:rsidR="008063FF" w:rsidRPr="00E14342" w:rsidRDefault="008063FF" w:rsidP="00276916">
      <w:pPr>
        <w:pStyle w:val="Heading5"/>
      </w:pPr>
      <w:bookmarkStart w:id="345" w:name="_Toc354495063"/>
      <w:bookmarkStart w:id="346" w:name="_Toc354519139"/>
      <w:bookmarkStart w:id="347" w:name="_Toc368210761"/>
      <w:r w:rsidRPr="00E14342">
        <w:lastRenderedPageBreak/>
        <w:t>Bjorn Asheim Helen Lawton Smith C Oughton (2011) Regional Innovation Systems: Theory, Empirics and Policy, Regional Studies volume 45 issue 7, pp 891.</w:t>
      </w:r>
      <w:bookmarkEnd w:id="345"/>
      <w:bookmarkEnd w:id="346"/>
      <w:bookmarkEnd w:id="347"/>
    </w:p>
    <w:p w14:paraId="61198B73" w14:textId="77777777" w:rsidR="008063FF" w:rsidRPr="00E14342" w:rsidRDefault="008063FF" w:rsidP="00276916">
      <w:pPr>
        <w:pStyle w:val="Heading5"/>
      </w:pPr>
      <w:bookmarkStart w:id="348" w:name="_Toc354495064"/>
      <w:bookmarkStart w:id="349" w:name="_Toc354519140"/>
      <w:bookmarkStart w:id="350" w:name="_Toc368210762"/>
      <w:r w:rsidRPr="00E14342">
        <w:t xml:space="preserve">Boschma R, 2005, “Proximity and innovation: A critical assessment” Regional Studies 39 61–74. </w:t>
      </w:r>
      <w:hyperlink r:id="rId22" w:history="1">
        <w:r w:rsidRPr="00E14342">
          <w:t>CrossRef</w:t>
        </w:r>
      </w:hyperlink>
      <w:hyperlink r:id="rId23" w:history="1">
        <w:r w:rsidRPr="00E14342">
          <w:t>Web of Science</w:t>
        </w:r>
      </w:hyperlink>
      <w:hyperlink r:id="rId24" w:history="1">
        <w:r w:rsidRPr="00E14342">
          <w:t>Google Scholar</w:t>
        </w:r>
        <w:bookmarkEnd w:id="348"/>
        <w:bookmarkEnd w:id="349"/>
        <w:bookmarkEnd w:id="350"/>
      </w:hyperlink>
    </w:p>
    <w:p w14:paraId="2C07931F" w14:textId="77777777" w:rsidR="008063FF" w:rsidRPr="00E14342" w:rsidRDefault="008063FF" w:rsidP="00276916">
      <w:pPr>
        <w:pStyle w:val="Heading5"/>
      </w:pPr>
      <w:bookmarkStart w:id="351" w:name="_Toc354495065"/>
      <w:bookmarkStart w:id="352" w:name="_Toc354519141"/>
      <w:bookmarkStart w:id="353" w:name="_Toc368210763"/>
      <w:r w:rsidRPr="00E14342">
        <w:t xml:space="preserve">Breschi S, Malerba F, 1997, “Sectoral systems of innovation: Technological regimes, Schumpeterian dynamics and spatial boundaries”, in Systems of Innovation Ed. Edquist C, (Frances Pinter, London) pp 130–156. </w:t>
      </w:r>
      <w:hyperlink r:id="rId25" w:history="1">
        <w:r w:rsidRPr="00E14342">
          <w:t>Google Scholar</w:t>
        </w:r>
        <w:bookmarkEnd w:id="351"/>
        <w:bookmarkEnd w:id="352"/>
        <w:bookmarkEnd w:id="353"/>
      </w:hyperlink>
    </w:p>
    <w:p w14:paraId="39A3C5A8" w14:textId="77777777" w:rsidR="008063FF" w:rsidRPr="00E14342" w:rsidRDefault="008063FF" w:rsidP="00276916">
      <w:pPr>
        <w:pStyle w:val="Heading5"/>
      </w:pPr>
      <w:bookmarkStart w:id="354" w:name="_Toc354495067"/>
      <w:bookmarkStart w:id="355" w:name="_Toc354519143"/>
      <w:bookmarkStart w:id="356" w:name="_Toc368210765"/>
      <w:r w:rsidRPr="00E14342">
        <w:t>Elvira Uyarra, Kieron Flanagan (2010) From Regional Systems of Innovation to Regions as Innovation Policy Spaces, Environ Plann C Gov Policy August 2010 vol. 28 no. 4 681-695, doi: 10.1068/c0961. Using regional systems of innovation as normative concepts, ”...  both overstates and at the same time underemphasises the roles regions play as policy-making and implementation spaces”.</w:t>
      </w:r>
      <w:bookmarkEnd w:id="354"/>
      <w:bookmarkEnd w:id="355"/>
      <w:bookmarkEnd w:id="356"/>
    </w:p>
    <w:p w14:paraId="5AE29D1D" w14:textId="77777777" w:rsidR="008063FF" w:rsidRPr="00E14342" w:rsidRDefault="008063FF" w:rsidP="00276916">
      <w:pPr>
        <w:pStyle w:val="Heading5"/>
      </w:pPr>
      <w:r w:rsidRPr="00E14342">
        <w:t>Holger Graf &amp; Jens J. Krüger (2009) "</w:t>
      </w:r>
      <w:hyperlink r:id="rId26" w:history="1">
        <w:r w:rsidRPr="00E14342">
          <w:t>The Performance of Gatekeepers in Innovator Networks</w:t>
        </w:r>
      </w:hyperlink>
      <w:r w:rsidRPr="00E14342">
        <w:t xml:space="preserve">," </w:t>
      </w:r>
      <w:hyperlink r:id="rId27" w:history="1">
        <w:r w:rsidRPr="00E14342">
          <w:t>Jena Economic Research Papers</w:t>
        </w:r>
      </w:hyperlink>
      <w:r w:rsidRPr="00E14342">
        <w:t xml:space="preserve"> 2009-058, Friedrich-Schiller-University Jena.</w:t>
      </w:r>
    </w:p>
    <w:p w14:paraId="42B24EA2" w14:textId="77777777" w:rsidR="008063FF" w:rsidRPr="00E14342" w:rsidRDefault="008063FF" w:rsidP="00276916">
      <w:pPr>
        <w:pStyle w:val="Heading5"/>
      </w:pPr>
      <w:bookmarkStart w:id="357" w:name="_Toc354495078"/>
      <w:bookmarkStart w:id="358" w:name="_Toc354519154"/>
      <w:bookmarkStart w:id="359" w:name="_Toc368210776"/>
      <w:r w:rsidRPr="00E14342">
        <w:t>Holger Graf &amp; Jens Kruger (2011) "</w:t>
      </w:r>
      <w:hyperlink r:id="rId28" w:history="1">
        <w:r w:rsidRPr="00E14342">
          <w:t>The Performance of Gatekeepers in Innovator Networks</w:t>
        </w:r>
      </w:hyperlink>
      <w:r w:rsidRPr="00E14342">
        <w:t xml:space="preserve">," </w:t>
      </w:r>
      <w:hyperlink r:id="rId29" w:history="1">
        <w:r w:rsidRPr="00E14342">
          <w:t>Industry and Innovation</w:t>
        </w:r>
      </w:hyperlink>
      <w:r w:rsidRPr="00E14342">
        <w:t>, Taylor &amp; Francis Journals, vol. 18(1), pages 69-88.</w:t>
      </w:r>
      <w:bookmarkEnd w:id="357"/>
      <w:bookmarkEnd w:id="358"/>
      <w:bookmarkEnd w:id="359"/>
    </w:p>
    <w:p w14:paraId="4D7F624F" w14:textId="77777777" w:rsidR="008063FF" w:rsidRPr="00E14342" w:rsidRDefault="008063FF" w:rsidP="00276916">
      <w:pPr>
        <w:pStyle w:val="Heading5"/>
      </w:pPr>
      <w:bookmarkStart w:id="360" w:name="_Toc354495068"/>
      <w:bookmarkStart w:id="361" w:name="_Toc354519144"/>
      <w:bookmarkStart w:id="362" w:name="_Toc368210766"/>
      <w:r w:rsidRPr="00E14342">
        <w:t>Iris Wanzenbock, Thomas Scherngell, Thomas Brenner (2014) Embeddedness of regions in European knowledge networks: a comparative analysis of inter-regional R&amp;D collaborations, co-patents and co-publications, Annals of Regional Science volume 53 issue 2, pp 337-368</w:t>
      </w:r>
      <w:bookmarkEnd w:id="360"/>
      <w:bookmarkEnd w:id="361"/>
      <w:bookmarkEnd w:id="362"/>
      <w:r w:rsidRPr="00E14342">
        <w:t>.</w:t>
      </w:r>
    </w:p>
    <w:p w14:paraId="2AEB5927" w14:textId="77777777" w:rsidR="008063FF" w:rsidRPr="00E14342" w:rsidRDefault="008063FF" w:rsidP="00276916">
      <w:pPr>
        <w:pStyle w:val="Heading5"/>
      </w:pPr>
      <w:r w:rsidRPr="00E14342">
        <w:t>Jeffrey S. Boggs and Norma M. Rantisi (2003) The ‘relational turn’ in economic geography, J Econ Geogr (2003) 3 (2): 109-116 doi:10.1093/jeg/3.2.109.</w:t>
      </w:r>
    </w:p>
    <w:p w14:paraId="21C7E897" w14:textId="77777777" w:rsidR="008063FF" w:rsidRPr="00E14342" w:rsidRDefault="008063FF" w:rsidP="00276916">
      <w:pPr>
        <w:pStyle w:val="Heading5"/>
      </w:pPr>
      <w:bookmarkStart w:id="363" w:name="_Toc354495069"/>
      <w:bookmarkStart w:id="364" w:name="_Toc354519145"/>
      <w:bookmarkStart w:id="365" w:name="_Toc368210767"/>
      <w:r w:rsidRPr="00E14342">
        <w:t>Jerome Vicente Joan Crespo, Raphael Suire (2012) Regional Studies Association, Sustaining Regional Futures, Global Conference Sunday 24th June -Wednesday 27th June 2012, China National Convention Centre Beijing, China; pp105-106.</w:t>
      </w:r>
      <w:bookmarkEnd w:id="363"/>
      <w:bookmarkEnd w:id="364"/>
      <w:bookmarkEnd w:id="365"/>
    </w:p>
    <w:p w14:paraId="0D329DE8" w14:textId="77777777" w:rsidR="008063FF" w:rsidRPr="00E14342" w:rsidRDefault="008063FF" w:rsidP="008063FF">
      <w:pPr>
        <w:pStyle w:val="Heading5"/>
      </w:pPr>
      <w:r w:rsidRPr="00E14342">
        <w:t xml:space="preserve">Johansson et al (2007) modification based on Etzkowits, H., &amp; Leyedsdorff, L. (1997). Universities and the Global Knowledge Economy, a Triple Helix of University-Industry-Government, Pinter, London. </w:t>
      </w:r>
    </w:p>
    <w:p w14:paraId="69E097D5" w14:textId="77777777" w:rsidR="008063FF" w:rsidRPr="00E14342" w:rsidRDefault="008063FF" w:rsidP="00276916">
      <w:pPr>
        <w:pStyle w:val="Heading5"/>
      </w:pPr>
      <w:bookmarkStart w:id="366" w:name="_Toc354495070"/>
      <w:bookmarkStart w:id="367" w:name="_Toc354519146"/>
      <w:bookmarkStart w:id="368" w:name="_Toc368210768"/>
      <w:r w:rsidRPr="00E14342">
        <w:t>Lundvall B A, (Ed.), 1992 National Systems of Innovation: Towards a Theory of Innovation and Interactive Learning (Pinter, London).</w:t>
      </w:r>
      <w:bookmarkEnd w:id="366"/>
      <w:bookmarkEnd w:id="367"/>
      <w:bookmarkEnd w:id="368"/>
    </w:p>
    <w:p w14:paraId="682DBC50" w14:textId="77777777" w:rsidR="008063FF" w:rsidRPr="00E14342" w:rsidRDefault="008063FF" w:rsidP="00276916">
      <w:pPr>
        <w:pStyle w:val="Heading5"/>
      </w:pPr>
      <w:bookmarkStart w:id="369" w:name="_Toc354495071"/>
      <w:bookmarkStart w:id="370" w:name="_Toc354519147"/>
      <w:bookmarkStart w:id="371" w:name="_Toc368210769"/>
      <w:r w:rsidRPr="00E14342">
        <w:t>Marion Frenz Grazia Lettogillies (2005)The impact on innovation performance of different sources of knowledge: evidence from the UK Community Innovation Survey, Research Policy 2005 volume, issue , pp 1125-1175.</w:t>
      </w:r>
      <w:bookmarkEnd w:id="369"/>
      <w:bookmarkEnd w:id="370"/>
      <w:bookmarkEnd w:id="371"/>
    </w:p>
    <w:p w14:paraId="3D9E4585" w14:textId="77777777" w:rsidR="008063FF" w:rsidRPr="00E14342" w:rsidRDefault="008063FF" w:rsidP="00276916">
      <w:pPr>
        <w:pStyle w:val="Heading5"/>
      </w:pPr>
      <w:bookmarkStart w:id="372" w:name="_Toc354495072"/>
      <w:bookmarkStart w:id="373" w:name="_Toc354519148"/>
      <w:bookmarkStart w:id="374" w:name="_Toc368210770"/>
      <w:r w:rsidRPr="00E14342">
        <w:t>Martin, R., Kitson, M. and P.Tyler (2006) Regional Competitiveness. London: Routledge.</w:t>
      </w:r>
      <w:bookmarkEnd w:id="372"/>
      <w:bookmarkEnd w:id="373"/>
      <w:bookmarkEnd w:id="374"/>
    </w:p>
    <w:p w14:paraId="7BDDCDD7" w14:textId="77777777" w:rsidR="008063FF" w:rsidRPr="00E14342" w:rsidRDefault="008063FF" w:rsidP="00276916">
      <w:pPr>
        <w:pStyle w:val="Heading5"/>
      </w:pPr>
      <w:r w:rsidRPr="00E14342">
        <w:lastRenderedPageBreak/>
        <w:t xml:space="preserve">Moulaert &amp; Sekia (2003) Territorial Innovation Models: A Critical Survey, Regional Studies, </w:t>
      </w:r>
      <w:hyperlink r:id="rId30" w:anchor="vol_37" w:history="1">
        <w:r w:rsidRPr="00E14342">
          <w:t>Volume 37</w:t>
        </w:r>
      </w:hyperlink>
      <w:r w:rsidRPr="00E14342">
        <w:t xml:space="preserve">, </w:t>
      </w:r>
      <w:hyperlink r:id="rId31" w:history="1">
        <w:r w:rsidRPr="00E14342">
          <w:t>Issue 3</w:t>
        </w:r>
      </w:hyperlink>
      <w:r w:rsidRPr="00E14342">
        <w:t>, 2003, pages 289-302.</w:t>
      </w:r>
    </w:p>
    <w:p w14:paraId="072E98BC" w14:textId="77777777" w:rsidR="008063FF" w:rsidRPr="00E14342" w:rsidRDefault="008063FF" w:rsidP="00276916">
      <w:pPr>
        <w:pStyle w:val="Heading5"/>
      </w:pPr>
      <w:bookmarkStart w:id="375" w:name="_Toc354495074"/>
      <w:bookmarkStart w:id="376" w:name="_Toc354519150"/>
      <w:bookmarkStart w:id="377" w:name="_Toc368210772"/>
      <w:r w:rsidRPr="00E14342">
        <w:t xml:space="preserve">OECD How is life in your region? </w:t>
      </w:r>
      <w:hyperlink r:id="rId32" w:anchor="FI1B" w:history="1">
        <w:r w:rsidRPr="00E14342">
          <w:t>http://www.oecdregionalwellbeing.org/region.html#FI1B</w:t>
        </w:r>
        <w:bookmarkEnd w:id="375"/>
        <w:bookmarkEnd w:id="376"/>
        <w:bookmarkEnd w:id="377"/>
      </w:hyperlink>
    </w:p>
    <w:p w14:paraId="21A61FDE" w14:textId="77777777" w:rsidR="008063FF" w:rsidRPr="00E14342" w:rsidRDefault="008063FF" w:rsidP="00276916">
      <w:pPr>
        <w:pStyle w:val="Heading5"/>
      </w:pPr>
      <w:bookmarkStart w:id="378" w:name="_Toc354495076"/>
      <w:bookmarkStart w:id="379" w:name="_Toc354519152"/>
      <w:bookmarkStart w:id="380" w:name="_Toc368210774"/>
      <w:r w:rsidRPr="00E14342">
        <w:t>Owen-Smith &amp; Powell (2004) Knowledge Networks as Channels and Conduits: The Effects of Spillovers in the Boston Biotechnology Community, Vol. 15, No. 1, January–February 2004, pp5–21, doi 10.1287/orsc.1030.0054</w:t>
      </w:r>
      <w:bookmarkEnd w:id="378"/>
      <w:bookmarkEnd w:id="379"/>
      <w:bookmarkEnd w:id="380"/>
      <w:r w:rsidRPr="00E14342">
        <w:t>.</w:t>
      </w:r>
    </w:p>
    <w:p w14:paraId="7D214AA2" w14:textId="77777777" w:rsidR="008063FF" w:rsidRPr="00E14342" w:rsidRDefault="008063FF" w:rsidP="00276916">
      <w:pPr>
        <w:pStyle w:val="Heading5"/>
      </w:pPr>
      <w:r w:rsidRPr="00E14342">
        <w:t>Paul Krugman (1991) Increasing returns and economic geography, Massachusetts Institute of Technology.</w:t>
      </w:r>
    </w:p>
    <w:p w14:paraId="01391188" w14:textId="77777777" w:rsidR="008063FF" w:rsidRPr="00E14342" w:rsidRDefault="00F53DA7" w:rsidP="00276916">
      <w:pPr>
        <w:pStyle w:val="Heading5"/>
      </w:pPr>
      <w:hyperlink r:id="rId33" w:history="1">
        <w:bookmarkStart w:id="381" w:name="_Toc354495080"/>
        <w:bookmarkStart w:id="382" w:name="_Toc354519156"/>
        <w:bookmarkStart w:id="383" w:name="_Toc368210778"/>
        <w:r w:rsidR="008063FF" w:rsidRPr="00E14342">
          <w:t>Roel Rutten</w:t>
        </w:r>
      </w:hyperlink>
      <w:r w:rsidR="008063FF" w:rsidRPr="00E14342">
        <w:t xml:space="preserve"> (2016) Beyond proximities: The socio-spatial dynamics of knowledge creation.</w:t>
      </w:r>
      <w:bookmarkEnd w:id="381"/>
      <w:bookmarkEnd w:id="382"/>
      <w:bookmarkEnd w:id="383"/>
    </w:p>
    <w:p w14:paraId="05623872" w14:textId="121F8047" w:rsidR="008063FF" w:rsidRDefault="008063FF" w:rsidP="00276916">
      <w:pPr>
        <w:pStyle w:val="Heading5"/>
      </w:pPr>
      <w:bookmarkStart w:id="384" w:name="_Toc354495081"/>
      <w:bookmarkStart w:id="385" w:name="_Toc354519157"/>
      <w:bookmarkStart w:id="386" w:name="_Toc368210779"/>
      <w:r w:rsidRPr="00E14342">
        <w:t>Schwab, K. and Sala-I-Martin, X. (2012) Insight Report: The Global Competitiveness Report 2012-2013. World Economic Forum, Geneva, Modern Economy, Vol.5 No.12, November 13, 2004.</w:t>
      </w:r>
      <w:bookmarkEnd w:id="384"/>
      <w:bookmarkEnd w:id="385"/>
      <w:bookmarkEnd w:id="386"/>
    </w:p>
    <w:p w14:paraId="70433064" w14:textId="4F69B905" w:rsidR="00E15E39" w:rsidRPr="00E14342" w:rsidRDefault="00E15E39" w:rsidP="00C701E7">
      <w:pPr>
        <w:pStyle w:val="Heading1"/>
      </w:pPr>
      <w:bookmarkStart w:id="387" w:name="_Toc502477986"/>
      <w:bookmarkStart w:id="388" w:name="_Toc526583517"/>
      <w:bookmarkStart w:id="389" w:name="_NOTES"/>
      <w:bookmarkStart w:id="390" w:name="_Toc526586520"/>
      <w:bookmarkEnd w:id="389"/>
      <w:r w:rsidRPr="00E14342">
        <w:t>N</w:t>
      </w:r>
      <w:r w:rsidR="007F43C2">
        <w:t>otes</w:t>
      </w:r>
      <w:bookmarkEnd w:id="390"/>
      <w:r w:rsidR="007F43C2">
        <w:t xml:space="preserve"> </w:t>
      </w:r>
      <w:bookmarkEnd w:id="387"/>
      <w:bookmarkEnd w:id="388"/>
    </w:p>
    <w:p w14:paraId="2EDA5B41" w14:textId="77777777" w:rsidR="00EE5D2A" w:rsidRPr="006559BC" w:rsidRDefault="00EE5D2A" w:rsidP="000E2C75">
      <w:pPr>
        <w:pStyle w:val="Caption"/>
      </w:pPr>
      <w:bookmarkStart w:id="391" w:name="_Toc354495066"/>
      <w:bookmarkStart w:id="392" w:name="_Toc354519142"/>
      <w:bookmarkStart w:id="393" w:name="_Toc368210764"/>
      <w:r w:rsidRPr="006559BC">
        <w:t xml:space="preserve">Note </w:t>
      </w:r>
      <w:r w:rsidR="0092579C">
        <w:fldChar w:fldCharType="begin"/>
      </w:r>
      <w:r w:rsidR="0092579C">
        <w:instrText xml:space="preserve"> SEQ Note \* ARABIC </w:instrText>
      </w:r>
      <w:r w:rsidR="0092579C">
        <w:fldChar w:fldCharType="separate"/>
      </w:r>
      <w:r w:rsidR="008608E9">
        <w:rPr>
          <w:noProof/>
        </w:rPr>
        <w:t>1</w:t>
      </w:r>
      <w:r w:rsidR="0092579C">
        <w:rPr>
          <w:noProof/>
        </w:rPr>
        <w:fldChar w:fldCharType="end"/>
      </w:r>
    </w:p>
    <w:p w14:paraId="24B59C0B" w14:textId="09EB9A81" w:rsidR="00A14C3B" w:rsidRPr="00E14342" w:rsidRDefault="00A14C3B" w:rsidP="000F381C">
      <w:r w:rsidRPr="00E14342">
        <w:t>Committee of the Regions (2011) Multilevel Governance - Definition: "The Committee of the Regions sees the principle of Multilevel Governance as based on coordinated action by the EU, the Member States and regional and local authorities according to the principles of subsidiarity and proportionality and in partnership, taking the form of operational and institutionalised cooperation in the drawing-up and implementation of the European Union's policies" (</w:t>
      </w:r>
      <w:hyperlink r:id="rId34" w:history="1">
        <w:r w:rsidRPr="00E14342">
          <w:t>CdR 273-2011 fin</w:t>
        </w:r>
      </w:hyperlink>
      <w:r w:rsidRPr="00E14342">
        <w:t>)</w:t>
      </w:r>
      <w:bookmarkEnd w:id="391"/>
      <w:bookmarkEnd w:id="392"/>
      <w:bookmarkEnd w:id="393"/>
      <w:r w:rsidRPr="00E14342">
        <w:t>.</w:t>
      </w:r>
    </w:p>
    <w:p w14:paraId="2E930671" w14:textId="4FC0B6F1" w:rsidR="00EE5D2A" w:rsidRPr="006559BC" w:rsidRDefault="00EE5D2A" w:rsidP="000E2C75">
      <w:pPr>
        <w:pStyle w:val="Caption"/>
      </w:pPr>
      <w:r w:rsidRPr="006559BC">
        <w:t xml:space="preserve">Note </w:t>
      </w:r>
      <w:r w:rsidR="0092579C">
        <w:fldChar w:fldCharType="begin"/>
      </w:r>
      <w:r w:rsidR="0092579C">
        <w:instrText xml:space="preserve"> SEQ Note \* ARABIC </w:instrText>
      </w:r>
      <w:r w:rsidR="0092579C">
        <w:fldChar w:fldCharType="separate"/>
      </w:r>
      <w:r w:rsidR="008608E9">
        <w:rPr>
          <w:noProof/>
        </w:rPr>
        <w:t>2</w:t>
      </w:r>
      <w:r w:rsidR="0092579C">
        <w:rPr>
          <w:noProof/>
        </w:rPr>
        <w:fldChar w:fldCharType="end"/>
      </w:r>
    </w:p>
    <w:p w14:paraId="6630222B" w14:textId="77777777" w:rsidR="00A14C3B" w:rsidRPr="00E14342" w:rsidRDefault="00A14C3B" w:rsidP="000F381C">
      <w:r w:rsidRPr="00E14342">
        <w:t>NEOCLASSICAL ECONOMICS: Neoclassical theory operates on a few basic assumptions–mainly that economic decisions are always made rationally based on fully informed evaluations of utility. In other words, consumers compare goods and purchase the ones having the greatest utility, or highest personal value. The consumer’s main goal, the theory states, is to maximize personal satisfaction. Likewise, the goal of companies is to maximise profits. When consumers and companies both achieve their goals, markets experience economic equilibrium.</w:t>
      </w:r>
    </w:p>
    <w:p w14:paraId="6FA10A79" w14:textId="155C6B59" w:rsidR="00EE5D2A" w:rsidRPr="006559BC" w:rsidRDefault="00EE5D2A" w:rsidP="000E2C75">
      <w:pPr>
        <w:pStyle w:val="Caption"/>
      </w:pPr>
      <w:bookmarkStart w:id="394" w:name="_Toc354495075"/>
      <w:bookmarkStart w:id="395" w:name="_Toc354519151"/>
      <w:bookmarkStart w:id="396" w:name="_Toc368210773"/>
      <w:r w:rsidRPr="006559BC">
        <w:t xml:space="preserve">Note </w:t>
      </w:r>
      <w:r w:rsidR="0092579C">
        <w:fldChar w:fldCharType="begin"/>
      </w:r>
      <w:r w:rsidR="0092579C">
        <w:instrText xml:space="preserve"> SEQ Note \* ARABIC </w:instrText>
      </w:r>
      <w:r w:rsidR="0092579C">
        <w:fldChar w:fldCharType="separate"/>
      </w:r>
      <w:r w:rsidR="008608E9">
        <w:rPr>
          <w:noProof/>
        </w:rPr>
        <w:t>3</w:t>
      </w:r>
      <w:r w:rsidR="0092579C">
        <w:rPr>
          <w:noProof/>
        </w:rPr>
        <w:fldChar w:fldCharType="end"/>
      </w:r>
    </w:p>
    <w:p w14:paraId="5F9BB318" w14:textId="77777777" w:rsidR="00A14C3B" w:rsidRPr="00E14342" w:rsidRDefault="00A14C3B" w:rsidP="000F381C">
      <w:r w:rsidRPr="00E14342">
        <w:t xml:space="preserve">OECD on Regional competitiveness: “The significance accorded by policymakers to the notion of competitiveness reflects the increasing emphasis on competitive advantage for national economies. Policy makers across the OECD stress that their countries must become more “competitive” if they are to maintain their economic position vis-à-vis other industrial or developing nations and respond to challenges such as perceived productivity gaps, competition for mobile investment, rapid adoption of new technology and </w:t>
      </w:r>
      <w:r w:rsidRPr="00E14342">
        <w:lastRenderedPageBreak/>
        <w:t>electronic commerce. Increasingly, the concept of competitiveness is extended to the regional level. A competitive region is one that can attract and maintain successful firms and maintain or increase standards of living for the region’s inhabitants. Skilled labour and investment gravitate away from “uncompetitive” regions towards more competitive ones.</w:t>
      </w:r>
      <w:bookmarkEnd w:id="394"/>
      <w:bookmarkEnd w:id="395"/>
      <w:bookmarkEnd w:id="396"/>
    </w:p>
    <w:p w14:paraId="158EFF70" w14:textId="4FEACD7F" w:rsidR="00EE5D2A" w:rsidRPr="006559BC" w:rsidRDefault="00EE5D2A" w:rsidP="000E2C75">
      <w:pPr>
        <w:pStyle w:val="Caption"/>
      </w:pPr>
      <w:r w:rsidRPr="006559BC">
        <w:t xml:space="preserve">Note </w:t>
      </w:r>
      <w:r w:rsidR="0092579C">
        <w:fldChar w:fldCharType="begin"/>
      </w:r>
      <w:r w:rsidR="0092579C">
        <w:instrText xml:space="preserve"> SEQ Note \* ARABIC </w:instrText>
      </w:r>
      <w:r w:rsidR="0092579C">
        <w:fldChar w:fldCharType="separate"/>
      </w:r>
      <w:r w:rsidR="008608E9">
        <w:rPr>
          <w:noProof/>
        </w:rPr>
        <w:t>4</w:t>
      </w:r>
      <w:r w:rsidR="0092579C">
        <w:rPr>
          <w:noProof/>
        </w:rPr>
        <w:fldChar w:fldCharType="end"/>
      </w:r>
    </w:p>
    <w:p w14:paraId="73329A00" w14:textId="77777777" w:rsidR="00A14C3B" w:rsidRPr="00E14342" w:rsidRDefault="00A14C3B" w:rsidP="000F381C">
      <w:r w:rsidRPr="00E14342">
        <w:t>RESILIENCE: Ron Martin and Peter Sunley (2013) On the Notion of Regional Economic Resilience: Conceptualisation and Explanation, page 2“…how regions react and recover from shocks”.</w:t>
      </w:r>
    </w:p>
    <w:p w14:paraId="7DDA6B15" w14:textId="2924AA57" w:rsidR="00EE5D2A" w:rsidRPr="006559BC" w:rsidRDefault="00EE5D2A" w:rsidP="000E2C75">
      <w:pPr>
        <w:pStyle w:val="Caption"/>
      </w:pPr>
      <w:r w:rsidRPr="006559BC">
        <w:t xml:space="preserve">Note </w:t>
      </w:r>
      <w:r w:rsidR="0092579C">
        <w:fldChar w:fldCharType="begin"/>
      </w:r>
      <w:r w:rsidR="0092579C">
        <w:instrText xml:space="preserve"> SEQ Note \* ARABIC </w:instrText>
      </w:r>
      <w:r w:rsidR="0092579C">
        <w:fldChar w:fldCharType="separate"/>
      </w:r>
      <w:r w:rsidR="008608E9">
        <w:rPr>
          <w:noProof/>
        </w:rPr>
        <w:t>5</w:t>
      </w:r>
      <w:r w:rsidR="0092579C">
        <w:rPr>
          <w:noProof/>
        </w:rPr>
        <w:fldChar w:fldCharType="end"/>
      </w:r>
    </w:p>
    <w:p w14:paraId="774ADC9F" w14:textId="0C66F5C3" w:rsidR="00A14C3B" w:rsidRDefault="00EE5D2A" w:rsidP="000F381C">
      <w:r w:rsidRPr="00E14342">
        <w:t>REGION</w:t>
      </w:r>
      <w:r w:rsidR="00B85093" w:rsidRPr="00E14342">
        <w:t>AL INNOVATION SYSTEMS </w:t>
      </w:r>
      <w:r w:rsidR="00A14C3B" w:rsidRPr="00E14342">
        <w:t>Using regional systems of innovation as normative concepts, ”...  both overstates and at the same time underemphasises the roles regions play as policy-making and implementation spaces”. Elvira Uyarra, Kieron Flanagan (2010) From Regional Systems of Innovation to Regions as Innovation Policy Spaces, Environ Plann C Gov Policy August 2010 vol. 28 no. 4 681-695, doi: 10.1068/c0961.</w:t>
      </w:r>
    </w:p>
    <w:p w14:paraId="64EF019F" w14:textId="77777777" w:rsidR="003676F1" w:rsidRPr="00E14342" w:rsidRDefault="003676F1" w:rsidP="000F381C"/>
    <w:p w14:paraId="111A1BFF" w14:textId="7DBC09A2" w:rsidR="00B85093" w:rsidRPr="006559BC" w:rsidRDefault="00B85093" w:rsidP="000E2C75">
      <w:pPr>
        <w:pStyle w:val="Caption"/>
      </w:pPr>
      <w:bookmarkStart w:id="397" w:name="_Ref368419794"/>
      <w:r w:rsidRPr="006559BC">
        <w:t xml:space="preserve">Note </w:t>
      </w:r>
      <w:r w:rsidR="0092579C">
        <w:fldChar w:fldCharType="begin"/>
      </w:r>
      <w:r w:rsidR="0092579C">
        <w:instrText xml:space="preserve"> SEQ Note \* ARABIC </w:instrText>
      </w:r>
      <w:r w:rsidR="0092579C">
        <w:fldChar w:fldCharType="separate"/>
      </w:r>
      <w:r w:rsidR="008608E9">
        <w:rPr>
          <w:noProof/>
        </w:rPr>
        <w:t>6</w:t>
      </w:r>
      <w:r w:rsidR="0092579C">
        <w:rPr>
          <w:noProof/>
        </w:rPr>
        <w:fldChar w:fldCharType="end"/>
      </w:r>
      <w:bookmarkEnd w:id="397"/>
    </w:p>
    <w:p w14:paraId="67379840" w14:textId="74B916A8" w:rsidR="00C76D3B" w:rsidRPr="00E14342" w:rsidRDefault="00607C1E" w:rsidP="000F381C">
      <w:r w:rsidRPr="00E14342">
        <w:t>PROXIMITIES</w:t>
      </w:r>
      <w:r w:rsidR="000C02C9" w:rsidRPr="00E14342">
        <w:t xml:space="preserve"> </w:t>
      </w:r>
      <w:r w:rsidR="00C76D3B" w:rsidRPr="00E14342">
        <w:t>Literature largely acknowledges that the existence of knowledge networks is, among many others, one of the significant factors of regional performance in so-called “knowledge-based economies</w:t>
      </w:r>
      <w:r w:rsidR="00C76D3B" w:rsidRPr="00E14342">
        <w:rPr>
          <w:rStyle w:val="FootnoteReference"/>
        </w:rPr>
        <w:footnoteReference w:id="26"/>
      </w:r>
      <w:r w:rsidR="00C76D3B" w:rsidRPr="00E14342">
        <w:t xml:space="preserve"> ”Meaningful (purposeful…) frequency of interactions accounts for the thickness &amp; performance of a regional innovation system”</w:t>
      </w:r>
      <w:r w:rsidR="00C76D3B" w:rsidRPr="00E14342">
        <w:rPr>
          <w:rStyle w:val="FootnoteReference"/>
        </w:rPr>
        <w:footnoteReference w:id="27"/>
      </w:r>
      <w:r w:rsidR="00C76D3B" w:rsidRPr="00E14342">
        <w:t>. Some regions have been proven to interact better than others, and the knowledge-based approach has integrated the values of cooperation and functional complementarities in the regions</w:t>
      </w:r>
      <w:r w:rsidR="00C76D3B" w:rsidRPr="00E14342">
        <w:rPr>
          <w:rStyle w:val="FootnoteReference"/>
        </w:rPr>
        <w:footnoteReference w:id="28"/>
      </w:r>
      <w:r w:rsidR="00C76D3B" w:rsidRPr="00E14342">
        <w:t>. This can be summarised by the term ‘integration of the relational approach into regional development’. Policies supporting regional networks, clusters, coherent triple helix (government, education and research, business activities) functions demonstrate this approach</w:t>
      </w:r>
      <w:r w:rsidR="00C76D3B" w:rsidRPr="00E14342">
        <w:rPr>
          <w:rStyle w:val="FootnoteReference"/>
        </w:rPr>
        <w:footnoteReference w:id="29"/>
      </w:r>
      <w:r w:rsidR="00C76D3B" w:rsidRPr="00E14342">
        <w:t xml:space="preserve">. The relational approach becomes an independent </w:t>
      </w:r>
      <w:r w:rsidR="00C76D3B" w:rsidRPr="00E14342">
        <w:lastRenderedPageBreak/>
        <w:t>variable in itself and can be understood to be applicable beyond physical proximities (Rutten 2016</w:t>
      </w:r>
      <w:r w:rsidR="00C76D3B" w:rsidRPr="00E14342">
        <w:rPr>
          <w:rStyle w:val="FootnoteReference"/>
        </w:rPr>
        <w:footnoteReference w:id="30"/>
      </w:r>
      <w:r w:rsidR="00C76D3B" w:rsidRPr="00E14342">
        <w:t xml:space="preserve">) through </w:t>
      </w:r>
      <w:r w:rsidR="00C76D3B" w:rsidRPr="00E14342">
        <w:rPr>
          <w:rFonts w:ascii="Arial" w:hAnsi="Arial" w:cs="Arial"/>
          <w:color w:val="312A2A"/>
          <w:sz w:val="26"/>
          <w:szCs w:val="26"/>
          <w:lang w:eastAsia="ja-JP"/>
        </w:rPr>
        <w:t>‘</w:t>
      </w:r>
      <w:r w:rsidR="00C76D3B" w:rsidRPr="00E14342">
        <w:t>conversations’ as social spaces of knowledge creation based on the effort required to bridge distance and on the attractiveness of places for knowledge creation.In BRIDGES project we adopt exactly this approach, and for four (4) reasons: 1) Non-innovation leader BRIDGES regions face distance challenges from research centres required for their RIS3 implementation, and as a result they face mismatches between the RIS3 economic and knowledge &amp; research base; 2) the ‘conversation spaces’ approach goes beyond the notion of regional resilience</w:t>
      </w:r>
      <w:r w:rsidR="00C76D3B" w:rsidRPr="00E14342">
        <w:rPr>
          <w:rStyle w:val="FootnoteReference"/>
        </w:rPr>
        <w:footnoteReference w:id="31"/>
      </w:r>
      <w:r w:rsidR="00C76D3B" w:rsidRPr="00E14342">
        <w:t xml:space="preserve"> understood as return (thanks to conditions of perfect competition</w:t>
      </w:r>
      <w:r w:rsidR="00C76D3B" w:rsidRPr="00E14342">
        <w:rPr>
          <w:rStyle w:val="FootnoteReference"/>
        </w:rPr>
        <w:footnoteReference w:id="32"/>
      </w:r>
      <w:r w:rsidR="00C76D3B" w:rsidRPr="00E14342">
        <w:t>) to a state of equilibrium following exogenous shocks</w:t>
      </w:r>
      <w:r w:rsidR="00C76D3B" w:rsidRPr="00E14342">
        <w:rPr>
          <w:rStyle w:val="FootnoteReference"/>
          <w:szCs w:val="26"/>
          <w:lang w:eastAsia="ja-JP"/>
        </w:rPr>
        <w:footnoteReference w:id="33"/>
      </w:r>
      <w:r w:rsidR="00C76D3B" w:rsidRPr="00E14342">
        <w:t>; rather, it builds on Krugman’s assumption</w:t>
      </w:r>
      <w:r w:rsidR="00C76D3B" w:rsidRPr="00E14342">
        <w:rPr>
          <w:rStyle w:val="FootnoteReference"/>
        </w:rPr>
        <w:footnoteReference w:id="34"/>
      </w:r>
      <w:r w:rsidR="00C76D3B" w:rsidRPr="00E14342">
        <w:t xml:space="preserve"> that increasing returns to scale (and hence imperfect competition), underlie development, and this is how regions evolve, how regional advantage is constructed; 3) it leads to functional rather than localised innovation ecosystems</w:t>
      </w:r>
      <w:r w:rsidR="00C76D3B" w:rsidRPr="00E14342">
        <w:rPr>
          <w:rStyle w:val="FootnoteReference"/>
        </w:rPr>
        <w:footnoteReference w:id="35"/>
      </w:r>
      <w:r w:rsidR="00C76D3B" w:rsidRPr="00E14342">
        <w:t>, and 4) it proposes a dynamic (therefore evolutionary) approach to networking and cooperation, since ‘conversation spaces’ are based on relevance, “tacitly teaching” how to evolve, and go beyond static problem solving (e.g. a unique transfer of good practice).</w:t>
      </w:r>
    </w:p>
    <w:p w14:paraId="6D7418F4" w14:textId="515C4A90" w:rsidR="00CB6210" w:rsidRPr="00E14342" w:rsidRDefault="00CB6210" w:rsidP="000F381C"/>
    <w:sectPr w:rsidR="00CB6210" w:rsidRPr="00E14342" w:rsidSect="00095949">
      <w:headerReference w:type="default" r:id="rId35"/>
      <w:footerReference w:type="even" r:id="rId36"/>
      <w:footerReference w:type="default" r:id="rId37"/>
      <w:pgSz w:w="11900" w:h="16820"/>
      <w:pgMar w:top="1531" w:right="1134" w:bottom="1531" w:left="1531" w:header="720" w:footer="104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2BED8" w14:textId="77777777" w:rsidR="008E152F" w:rsidRDefault="008E152F" w:rsidP="00817E9E">
      <w:pPr>
        <w:spacing w:before="0" w:after="0" w:line="240" w:lineRule="auto"/>
      </w:pPr>
      <w:r>
        <w:separator/>
      </w:r>
    </w:p>
  </w:endnote>
  <w:endnote w:type="continuationSeparator" w:id="0">
    <w:p w14:paraId="701D3290" w14:textId="77777777" w:rsidR="008E152F" w:rsidRDefault="008E152F" w:rsidP="00817E9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GPMinchoE">
    <w:panose1 w:val="02020900000000000000"/>
    <w:charset w:val="80"/>
    <w:family w:val="roman"/>
    <w:pitch w:val="variable"/>
    <w:sig w:usb0="00000001" w:usb1="08070000" w:usb2="00000010" w:usb3="00000000" w:csb0="00020000" w:csb1="00000000"/>
  </w:font>
  <w:font w:name="Tahoma Bold">
    <w:altName w:val="Microsoft Sans Serif"/>
    <w:panose1 w:val="020B0604020202020204"/>
    <w:charset w:val="00"/>
    <w:family w:val="auto"/>
    <w:pitch w:val="variable"/>
    <w:sig w:usb0="00000003" w:usb1="00000000" w:usb2="00000000" w:usb3="00000000" w:csb0="00000001" w:csb1="00000000"/>
  </w:font>
  <w:font w:name="Symbol Tiger">
    <w:altName w:val="STIXGeneral"/>
    <w:panose1 w:val="05050102010706020507"/>
    <w:charset w:val="4D"/>
    <w:family w:val="decorative"/>
    <w:pitch w:val="variable"/>
    <w:sig w:usb0="00000001"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notTrueType/>
    <w:pitch w:val="default"/>
  </w:font>
  <w:font w:name="Tamil MN">
    <w:panose1 w:val="02020600050405020304"/>
    <w:charset w:val="00"/>
    <w:family w:val="auto"/>
    <w:pitch w:val="variable"/>
    <w:sig w:usb0="001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roman"/>
    <w:notTrueType/>
    <w:pitch w:val="variable"/>
    <w:sig w:usb0="00000001" w:usb1="09060000" w:usb2="00000010" w:usb3="00000000" w:csb0="00080000" w:csb1="00000000"/>
  </w:font>
  <w:font w:name="Lucida Grande">
    <w:panose1 w:val="020B0600040502020204"/>
    <w:charset w:val="00"/>
    <w:family w:val="swiss"/>
    <w:pitch w:val="variable"/>
    <w:sig w:usb0="E1000AEF" w:usb1="5000A1FF" w:usb2="00000000" w:usb3="00000000" w:csb0="000001B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09F" w:csb1="00000000"/>
  </w:font>
  <w:font w:name="Times">
    <w:panose1 w:val="00000500000000020000"/>
    <w:charset w:val="00"/>
    <w:family w:val="auto"/>
    <w:pitch w:val="variable"/>
    <w:sig w:usb0="E00002FF" w:usb1="5000205A" w:usb2="00000000" w:usb3="00000000" w:csb0="0000019F" w:csb1="00000000"/>
  </w:font>
  <w:font w:name="Verdana Bold Italic">
    <w:altName w:val="Verdana"/>
    <w:panose1 w:val="020B060402020202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ourceSansPro-Regular">
    <w:altName w:val="Tahoma"/>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295B3" w14:textId="77777777" w:rsidR="00F53DA7" w:rsidRDefault="00F53DA7" w:rsidP="00817E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75B7D7" w14:textId="77777777" w:rsidR="00F53DA7" w:rsidRDefault="00F53DA7" w:rsidP="00817E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284" w:type="dxa"/>
      <w:tblBorders>
        <w:top w:val="single" w:sz="2" w:space="0" w:color="BFBFBF" w:themeColor="background1"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5077"/>
      <w:gridCol w:w="2000"/>
    </w:tblGrid>
    <w:tr w:rsidR="00C45C6F" w:rsidRPr="00C40FA6" w14:paraId="1E93EB2E" w14:textId="77777777" w:rsidTr="00095949">
      <w:tc>
        <w:tcPr>
          <w:tcW w:w="2432" w:type="dxa"/>
        </w:tcPr>
        <w:p w14:paraId="710867DE" w14:textId="77777777" w:rsidR="00C45C6F" w:rsidRPr="00C45C6F" w:rsidRDefault="00C45C6F" w:rsidP="00C45C6F">
          <w:pPr>
            <w:pStyle w:val="Header"/>
            <w:tabs>
              <w:tab w:val="clear" w:pos="4986"/>
              <w:tab w:val="clear" w:pos="9972"/>
            </w:tabs>
            <w:spacing w:line="360" w:lineRule="auto"/>
            <w:ind w:left="0"/>
            <w:jc w:val="left"/>
            <w:rPr>
              <w:rFonts w:ascii="Calibri" w:eastAsia="Calibri" w:hAnsi="Calibri"/>
              <w:lang w:val="de-DE" w:eastAsia="de-DE"/>
            </w:rPr>
          </w:pPr>
          <w:r w:rsidRPr="00C45C6F">
            <w:rPr>
              <w:color w:val="FFCC66"/>
            </w:rPr>
            <w:t>Policy learnin</w:t>
          </w:r>
          <w:r>
            <w:rPr>
              <w:color w:val="FFCC66"/>
            </w:rPr>
            <w:t>g</w:t>
          </w:r>
        </w:p>
      </w:tc>
      <w:tc>
        <w:tcPr>
          <w:tcW w:w="5077" w:type="dxa"/>
        </w:tcPr>
        <w:p w14:paraId="3197854E" w14:textId="42B0B7A6" w:rsidR="00C45C6F" w:rsidRPr="00C45C6F" w:rsidRDefault="00095949" w:rsidP="00C45C6F">
          <w:pPr>
            <w:pStyle w:val="Header"/>
            <w:tabs>
              <w:tab w:val="clear" w:pos="4986"/>
              <w:tab w:val="clear" w:pos="9972"/>
            </w:tabs>
            <w:spacing w:line="360" w:lineRule="auto"/>
            <w:ind w:left="0"/>
            <w:jc w:val="left"/>
            <w:rPr>
              <w:rFonts w:ascii="Calibri" w:eastAsia="Calibri" w:hAnsi="Calibri"/>
              <w:lang w:val="de-DE" w:eastAsia="de-DE"/>
            </w:rPr>
          </w:pPr>
          <w:r>
            <w:rPr>
              <w:i/>
              <w:color w:val="FFCC66"/>
            </w:rPr>
            <w:t>BRIDGES project g</w:t>
          </w:r>
          <w:r w:rsidR="00C45C6F">
            <w:rPr>
              <w:i/>
              <w:color w:val="FFCC66"/>
            </w:rPr>
            <w:t xml:space="preserve">ood practices </w:t>
          </w:r>
          <w:r w:rsidR="00C45C6F" w:rsidRPr="00C45C6F">
            <w:rPr>
              <w:i/>
              <w:color w:val="FFCC66"/>
            </w:rPr>
            <w:t>capitalisation report</w:t>
          </w:r>
        </w:p>
      </w:tc>
      <w:tc>
        <w:tcPr>
          <w:tcW w:w="2000" w:type="dxa"/>
        </w:tcPr>
        <w:p w14:paraId="1CE1D422" w14:textId="3D75A8A2" w:rsidR="00C45C6F" w:rsidRPr="00C40FA6" w:rsidRDefault="00C45C6F" w:rsidP="00C010AD">
          <w:pPr>
            <w:pStyle w:val="Header"/>
            <w:tabs>
              <w:tab w:val="clear" w:pos="4986"/>
              <w:tab w:val="clear" w:pos="9972"/>
            </w:tabs>
            <w:spacing w:line="360" w:lineRule="auto"/>
            <w:ind w:left="0"/>
            <w:jc w:val="right"/>
            <w:rPr>
              <w:rFonts w:cs="Tahoma"/>
            </w:rPr>
          </w:pPr>
          <w:r w:rsidRPr="00C45C6F">
            <w:rPr>
              <w:rFonts w:cs="Tahoma"/>
              <w:i/>
            </w:rPr>
            <w:t xml:space="preserve">Page </w:t>
          </w:r>
          <w:r w:rsidRPr="00C45C6F">
            <w:rPr>
              <w:rFonts w:cs="Tahoma"/>
              <w:i/>
            </w:rPr>
            <w:fldChar w:fldCharType="begin"/>
          </w:r>
          <w:r w:rsidRPr="00C45C6F">
            <w:rPr>
              <w:rFonts w:cs="Tahoma"/>
              <w:i/>
            </w:rPr>
            <w:instrText xml:space="preserve"> PAGE </w:instrText>
          </w:r>
          <w:r w:rsidRPr="00C45C6F">
            <w:rPr>
              <w:rFonts w:cs="Tahoma"/>
              <w:i/>
            </w:rPr>
            <w:fldChar w:fldCharType="separate"/>
          </w:r>
          <w:r w:rsidRPr="00C45C6F">
            <w:rPr>
              <w:rFonts w:cs="Tahoma"/>
              <w:i/>
              <w:noProof/>
            </w:rPr>
            <w:t>33</w:t>
          </w:r>
          <w:r w:rsidRPr="00C45C6F">
            <w:rPr>
              <w:rFonts w:cs="Tahoma"/>
              <w:i/>
            </w:rPr>
            <w:fldChar w:fldCharType="end"/>
          </w:r>
          <w:r w:rsidRPr="00C45C6F">
            <w:rPr>
              <w:rFonts w:cs="Tahoma"/>
              <w:i/>
            </w:rPr>
            <w:t xml:space="preserve"> of </w:t>
          </w:r>
          <w:r w:rsidRPr="00C45C6F">
            <w:rPr>
              <w:rFonts w:cs="Tahoma"/>
              <w:i/>
            </w:rPr>
            <w:fldChar w:fldCharType="begin"/>
          </w:r>
          <w:r w:rsidRPr="00C45C6F">
            <w:rPr>
              <w:rFonts w:cs="Tahoma"/>
              <w:i/>
            </w:rPr>
            <w:instrText xml:space="preserve"> NUMPAGES </w:instrText>
          </w:r>
          <w:r w:rsidRPr="00C45C6F">
            <w:rPr>
              <w:rFonts w:cs="Tahoma"/>
              <w:i/>
            </w:rPr>
            <w:fldChar w:fldCharType="separate"/>
          </w:r>
          <w:r w:rsidRPr="00C45C6F">
            <w:rPr>
              <w:rFonts w:cs="Tahoma"/>
              <w:i/>
              <w:noProof/>
            </w:rPr>
            <w:t>50</w:t>
          </w:r>
          <w:r w:rsidRPr="00C45C6F">
            <w:rPr>
              <w:rFonts w:cs="Tahoma"/>
              <w:i/>
            </w:rPr>
            <w:fldChar w:fldCharType="end"/>
          </w:r>
        </w:p>
      </w:tc>
    </w:tr>
  </w:tbl>
  <w:p w14:paraId="6FB06D6D" w14:textId="5E62F3D2" w:rsidR="00095949" w:rsidRPr="00C40FA6" w:rsidRDefault="00095949" w:rsidP="00095949">
    <w:pPr>
      <w:pStyle w:val="Header"/>
      <w:tabs>
        <w:tab w:val="left" w:pos="5216"/>
        <w:tab w:val="left" w:pos="9639"/>
      </w:tabs>
      <w:spacing w:line="360" w:lineRule="auto"/>
      <w:ind w:left="0"/>
      <w:jc w:val="center"/>
      <w:rPr>
        <w:rFonts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ED293" w14:textId="77777777" w:rsidR="008E152F" w:rsidRDefault="008E152F" w:rsidP="00817E9E">
      <w:pPr>
        <w:spacing w:before="0" w:after="0" w:line="240" w:lineRule="auto"/>
      </w:pPr>
      <w:r>
        <w:separator/>
      </w:r>
    </w:p>
  </w:footnote>
  <w:footnote w:type="continuationSeparator" w:id="0">
    <w:p w14:paraId="7868B31A" w14:textId="77777777" w:rsidR="008E152F" w:rsidRDefault="008E152F" w:rsidP="00817E9E">
      <w:pPr>
        <w:spacing w:before="0" w:after="0" w:line="240" w:lineRule="auto"/>
      </w:pPr>
      <w:r>
        <w:continuationSeparator/>
      </w:r>
    </w:p>
  </w:footnote>
  <w:footnote w:id="1">
    <w:p w14:paraId="18484558" w14:textId="2CF70605" w:rsidR="00F53DA7" w:rsidRPr="00A83FFA" w:rsidRDefault="00F53DA7" w:rsidP="003B0D04">
      <w:pPr>
        <w:pStyle w:val="FootnoteText"/>
      </w:pPr>
      <w:r>
        <w:rPr>
          <w:rStyle w:val="FootnoteReference"/>
        </w:rPr>
        <w:footnoteRef/>
      </w:r>
      <w:r>
        <w:t xml:space="preserve"> </w:t>
      </w:r>
      <w:r w:rsidRPr="00A83FFA">
        <w:t xml:space="preserve">Interregional partnerships beyond the context of territorial cooperation initiatives, are feasible in various ways.  European territorial cooperation programmes, Horison2020, EUREKA partnerships, national innovation programmes with interregional eligibility, and even </w:t>
      </w:r>
      <w:r w:rsidRPr="00A83FFA">
        <w:rPr>
          <w:i/>
        </w:rPr>
        <w:t>Article 70</w:t>
      </w:r>
      <w:r w:rsidRPr="00A83FFA">
        <w:t xml:space="preserve"> of the 2014-2020 regulation of the structural funds.</w:t>
      </w:r>
    </w:p>
  </w:footnote>
  <w:footnote w:id="2">
    <w:p w14:paraId="27990947" w14:textId="77777777" w:rsidR="00F53DA7" w:rsidRPr="00A83FFA" w:rsidRDefault="00F53DA7" w:rsidP="003B0D04">
      <w:pPr>
        <w:pStyle w:val="FootnoteText"/>
        <w:rPr>
          <w:rStyle w:val="FootnoteTextChar"/>
          <w:rFonts w:eastAsia="Arial"/>
        </w:rPr>
      </w:pPr>
      <w:r w:rsidRPr="00A83FFA">
        <w:rPr>
          <w:rStyle w:val="FootnoteReference"/>
        </w:rPr>
        <w:footnoteRef/>
      </w:r>
      <w:r w:rsidRPr="00A83FFA">
        <w:t xml:space="preserve"> REGULATION (EU) No 1303/2013 OF THE EUROPEAN PARLIAMENT AND OF THE COUNCIL of 17 December 2013, page 378.</w:t>
      </w:r>
    </w:p>
  </w:footnote>
  <w:footnote w:id="3">
    <w:p w14:paraId="3505A722" w14:textId="77777777" w:rsidR="00F53DA7" w:rsidRPr="00A83FFA" w:rsidRDefault="00F53DA7" w:rsidP="003B0D04">
      <w:pPr>
        <w:pStyle w:val="FootnoteText"/>
      </w:pPr>
      <w:r w:rsidRPr="00A83FFA">
        <w:rPr>
          <w:rStyle w:val="FootnoteReference"/>
        </w:rPr>
        <w:footnoteRef/>
      </w:r>
      <w:r w:rsidRPr="00A83FFA">
        <w:rPr>
          <w:rStyle w:val="FootnoteTextChar"/>
          <w:rFonts w:eastAsia="Arial"/>
        </w:rPr>
        <w:t>REGULATION (EU) No 1303/2013 OF THE EUROPEAN PARLIAMENT AND OF THE COUNCIL of 17 December 2013, Annex 1, COORDINATION AND SYNERGIES BETWEEN ESI FUNDS AND OTHER UNION POLICIES AND INSTRUMENTS, 4.3 Horizon 2020 and other centrally managed Union programmes in the areas of research and innovation, page 415.</w:t>
      </w:r>
    </w:p>
  </w:footnote>
  <w:footnote w:id="4">
    <w:p w14:paraId="34E9A1FD" w14:textId="329EEC5E" w:rsidR="00F53DA7" w:rsidRPr="00931F40" w:rsidRDefault="00F53DA7" w:rsidP="003B0D04">
      <w:pPr>
        <w:pStyle w:val="FootnoteText"/>
        <w:rPr>
          <w:lang w:val="fi-FI"/>
        </w:rPr>
      </w:pPr>
      <w:r w:rsidRPr="00A83FFA">
        <w:rPr>
          <w:rStyle w:val="FootnoteReference"/>
        </w:rPr>
        <w:footnoteRef/>
      </w:r>
      <w:r w:rsidRPr="00A83FFA">
        <w:t xml:space="preserve"> The Global Competitiveness index 2017-2018 IMF, World economic outlook database, April 2017: 1st pillar institutions.  2nd pillar infrastructure, </w:t>
      </w:r>
      <w:r>
        <w:t>3rd pillar Macroconomic environment, 4th pillar He</w:t>
      </w:r>
      <w:r w:rsidRPr="00A83FFA">
        <w:t>a</w:t>
      </w:r>
      <w:r>
        <w:t>l</w:t>
      </w:r>
      <w:r w:rsidRPr="00A83FFA">
        <w:t>th and primary education, 5th pillar Higher education and training, 6th pillar Goods market efficiency, 7th pillar Labour market efficiency, 8th pillar Financial market development, 9th pillar Technological readiness, 10th pillar Market size, 11th pillar Busine</w:t>
      </w:r>
      <w:r>
        <w:t>ss sophistication, 12th pillar i</w:t>
      </w:r>
      <w:r w:rsidRPr="00A83FFA">
        <w:t>nno</w:t>
      </w:r>
      <w:r>
        <w:rPr>
          <w:lang w:val="fi-FI"/>
        </w:rPr>
        <w:t>vation.</w:t>
      </w:r>
    </w:p>
  </w:footnote>
  <w:footnote w:id="5">
    <w:p w14:paraId="40986E78" w14:textId="77777777" w:rsidR="00F53DA7" w:rsidRPr="00CC79B0" w:rsidRDefault="00F53DA7" w:rsidP="00B02A88">
      <w:pPr>
        <w:pStyle w:val="NormalWeb"/>
        <w:spacing w:line="276" w:lineRule="auto"/>
        <w:rPr>
          <w:sz w:val="18"/>
          <w:szCs w:val="18"/>
          <w:lang w:val="fi-FI"/>
        </w:rPr>
      </w:pPr>
      <w:r>
        <w:rPr>
          <w:rStyle w:val="FootnoteReference"/>
        </w:rPr>
        <w:footnoteRef/>
      </w:r>
      <w:r w:rsidRPr="00CC79B0">
        <w:rPr>
          <w:rStyle w:val="FootnoteTextChar"/>
        </w:rPr>
        <w:t>“</w:t>
      </w:r>
      <w:r w:rsidRPr="00B02A88">
        <w:rPr>
          <w:rStyle w:val="FootnoteTextChar"/>
        </w:rPr>
        <w:t>Competence Centres are collaborative entities established and led by industry and resourced by highly-qualified researchers associated with research institutions who are emp</w:t>
      </w:r>
      <w:r w:rsidRPr="00B02A88">
        <w:rPr>
          <w:rStyle w:val="FootnoteTextChar"/>
          <w:rFonts w:eastAsiaTheme="minorEastAsia"/>
        </w:rPr>
        <w:t>owered to undertake market focu</w:t>
      </w:r>
      <w:r w:rsidRPr="00B02A88">
        <w:rPr>
          <w:rStyle w:val="FootnoteTextChar"/>
        </w:rPr>
        <w:t>sed strategic resea</w:t>
      </w:r>
      <w:r w:rsidRPr="00B02A88">
        <w:rPr>
          <w:rStyle w:val="FootnoteTextChar"/>
          <w:rFonts w:eastAsiaTheme="minorEastAsia"/>
        </w:rPr>
        <w:t xml:space="preserve">rch for the benefit of industry”, </w:t>
      </w:r>
      <w:hyperlink r:id="rId1" w:history="1">
        <w:r w:rsidRPr="00B02A88">
          <w:rPr>
            <w:rStyle w:val="FootnoteTextChar"/>
          </w:rPr>
          <w:t>https://www.enterprise-ireland.com/en/research-innovation/companies/r-d-funding/competence-center-faqs</w:t>
        </w:r>
      </w:hyperlink>
      <w:r w:rsidRPr="00B02A88">
        <w:rPr>
          <w:rStyle w:val="FootnoteTextChar"/>
        </w:rPr>
        <w:t xml:space="preserve"> .</w:t>
      </w:r>
      <w:r>
        <w:rPr>
          <w:rStyle w:val="FootnoteTextChar"/>
          <w:lang w:val="en-US" w:eastAsia="fi-FI"/>
        </w:rPr>
        <w:t xml:space="preserve"> </w:t>
      </w:r>
    </w:p>
  </w:footnote>
  <w:footnote w:id="6">
    <w:p w14:paraId="32D2D3D3" w14:textId="738891E1" w:rsidR="00F53DA7" w:rsidRPr="007D6FFF" w:rsidRDefault="00F53DA7" w:rsidP="00D71AFD">
      <w:pPr>
        <w:widowControl w:val="0"/>
        <w:autoSpaceDE w:val="0"/>
        <w:autoSpaceDN w:val="0"/>
        <w:adjustRightInd w:val="0"/>
        <w:spacing w:before="0" w:after="240" w:line="276" w:lineRule="auto"/>
        <w:rPr>
          <w:iCs/>
          <w:color w:val="118889"/>
          <w:szCs w:val="18"/>
          <w:lang w:eastAsia="en-GB"/>
        </w:rPr>
      </w:pPr>
      <w:r w:rsidRPr="001861C0">
        <w:rPr>
          <w:b/>
          <w:color w:val="FF0000"/>
          <w:vertAlign w:val="superscript"/>
        </w:rPr>
        <w:footnoteRef/>
      </w:r>
      <w:r w:rsidRPr="009E7321">
        <w:rPr>
          <w:rStyle w:val="FootnoteTextChar"/>
          <w:lang w:val="en-US" w:eastAsia="fi-FI"/>
        </w:rPr>
        <w:t>Kaisa Lähteenmäki-Smith, 2003. Innovation through programming? The Finnish centres of expertise programme as an instrument of networking and knowledge building. Paper to be presented at the DRUID Summer Conference 2003 on CREATING, SHARING AND TRANSFERRING KNOWLEDGE. The role of</w:t>
      </w:r>
      <w:r w:rsidRPr="00234003">
        <w:rPr>
          <w:rStyle w:val="FootnoteTextChar"/>
          <w:rFonts w:eastAsiaTheme="minorEastAsia"/>
        </w:rPr>
        <w:t>Geography, Institutions and Organizations. Copenhagen June 12-14, 2003</w:t>
      </w:r>
      <w:r>
        <w:rPr>
          <w:rStyle w:val="FootnoteTextChar"/>
          <w:rFonts w:eastAsiaTheme="minorEastAsia"/>
        </w:rPr>
        <w:t xml:space="preserve">. </w:t>
      </w:r>
      <w:r w:rsidRPr="00234003">
        <w:rPr>
          <w:rStyle w:val="FootnoteTextChar"/>
          <w:i/>
          <w:szCs w:val="18"/>
        </w:rPr>
        <w:t xml:space="preserve">“The Finnish Centres of Expertise programme been acknowledged as a successful instrument providing further support for innovation activity and regional industrial development, though it does seem questionable to argue that innovation could be promoted through programming. Innovation capacity can however be supported and fostered, and it is argued in this paper that public policy can address some of the most difficult obstacles to the promotion of innovative regional </w:t>
      </w:r>
      <w:r w:rsidRPr="0075474E">
        <w:rPr>
          <w:rStyle w:val="FootnoteTextChar"/>
        </w:rPr>
        <w:t>environments for growth and to support for the emergence of regionally based strategic partnerships. One of the main challenges here lies in promoting inter-regional linkages and networks in an environment that is prone to regionally specific co- operative solutions. If the promotion of expertise and the creation of networks is inherently regional, with the funding structures being equally so, how are inter-regional networks and organizational forms expected to flourish, and how can external support (in this case the national programme for the CoEs) have an impact in this regard? “</w:t>
      </w:r>
      <w:r>
        <w:rPr>
          <w:rStyle w:val="FootnoteTextChar"/>
          <w:szCs w:val="18"/>
        </w:rPr>
        <w:t xml:space="preserve"> (abstract, emphasis from the writer of the BRIDGES document). </w:t>
      </w:r>
      <w:r w:rsidRPr="007D6FFF">
        <w:rPr>
          <w:rStyle w:val="FootnoteTextChar"/>
        </w:rPr>
        <w:t xml:space="preserve">Available from: </w:t>
      </w:r>
      <w:hyperlink r:id="rId2" w:history="1">
        <w:r>
          <w:rPr>
            <w:rStyle w:val="Hyperlink"/>
          </w:rPr>
          <w:t>https://www.researchgate.net/publication/228867861_Innovation_through_programming_The_finnish_centres_of_expertise_programme_as_an_instrument_of_networking_and_knowledge_building</w:t>
        </w:r>
      </w:hyperlink>
      <w:r>
        <w:t xml:space="preserve"> </w:t>
      </w:r>
      <w:r w:rsidRPr="00B77CA8">
        <w:rPr>
          <w:rStyle w:val="FootnoteTextChar"/>
        </w:rPr>
        <w:t>[accessed Apr 3, 2017].</w:t>
      </w:r>
    </w:p>
  </w:footnote>
  <w:footnote w:id="7">
    <w:p w14:paraId="5D152483" w14:textId="37E2801C" w:rsidR="00F53DA7" w:rsidRPr="008A4656" w:rsidRDefault="00F53DA7" w:rsidP="00817E9E">
      <w:pPr>
        <w:widowControl w:val="0"/>
        <w:autoSpaceDE w:val="0"/>
        <w:autoSpaceDN w:val="0"/>
        <w:adjustRightInd w:val="0"/>
        <w:spacing w:after="240" w:line="276" w:lineRule="auto"/>
        <w:rPr>
          <w:lang w:val="fi-FI"/>
        </w:rPr>
      </w:pPr>
      <w:r>
        <w:rPr>
          <w:rStyle w:val="FootnoteReference"/>
        </w:rPr>
        <w:footnoteRef/>
      </w:r>
      <w:r w:rsidRPr="00304099">
        <w:rPr>
          <w:rStyle w:val="FootnoteTextChar"/>
          <w:rFonts w:cstheme="minorBidi"/>
        </w:rPr>
        <w:t>Final report to the CREST (European Union Scientific and Technical Research Committee</w:t>
      </w:r>
      <w:r>
        <w:rPr>
          <w:rStyle w:val="FootnoteTextChar"/>
          <w:rFonts w:cstheme="minorBidi"/>
        </w:rPr>
        <w:t xml:space="preserve">) Working Group, 2008. </w:t>
      </w:r>
      <w:r w:rsidRPr="00304099">
        <w:rPr>
          <w:rStyle w:val="FootnoteTextChar"/>
          <w:rFonts w:cstheme="minorBidi"/>
        </w:rPr>
        <w:t xml:space="preserve">Industry-Led Competence Centres – Aligning academic / public research with </w:t>
      </w:r>
      <w:r>
        <w:rPr>
          <w:rStyle w:val="FootnoteTextChar"/>
          <w:rFonts w:cstheme="minorBidi"/>
        </w:rPr>
        <w:t>en</w:t>
      </w:r>
      <w:r w:rsidRPr="00304099">
        <w:rPr>
          <w:rStyle w:val="FootnoteTextChar"/>
          <w:rFonts w:cstheme="minorBidi"/>
        </w:rPr>
        <w:t>terprise and industry needs, Open Method of Co-ordination (OMC) 3% Action Plan; page 11.</w:t>
      </w:r>
    </w:p>
  </w:footnote>
  <w:footnote w:id="8">
    <w:p w14:paraId="6D97D958" w14:textId="0F404D6F" w:rsidR="00F53DA7" w:rsidRPr="002F0481" w:rsidRDefault="00F53DA7" w:rsidP="003B0D04">
      <w:pPr>
        <w:pStyle w:val="FootnoteText"/>
        <w:rPr>
          <w:lang w:val="fi-FI"/>
        </w:rPr>
      </w:pPr>
      <w:r>
        <w:rPr>
          <w:rStyle w:val="FootnoteReference"/>
        </w:rPr>
        <w:footnoteRef/>
      </w:r>
      <w:hyperlink w:anchor="_CREST_guidelines,_2007." w:history="1">
        <w:r w:rsidRPr="002F0481">
          <w:rPr>
            <w:rStyle w:val="Hyperlink"/>
          </w:rPr>
          <w:t>CREST guidelines</w:t>
        </w:r>
      </w:hyperlink>
      <w:r>
        <w:rPr>
          <w:rStyle w:val="Hyperlink"/>
        </w:rPr>
        <w:t xml:space="preserve"> </w:t>
      </w:r>
      <w:r w:rsidRPr="00304099">
        <w:t xml:space="preserve">“3.1.3 Regional Innovation and the Role of the Technology Strategy Board: i) Technology areas with a clear, strategic focus on long-term sustainability in fields such as energy, health and transportation (including </w:t>
      </w:r>
      <w:r>
        <w:t>public transport and automotive</w:t>
      </w:r>
      <w:r w:rsidRPr="00304099">
        <w:t>)… ii) Strongly and visibly integrated sectoral or regional clusters, which would promote the technology profiles and associated R&amp;D agendas expected to have a major impact on the long-term development of the respective sectors/regions. These could be delivered through competitions between technology programmes developed by the regions, tailored according to their specific needs, and identified on the basis of regional foresight studies. Relevant examples from other countries include: the Finnish Centres of Excellence programme in science, technology and innovation; the Swedish Competence Centres; and the German Inno-Regio Programme”.</w:t>
      </w:r>
    </w:p>
  </w:footnote>
  <w:footnote w:id="9">
    <w:p w14:paraId="7365FFE3" w14:textId="2408DB2B" w:rsidR="00F53DA7" w:rsidRPr="007A2E46" w:rsidRDefault="00F53DA7" w:rsidP="003B0D04">
      <w:pPr>
        <w:pStyle w:val="FootnoteText"/>
        <w:rPr>
          <w:lang w:val="fi-FI"/>
        </w:rPr>
      </w:pPr>
      <w:r>
        <w:rPr>
          <w:rStyle w:val="FootnoteReference"/>
        </w:rPr>
        <w:footnoteRef/>
      </w:r>
      <w:r>
        <w:t xml:space="preserve"> </w:t>
      </w:r>
      <w:r>
        <w:rPr>
          <w:lang w:val="fi-FI"/>
        </w:rPr>
        <w:t xml:space="preserve">Source of Figure 2: </w:t>
      </w:r>
      <w:r w:rsidRPr="00E14342">
        <w:t>Donald Stokes, Pasteur’s Quadrant:  Basic Science and Technological Innovation, Washington DC: Brookings, 1997</w:t>
      </w:r>
      <w:r>
        <w:t>.</w:t>
      </w:r>
    </w:p>
  </w:footnote>
  <w:footnote w:id="10">
    <w:p w14:paraId="551A037A" w14:textId="77777777" w:rsidR="00F53DA7" w:rsidRPr="00E420BD" w:rsidRDefault="00F53DA7" w:rsidP="003B0D04">
      <w:pPr>
        <w:pStyle w:val="FootnoteText"/>
        <w:rPr>
          <w:lang w:val="fi-FI"/>
        </w:rPr>
      </w:pPr>
      <w:r>
        <w:rPr>
          <w:rStyle w:val="FootnoteReference"/>
        </w:rPr>
        <w:footnoteRef/>
      </w:r>
      <w:r>
        <w:rPr>
          <w:lang w:val="fi-FI"/>
        </w:rPr>
        <w:t xml:space="preserve">Article 70, </w:t>
      </w:r>
      <w:r>
        <w:t>REGULATION (EU) No 1303/2013 OF THE EUROPEAN PARLIAMENT AND OF THE COUNCIL of 17 December 2013, page 378</w:t>
      </w:r>
      <w:r>
        <w:rPr>
          <w:lang w:val="fi-FI"/>
        </w:rPr>
        <w:t>.</w:t>
      </w:r>
    </w:p>
  </w:footnote>
  <w:footnote w:id="11">
    <w:p w14:paraId="1F35392F" w14:textId="0213B648" w:rsidR="00F53DA7" w:rsidRPr="005674A6" w:rsidRDefault="00F53DA7" w:rsidP="003B0D04">
      <w:pPr>
        <w:pStyle w:val="FootnoteText"/>
        <w:rPr>
          <w:lang w:val="fi-FI"/>
        </w:rPr>
      </w:pPr>
      <w:r>
        <w:rPr>
          <w:rStyle w:val="FootnoteReference"/>
        </w:rPr>
        <w:footnoteRef/>
      </w:r>
      <w:r w:rsidRPr="00CC79B0">
        <w:rPr>
          <w:rStyle w:val="FootnoteTextChar"/>
          <w:szCs w:val="18"/>
        </w:rPr>
        <w:t>2015: The Academy of Finland's Centres of Excellence (CoE) are the flagships of Finnish research. They are at the very cutting edge of science in,</w:t>
      </w:r>
      <w:hyperlink r:id="rId3" w:history="1">
        <w:r w:rsidRPr="00CC79B0">
          <w:rPr>
            <w:rFonts w:ascii="SourceSansPro-Regular" w:hAnsi="SourceSansPro-Regular" w:cs="SourceSansPro-Regular"/>
            <w:color w:val="4FA4BD"/>
            <w:u w:val="single" w:color="4FA4BD"/>
            <w:lang w:eastAsia="ja-JP"/>
          </w:rPr>
          <w:t>www.aka.fi/en/research-and-science-policy/centres-of-excellence/</w:t>
        </w:r>
      </w:hyperlink>
      <w:r w:rsidRPr="00CC79B0">
        <w:rPr>
          <w:rFonts w:ascii="SourceSansPro-Regular" w:hAnsi="SourceSansPro-Regular"/>
          <w:color w:val="auto"/>
          <w:lang w:eastAsia="ja-JP"/>
        </w:rPr>
        <w:t xml:space="preserve">; </w:t>
      </w:r>
      <w:r w:rsidRPr="00CC79B0">
        <w:rPr>
          <w:rStyle w:val="FootnoteTextChar"/>
          <w:szCs w:val="18"/>
        </w:rPr>
        <w:t>Renewed Centre of</w:t>
      </w:r>
      <w:r>
        <w:rPr>
          <w:rStyle w:val="FootnoteTextChar"/>
          <w:szCs w:val="18"/>
        </w:rPr>
        <w:t xml:space="preserve"> </w:t>
      </w:r>
      <w:r w:rsidRPr="00CC79B0">
        <w:rPr>
          <w:rStyle w:val="FootnoteTextChar"/>
          <w:szCs w:val="18"/>
        </w:rPr>
        <w:t>Excellence Programme 2018–2025: The CoE programme for 2018–2025 is expected to include new research groups, new research themes and new openings embracing a high gain-high risk approach,</w:t>
      </w:r>
      <w:hyperlink r:id="rId4" w:history="1">
        <w:r w:rsidRPr="00CC79B0">
          <w:rPr>
            <w:rStyle w:val="Hyperlink"/>
            <w:rFonts w:ascii="SourceSansPro-Regular" w:hAnsi="SourceSansPro-Regular" w:cs="SourceSansPro-Regular"/>
            <w:szCs w:val="18"/>
            <w:lang w:eastAsia="ja-JP"/>
          </w:rPr>
          <w:t>http://www.aka.fi/en/research-and-science-policy/centres-of-excellence/coe-events/info-renewed-centre-of-excellence-programme-20182025/</w:t>
        </w:r>
      </w:hyperlink>
      <w:r w:rsidRPr="00CC79B0">
        <w:rPr>
          <w:rFonts w:ascii="SourceSansPro-Regular" w:hAnsi="SourceSansPro-Regular" w:cs="SourceSansPro-Regular"/>
          <w:color w:val="auto"/>
          <w:lang w:eastAsia="ja-JP"/>
        </w:rPr>
        <w:t xml:space="preserve"> .</w:t>
      </w:r>
    </w:p>
  </w:footnote>
  <w:footnote w:id="12">
    <w:p w14:paraId="0841624F" w14:textId="487DFD87" w:rsidR="00F53DA7" w:rsidRPr="0052429E" w:rsidRDefault="00F53DA7" w:rsidP="003B0D04">
      <w:pPr>
        <w:pStyle w:val="FootnoteText"/>
        <w:rPr>
          <w:lang w:val="fi-FI"/>
        </w:rPr>
      </w:pPr>
      <w:r>
        <w:rPr>
          <w:rStyle w:val="FootnoteReference"/>
        </w:rPr>
        <w:footnoteRef/>
      </w:r>
      <w:r>
        <w:t xml:space="preserve"> </w:t>
      </w:r>
      <w:r>
        <w:rPr>
          <w:lang w:val="en-US"/>
        </w:rPr>
        <w:t>Win-win arrangements between advanced and less advanced regions, based on the interests of both are required. Our approach builds on network theory, however, it stresses the regularity &amp; depth of interactions (as both growth and pedagogic tool (</w:t>
      </w:r>
      <w:hyperlink w:anchor="_Dalum,_B.,_Johnson," w:history="1">
        <w:r w:rsidRPr="0052429E">
          <w:rPr>
            <w:rStyle w:val="Hyperlink"/>
            <w:szCs w:val="18"/>
            <w:lang w:val="en-US"/>
          </w:rPr>
          <w:t>DALUM 1992</w:t>
        </w:r>
      </w:hyperlink>
      <w:r>
        <w:rPr>
          <w:lang w:val="en-US"/>
        </w:rPr>
        <w:t xml:space="preserve">, p302) as a way to enhance integration through </w:t>
      </w:r>
      <w:r w:rsidRPr="0052429E">
        <w:rPr>
          <w:szCs w:val="18"/>
          <w:lang w:val="en-US"/>
        </w:rPr>
        <w:t>connectivty (</w:t>
      </w:r>
      <w:hyperlink w:anchor="_Benneworth,_P._and" w:history="1">
        <w:r w:rsidRPr="0052429E">
          <w:rPr>
            <w:rStyle w:val="Hyperlink"/>
            <w:szCs w:val="18"/>
            <w:lang w:val="en-US"/>
          </w:rPr>
          <w:t>Benneworth 2011</w:t>
        </w:r>
      </w:hyperlink>
      <w:r w:rsidRPr="0052429E">
        <w:rPr>
          <w:szCs w:val="18"/>
          <w:lang w:val="en-US"/>
        </w:rPr>
        <w:t>).</w:t>
      </w:r>
    </w:p>
  </w:footnote>
  <w:footnote w:id="13">
    <w:p w14:paraId="7167E732" w14:textId="645AD321" w:rsidR="00F53DA7" w:rsidRPr="007A2E46" w:rsidRDefault="00F53DA7" w:rsidP="003B0D04">
      <w:pPr>
        <w:pStyle w:val="FootnoteText"/>
        <w:rPr>
          <w:lang w:val="fi-FI"/>
        </w:rPr>
      </w:pPr>
      <w:r>
        <w:rPr>
          <w:rStyle w:val="FootnoteReference"/>
        </w:rPr>
        <w:footnoteRef/>
      </w:r>
      <w:r>
        <w:t xml:space="preserve"> </w:t>
      </w:r>
      <w:r>
        <w:rPr>
          <w:lang w:val="fi-FI"/>
        </w:rPr>
        <w:t>Source of Figure 3: the writers of this report.</w:t>
      </w:r>
    </w:p>
  </w:footnote>
  <w:footnote w:id="14">
    <w:p w14:paraId="59171449" w14:textId="16B2E8FD" w:rsidR="00F53DA7" w:rsidRPr="00CC00BA" w:rsidRDefault="00F53DA7" w:rsidP="003B0D04">
      <w:pPr>
        <w:pStyle w:val="FootnoteText"/>
        <w:rPr>
          <w:lang w:val="fi-FI"/>
        </w:rPr>
      </w:pPr>
      <w:r>
        <w:rPr>
          <w:rStyle w:val="FootnoteReference"/>
        </w:rPr>
        <w:footnoteRef/>
      </w:r>
      <w:hyperlink r:id="rId5" w:anchor="Gülhan BİLEN, 2007. Reviewing the Incisive Influences of the Theories on Regional Economics, Annual International Conference of Regional Studies Association " w:history="1">
        <w:r w:rsidRPr="00CC00BA">
          <w:rPr>
            <w:rStyle w:val="Hyperlink"/>
            <w:szCs w:val="18"/>
          </w:rPr>
          <w:t>BILEN 2007</w:t>
        </w:r>
        <w:r w:rsidRPr="00CC00BA">
          <w:rPr>
            <w:rStyle w:val="Hyperlink"/>
            <w:sz w:val="21"/>
          </w:rPr>
          <w:t>: </w:t>
        </w:r>
      </w:hyperlink>
      <w:r w:rsidRPr="00CC00BA">
        <w:rPr>
          <w:rStyle w:val="FootnoteTextChar"/>
          <w:rFonts w:hint="eastAsia"/>
        </w:rPr>
        <w:t>Romer has endogenized Solow's exogenous technical progress accounting for a large proportion of growth process, and thus, technology has begun to be considered as the major source of income differences.</w:t>
      </w:r>
    </w:p>
  </w:footnote>
  <w:footnote w:id="15">
    <w:p w14:paraId="031CF60A" w14:textId="77777777" w:rsidR="00F53DA7" w:rsidRPr="00B654AA" w:rsidRDefault="00F53DA7" w:rsidP="008547BE">
      <w:pPr>
        <w:pStyle w:val="Body3"/>
        <w:rPr>
          <w:lang w:val="fi-FI"/>
        </w:rPr>
      </w:pPr>
      <w:r>
        <w:rPr>
          <w:rStyle w:val="FootnoteReference"/>
        </w:rPr>
        <w:footnoteRef/>
      </w:r>
      <w:r w:rsidRPr="00E227A6">
        <w:rPr>
          <w:rStyle w:val="FootnoteTextChar"/>
        </w:rPr>
        <w:t>A cluster can be denoted as a geographically proximate group of interconnected companies and associated institutions in a particular field, linked by commonalities and complementarities</w:t>
      </w:r>
      <w:r>
        <w:rPr>
          <w:rStyle w:val="FootnoteTextChar"/>
        </w:rPr>
        <w:t xml:space="preserve"> </w:t>
      </w:r>
      <w:r w:rsidRPr="00E227A6">
        <w:rPr>
          <w:rStyle w:val="FootnoteTextChar"/>
        </w:rPr>
        <w:t>(</w:t>
      </w:r>
      <w:hyperlink w:anchor="_McCormick,_K._and" w:history="1">
        <w:r w:rsidRPr="00E227A6">
          <w:rPr>
            <w:rStyle w:val="FootnoteTextChar"/>
          </w:rPr>
          <w:t>Oxford Research AS, 2008</w:t>
        </w:r>
      </w:hyperlink>
      <w:r w:rsidRPr="00E227A6">
        <w:rPr>
          <w:rStyle w:val="FootnoteTextChar"/>
        </w:rPr>
        <w:t>). The associated institutions might consist of R&amp;D institutes, universities, policy makers and finance institutes. In the cluster, firms are supposed to be tied to other firms through formal exchanges (i.e. the input-output linkages) and through untraded interdependencies (</w:t>
      </w:r>
      <w:hyperlink w:anchor="_Storper,_M._(1995)," w:history="1">
        <w:r w:rsidRPr="00E227A6">
          <w:rPr>
            <w:rStyle w:val="FootnoteTextChar"/>
          </w:rPr>
          <w:t>Storper, 1995</w:t>
        </w:r>
      </w:hyperlink>
      <w:r w:rsidRPr="00E227A6">
        <w:rPr>
          <w:rStyle w:val="FootnoteTextChar"/>
        </w:rPr>
        <w:t xml:space="preserve">). </w:t>
      </w:r>
    </w:p>
  </w:footnote>
  <w:footnote w:id="16">
    <w:p w14:paraId="7C141FF6" w14:textId="28FB7479" w:rsidR="003B0D04" w:rsidRPr="007755B7" w:rsidRDefault="003B0D04" w:rsidP="003B0D04">
      <w:pPr>
        <w:pStyle w:val="FootnoteText"/>
        <w:rPr>
          <w:i/>
          <w:lang w:val="fi-FI"/>
        </w:rPr>
      </w:pPr>
      <w:r>
        <w:rPr>
          <w:rStyle w:val="FootnoteReference"/>
        </w:rPr>
        <w:footnoteRef/>
      </w:r>
      <w:r>
        <w:t xml:space="preserve"> The numbering </w:t>
      </w:r>
      <w:r w:rsidR="007755B7">
        <w:t xml:space="preserve">in the list. Continues from </w:t>
      </w:r>
      <w:r w:rsidR="007755B7">
        <w:rPr>
          <w:i/>
        </w:rPr>
        <w:t>GP theme 1 contributions.</w:t>
      </w:r>
    </w:p>
  </w:footnote>
  <w:footnote w:id="17">
    <w:p w14:paraId="7900FDF8" w14:textId="5BF77EA7" w:rsidR="00F53DA7" w:rsidRPr="00164E16" w:rsidRDefault="00F53DA7" w:rsidP="003B0D04">
      <w:pPr>
        <w:pStyle w:val="FootnoteText"/>
        <w:rPr>
          <w:lang w:val="fi-FI"/>
        </w:rPr>
      </w:pPr>
      <w:r>
        <w:rPr>
          <w:rStyle w:val="FootnoteReference"/>
        </w:rPr>
        <w:footnoteRef/>
      </w:r>
      <w:r>
        <w:t xml:space="preserve"> See  </w:t>
      </w:r>
      <w:r>
        <w:fldChar w:fldCharType="begin"/>
      </w:r>
      <w:r>
        <w:instrText xml:space="preserve"> REF _Ref368419794 \h </w:instrText>
      </w:r>
      <w:r>
        <w:fldChar w:fldCharType="separate"/>
      </w:r>
      <w:r w:rsidRPr="006559BC">
        <w:t xml:space="preserve">Note </w:t>
      </w:r>
      <w:r>
        <w:rPr>
          <w:noProof/>
        </w:rPr>
        <w:t>6</w:t>
      </w:r>
      <w:r>
        <w:fldChar w:fldCharType="end"/>
      </w:r>
    </w:p>
  </w:footnote>
  <w:footnote w:id="18">
    <w:p w14:paraId="3C1A19AA" w14:textId="77777777" w:rsidR="00F53DA7" w:rsidRPr="00531F7B" w:rsidRDefault="00F53DA7" w:rsidP="003B0D04">
      <w:pPr>
        <w:pStyle w:val="FootnoteText"/>
        <w:rPr>
          <w:lang w:val="fi-FI"/>
        </w:rPr>
      </w:pPr>
      <w:r>
        <w:rPr>
          <w:rStyle w:val="FootnoteReference"/>
        </w:rPr>
        <w:footnoteRef/>
      </w:r>
      <w:r w:rsidRPr="00BC192E">
        <w:rPr>
          <w:rStyle w:val="FootnoteTextChar"/>
        </w:rPr>
        <w:t>The Van den Brande Report, 2014. Multilevel Governance and Partnership, European Commission, Prepared at the request of the Commissioner for Regional and Urban Policy Johannes Hahn. Page 2: Article 5 of Regulation 1303/2013 is a real breakthrough in this respect. Upon a proposal of the European Commission, for the first time the principle was introduced in the Common Provisions Regulation for the European Structural and Investment Funds. Moreover, also the partnership principle was strengthened. When in the previous programming period a partnership was organised 'where applicable', Member States are now obliged to organise a partnership at all stages of the programming and at all levels.</w:t>
      </w:r>
    </w:p>
  </w:footnote>
  <w:footnote w:id="19">
    <w:p w14:paraId="1685D7A1" w14:textId="3E0F9335" w:rsidR="008454CB" w:rsidRPr="008454CB" w:rsidRDefault="008454CB">
      <w:pPr>
        <w:pStyle w:val="FootnoteText"/>
        <w:rPr>
          <w:lang w:val="fi-FI"/>
        </w:rPr>
      </w:pPr>
      <w:r>
        <w:rPr>
          <w:rStyle w:val="FootnoteReference"/>
        </w:rPr>
        <w:footnoteRef/>
      </w:r>
      <w:r>
        <w:t xml:space="preserve"> </w:t>
      </w:r>
      <w:r>
        <w:t xml:space="preserve">The numbering in the list. Continues from </w:t>
      </w:r>
      <w:r>
        <w:rPr>
          <w:i/>
        </w:rPr>
        <w:t>GP theme 2</w:t>
      </w:r>
      <w:r>
        <w:rPr>
          <w:i/>
        </w:rPr>
        <w:t xml:space="preserve"> contributions.</w:t>
      </w:r>
    </w:p>
  </w:footnote>
  <w:footnote w:id="20">
    <w:p w14:paraId="19029550" w14:textId="59C92345" w:rsidR="007B7116" w:rsidRPr="007B7116" w:rsidRDefault="007B7116">
      <w:pPr>
        <w:pStyle w:val="FootnoteText"/>
        <w:rPr>
          <w:lang w:val="fi-FI"/>
        </w:rPr>
      </w:pPr>
      <w:r>
        <w:rPr>
          <w:rStyle w:val="FootnoteReference"/>
        </w:rPr>
        <w:footnoteRef/>
      </w:r>
      <w:r>
        <w:t xml:space="preserve"> </w:t>
      </w:r>
      <w:r w:rsidR="00ED41B3">
        <w:t>R</w:t>
      </w:r>
      <w:r w:rsidR="00ED41B3" w:rsidRPr="008454CB">
        <w:t>esearch-upon-demand needs and technological connectivity</w:t>
      </w:r>
      <w:r w:rsidR="00ED41B3">
        <w:t xml:space="preserve"> we called it, for short “innovation on demand” meaning access to interregional innovation services.</w:t>
      </w:r>
    </w:p>
  </w:footnote>
  <w:footnote w:id="21">
    <w:p w14:paraId="052B3E36" w14:textId="370EBB18" w:rsidR="00B12D50" w:rsidRPr="00B12D50" w:rsidRDefault="00B12D50" w:rsidP="004A1A31">
      <w:pPr>
        <w:pStyle w:val="NormalWeb"/>
        <w:ind w:left="0"/>
        <w:rPr>
          <w:lang w:val="fi-FI"/>
        </w:rPr>
      </w:pPr>
      <w:r>
        <w:rPr>
          <w:rStyle w:val="FootnoteReference"/>
        </w:rPr>
        <w:footnoteRef/>
      </w:r>
      <w:r>
        <w:t xml:space="preserve"> </w:t>
      </w:r>
      <w:r w:rsidR="004A1A31" w:rsidRPr="004A1A31">
        <w:rPr>
          <w:rFonts w:ascii="Tahoma" w:eastAsiaTheme="minorEastAsia" w:hAnsi="Tahoma"/>
          <w:color w:val="7F7F7F" w:themeColor="text1" w:themeTint="80"/>
          <w:sz w:val="16"/>
          <w:lang w:val="en-GB" w:eastAsia="en-US"/>
        </w:rPr>
        <w:t xml:space="preserve">REGULATION (EU) No 1303/2013 OF THE EUROPEAN PARLIAMENT AND OF THE COUNCIL </w:t>
      </w:r>
      <w:r w:rsidR="004A1A31" w:rsidRPr="004A1A31">
        <w:rPr>
          <w:rFonts w:ascii="Tahoma" w:eastAsiaTheme="minorEastAsia" w:hAnsi="Tahoma"/>
          <w:color w:val="7F7F7F" w:themeColor="text1" w:themeTint="80"/>
          <w:sz w:val="16"/>
          <w:lang w:val="en-GB"/>
        </w:rPr>
        <w:t>of 17 December 2013</w:t>
      </w:r>
      <w:r w:rsidR="004A1A31">
        <w:rPr>
          <w:rFonts w:ascii="Tahoma" w:eastAsiaTheme="minorEastAsia" w:hAnsi="Tahoma"/>
          <w:color w:val="7F7F7F" w:themeColor="text1" w:themeTint="80"/>
          <w:sz w:val="16"/>
          <w:lang w:val="en-GB"/>
        </w:rPr>
        <w:t>; Article 70 is on the option to spend up to 15% of the ESIF outside the programme area.</w:t>
      </w:r>
    </w:p>
  </w:footnote>
  <w:footnote w:id="22">
    <w:p w14:paraId="07B9C34B" w14:textId="7A4F1D91" w:rsidR="00F53DA7" w:rsidRPr="00C61AA3" w:rsidRDefault="00F53DA7" w:rsidP="003B0D04">
      <w:pPr>
        <w:pStyle w:val="FootnoteText"/>
        <w:rPr>
          <w:lang w:val="fi-FI"/>
        </w:rPr>
      </w:pPr>
      <w:r>
        <w:rPr>
          <w:rStyle w:val="FootnoteReference"/>
        </w:rPr>
        <w:footnoteRef/>
      </w:r>
      <w:r>
        <w:t xml:space="preserve"> </w:t>
      </w:r>
      <w:r>
        <w:rPr>
          <w:lang w:val="fi-FI"/>
        </w:rPr>
        <w:t>Alt</w:t>
      </w:r>
      <w:r w:rsidR="00A610CC">
        <w:rPr>
          <w:lang w:val="fi-FI"/>
        </w:rPr>
        <w:t>erra, PP10 withdrew on 24.10.</w:t>
      </w:r>
      <w:r>
        <w:rPr>
          <w:lang w:val="fi-FI"/>
        </w:rPr>
        <w:t xml:space="preserve">2016. </w:t>
      </w:r>
      <w:r w:rsidR="00A610CC">
        <w:rPr>
          <w:lang w:val="fi-FI"/>
        </w:rPr>
        <w:t xml:space="preserve">It implies, further analysis &amp; </w:t>
      </w:r>
      <w:r w:rsidR="00606352">
        <w:rPr>
          <w:lang w:val="fi-FI"/>
        </w:rPr>
        <w:t>transfer of the GPs contributed by PP10</w:t>
      </w:r>
      <w:r w:rsidR="00A610CC">
        <w:rPr>
          <w:lang w:val="fi-FI"/>
        </w:rPr>
        <w:t>, was not facilitated beyond that date.</w:t>
      </w:r>
    </w:p>
  </w:footnote>
  <w:footnote w:id="23">
    <w:p w14:paraId="20A4695C" w14:textId="05170CE0" w:rsidR="00F53DA7" w:rsidRPr="00640777" w:rsidRDefault="00F53DA7" w:rsidP="003B0D04">
      <w:pPr>
        <w:pStyle w:val="FootnoteText"/>
        <w:rPr>
          <w:lang w:val="fi-FI"/>
        </w:rPr>
      </w:pPr>
      <w:r>
        <w:rPr>
          <w:rStyle w:val="FootnoteReference"/>
        </w:rPr>
        <w:footnoteRef/>
      </w:r>
      <w:r>
        <w:t xml:space="preserve"> </w:t>
      </w:r>
      <w:r>
        <w:rPr>
          <w:lang w:val="fi-FI"/>
        </w:rPr>
        <w:t>Ibid, previous.</w:t>
      </w:r>
    </w:p>
  </w:footnote>
  <w:footnote w:id="24">
    <w:p w14:paraId="7743C4D7" w14:textId="77777777" w:rsidR="00F53DA7" w:rsidRPr="00E14342" w:rsidRDefault="00F53DA7" w:rsidP="00E43D41">
      <w:pPr>
        <w:spacing w:before="0" w:after="0" w:line="276" w:lineRule="auto"/>
        <w:ind w:left="0" w:right="0"/>
        <w:jc w:val="left"/>
        <w:rPr>
          <w:rFonts w:eastAsia="Times New Roman" w:cs="Tahoma"/>
          <w:color w:val="021B2B"/>
          <w:szCs w:val="18"/>
          <w:lang w:eastAsia="fi-FI"/>
        </w:rPr>
      </w:pPr>
      <w:r>
        <w:rPr>
          <w:rStyle w:val="FootnoteReference"/>
        </w:rPr>
        <w:footnoteRef/>
      </w:r>
      <w:r>
        <w:t xml:space="preserve"> </w:t>
      </w:r>
      <w:r w:rsidRPr="003A1D81">
        <w:rPr>
          <w:rStyle w:val="FootnoteTextChar"/>
        </w:rPr>
        <w:t>Type 1 Programme based (such as a centre of competence programme); Type 2 Access to research services</w:t>
      </w:r>
      <w:r>
        <w:rPr>
          <w:rStyle w:val="FootnoteTextChar"/>
        </w:rPr>
        <w:t xml:space="preserve"> tools</w:t>
      </w:r>
      <w:r w:rsidRPr="003A1D81">
        <w:rPr>
          <w:rStyle w:val="FootnoteTextChar"/>
        </w:rPr>
        <w:t>; Type 3 KET applications; Type 4 TRL improvement / certification; Type 5 Innovation management chain; Type 6 Constant renewal services; Type 7 Commercialisation of research, cross border; Type 8 Direct research to business cooperation.</w:t>
      </w:r>
      <w:r w:rsidRPr="00E14342">
        <w:rPr>
          <w:rFonts w:eastAsia="Times New Roman" w:cs="Tahoma"/>
          <w:color w:val="021B2B"/>
          <w:szCs w:val="18"/>
          <w:lang w:eastAsia="fi-FI"/>
        </w:rPr>
        <w:tab/>
        <w:t xml:space="preserve"> </w:t>
      </w:r>
    </w:p>
    <w:p w14:paraId="7DE35FB7" w14:textId="77777777" w:rsidR="00F53DA7" w:rsidRPr="003A1D81" w:rsidRDefault="00F53DA7" w:rsidP="003B0D04">
      <w:pPr>
        <w:pStyle w:val="FootnoteText"/>
        <w:rPr>
          <w:lang w:val="fi-FI"/>
        </w:rPr>
      </w:pPr>
    </w:p>
  </w:footnote>
  <w:footnote w:id="25">
    <w:p w14:paraId="2D299ED8" w14:textId="77777777" w:rsidR="00F53DA7" w:rsidRPr="008547BE" w:rsidRDefault="00F53DA7" w:rsidP="008547BE">
      <w:pPr>
        <w:rPr>
          <w:rFonts w:eastAsiaTheme="minorEastAsia"/>
          <w:color w:val="7F7F7F" w:themeColor="text1" w:themeTint="80"/>
          <w:sz w:val="16"/>
          <w:szCs w:val="24"/>
        </w:rPr>
      </w:pPr>
      <w:r>
        <w:rPr>
          <w:rStyle w:val="FootnoteReference"/>
        </w:rPr>
        <w:footnoteRef/>
      </w:r>
      <w:r>
        <w:t xml:space="preserve"> </w:t>
      </w:r>
      <w:r w:rsidRPr="008547BE">
        <w:rPr>
          <w:rFonts w:eastAsiaTheme="minorEastAsia"/>
          <w:color w:val="7F7F7F" w:themeColor="text1" w:themeTint="80"/>
          <w:sz w:val="16"/>
          <w:szCs w:val="24"/>
        </w:rPr>
        <w:t xml:space="preserve">The following criteria seem to be key for determining regions’ bio based potential and associated deployment:  </w:t>
      </w:r>
    </w:p>
    <w:p w14:paraId="30BF7F4A" w14:textId="77777777" w:rsidR="00F53DA7" w:rsidRPr="008547BE" w:rsidRDefault="00F53DA7" w:rsidP="008547BE">
      <w:pPr>
        <w:pStyle w:val="Listwithsmallreddot"/>
        <w:numPr>
          <w:ilvl w:val="0"/>
          <w:numId w:val="26"/>
        </w:numPr>
        <w:rPr>
          <w:rFonts w:eastAsiaTheme="minorEastAsia" w:cs="Times New Roman"/>
          <w:bCs w:val="0"/>
          <w:color w:val="7F7F7F" w:themeColor="text1" w:themeTint="80"/>
          <w:sz w:val="16"/>
          <w:szCs w:val="24"/>
          <w:lang w:eastAsia="en-US"/>
        </w:rPr>
      </w:pPr>
      <w:r w:rsidRPr="008547BE">
        <w:rPr>
          <w:rFonts w:eastAsiaTheme="minorEastAsia" w:cs="Times New Roman"/>
          <w:bCs w:val="0"/>
          <w:color w:val="7F7F7F" w:themeColor="text1" w:themeTint="80"/>
          <w:sz w:val="16"/>
          <w:szCs w:val="24"/>
          <w:lang w:eastAsia="en-US"/>
        </w:rPr>
        <w:t>Biomass resources – availability – what kind of biomass, volumes</w:t>
      </w:r>
    </w:p>
    <w:p w14:paraId="3D8303EA" w14:textId="77777777" w:rsidR="00F53DA7" w:rsidRPr="008547BE" w:rsidRDefault="00F53DA7" w:rsidP="008547BE">
      <w:pPr>
        <w:pStyle w:val="Listwithsmallreddot"/>
        <w:numPr>
          <w:ilvl w:val="0"/>
          <w:numId w:val="26"/>
        </w:numPr>
        <w:rPr>
          <w:rFonts w:eastAsiaTheme="minorEastAsia" w:cs="Times New Roman"/>
          <w:bCs w:val="0"/>
          <w:color w:val="7F7F7F" w:themeColor="text1" w:themeTint="80"/>
          <w:sz w:val="16"/>
          <w:szCs w:val="24"/>
          <w:lang w:eastAsia="en-US"/>
        </w:rPr>
      </w:pPr>
      <w:r w:rsidRPr="008547BE">
        <w:rPr>
          <w:rFonts w:eastAsiaTheme="minorEastAsia" w:cs="Times New Roman"/>
          <w:bCs w:val="0"/>
          <w:color w:val="7F7F7F" w:themeColor="text1" w:themeTint="80"/>
          <w:sz w:val="16"/>
          <w:szCs w:val="24"/>
          <w:lang w:eastAsia="en-US"/>
        </w:rPr>
        <w:t xml:space="preserve">Biomass processors – what are the existing sectors that may process biomass to bio based products: food, feed, energy, chemical (bio based products), pulp and paper </w:t>
      </w:r>
    </w:p>
    <w:p w14:paraId="6639ED2A" w14:textId="77777777" w:rsidR="00F53DA7" w:rsidRPr="008547BE" w:rsidRDefault="00F53DA7" w:rsidP="008547BE">
      <w:pPr>
        <w:pStyle w:val="Listwithsmallreddot"/>
        <w:numPr>
          <w:ilvl w:val="0"/>
          <w:numId w:val="26"/>
        </w:numPr>
        <w:rPr>
          <w:rFonts w:eastAsiaTheme="minorEastAsia" w:cs="Times New Roman"/>
          <w:bCs w:val="0"/>
          <w:color w:val="7F7F7F" w:themeColor="text1" w:themeTint="80"/>
          <w:sz w:val="16"/>
          <w:szCs w:val="24"/>
          <w:lang w:eastAsia="en-US"/>
        </w:rPr>
      </w:pPr>
      <w:r w:rsidRPr="008547BE">
        <w:rPr>
          <w:rFonts w:eastAsiaTheme="minorEastAsia" w:cs="Times New Roman"/>
          <w:bCs w:val="0"/>
          <w:color w:val="7F7F7F" w:themeColor="text1" w:themeTint="80"/>
          <w:sz w:val="16"/>
          <w:szCs w:val="24"/>
          <w:lang w:eastAsia="en-US"/>
        </w:rPr>
        <w:t>Infra: transportation possibilities, port, distances</w:t>
      </w:r>
    </w:p>
    <w:p w14:paraId="574C5732" w14:textId="77777777" w:rsidR="00F53DA7" w:rsidRPr="008547BE" w:rsidRDefault="00F53DA7" w:rsidP="008547BE">
      <w:pPr>
        <w:pStyle w:val="Listwithsmallreddot"/>
        <w:numPr>
          <w:ilvl w:val="0"/>
          <w:numId w:val="26"/>
        </w:numPr>
        <w:rPr>
          <w:rFonts w:eastAsiaTheme="minorEastAsia" w:cs="Times New Roman"/>
          <w:bCs w:val="0"/>
          <w:color w:val="7F7F7F" w:themeColor="text1" w:themeTint="80"/>
          <w:sz w:val="16"/>
          <w:szCs w:val="24"/>
          <w:lang w:eastAsia="en-US"/>
        </w:rPr>
      </w:pPr>
      <w:r w:rsidRPr="008547BE">
        <w:rPr>
          <w:rFonts w:eastAsiaTheme="minorEastAsia" w:cs="Times New Roman"/>
          <w:bCs w:val="0"/>
          <w:color w:val="7F7F7F" w:themeColor="text1" w:themeTint="80"/>
          <w:sz w:val="16"/>
          <w:szCs w:val="24"/>
          <w:lang w:eastAsia="en-US"/>
        </w:rPr>
        <w:t>Education and research: presence of Universities and HEI; R&amp;D activities, bio refinery facilities, campuses,</w:t>
      </w:r>
    </w:p>
    <w:p w14:paraId="26BA0B6E" w14:textId="77777777" w:rsidR="00F53DA7" w:rsidRPr="008547BE" w:rsidRDefault="00F53DA7" w:rsidP="008547BE">
      <w:pPr>
        <w:pStyle w:val="Listwithsmallreddot"/>
        <w:numPr>
          <w:ilvl w:val="0"/>
          <w:numId w:val="26"/>
        </w:numPr>
        <w:rPr>
          <w:rFonts w:eastAsiaTheme="minorEastAsia" w:cs="Times New Roman"/>
          <w:bCs w:val="0"/>
          <w:color w:val="7F7F7F" w:themeColor="text1" w:themeTint="80"/>
          <w:sz w:val="16"/>
          <w:szCs w:val="24"/>
          <w:lang w:eastAsia="en-US"/>
        </w:rPr>
      </w:pPr>
      <w:r w:rsidRPr="008547BE">
        <w:rPr>
          <w:rFonts w:eastAsiaTheme="minorEastAsia" w:cs="Times New Roman"/>
          <w:bCs w:val="0"/>
          <w:color w:val="7F7F7F" w:themeColor="text1" w:themeTint="80"/>
          <w:sz w:val="16"/>
          <w:szCs w:val="24"/>
          <w:lang w:eastAsia="en-US"/>
        </w:rPr>
        <w:t xml:space="preserve">Policies and strategies; bio economy strategy, instruments and measures  </w:t>
      </w:r>
    </w:p>
    <w:p w14:paraId="4A5554E0" w14:textId="37F8C4CD" w:rsidR="00F53DA7" w:rsidRDefault="00F53DA7" w:rsidP="003B0D04">
      <w:pPr>
        <w:pStyle w:val="FootnoteText"/>
      </w:pPr>
      <w:r w:rsidRPr="00E14342">
        <w:t>Regional profiling: internal and external. Regional profile internal: strategic decision making, focus and clear objectives, create communality, pride and connectedness, mobilize people along these lines, support infrastructure, new intermediates in triple helix, create dynamics and decide on direction. Regional profile external: underlines regional competitive advantages, has a marketing function, to attract attention of business, investments and funding.</w:t>
      </w:r>
    </w:p>
    <w:p w14:paraId="483181A6" w14:textId="77777777" w:rsidR="00F53DA7" w:rsidRPr="00E14342" w:rsidRDefault="00F53DA7" w:rsidP="003B0D04">
      <w:pPr>
        <w:pStyle w:val="FootnoteText"/>
      </w:pPr>
      <w:r w:rsidRPr="00E14342">
        <w:t xml:space="preserve">We also found three phases in lifecycle of the regional development of bio-based clusters </w:t>
      </w:r>
    </w:p>
    <w:p w14:paraId="2E4799D8" w14:textId="2CC5C04B" w:rsidR="00F53DA7" w:rsidRPr="008547BE" w:rsidRDefault="00F53DA7" w:rsidP="003B0D04">
      <w:pPr>
        <w:pStyle w:val="FootnoteText"/>
      </w:pPr>
      <w:r>
        <w:t>-</w:t>
      </w:r>
      <w:r w:rsidRPr="008547BE">
        <w:t>Initial stage and take off: bio economy is put on the regional agenda, R&amp;D activities take place, matchmaking between policymakers, entrepreneurs and scientists are enabled. The regional cluster-managing organisation is set-up. Activities are financed, mainly by public authorities.</w:t>
      </w:r>
    </w:p>
    <w:p w14:paraId="0BE5B376" w14:textId="396EB990" w:rsidR="00F53DA7" w:rsidRPr="008547BE" w:rsidRDefault="00F53DA7" w:rsidP="003B0D04">
      <w:pPr>
        <w:pStyle w:val="FootnoteText"/>
      </w:pPr>
      <w:r>
        <w:t>-</w:t>
      </w:r>
      <w:r w:rsidRPr="008547BE">
        <w:t>Drive to maturity: in this stage, the first competitive bio economy products are sold at the market. The bio-based ecosystem grows with the setup of new companies and the enlargement of the cluster infrastructure (with incubator, training centre etc.), and the bio-based ecosystem is able to attract both private and public funding.</w:t>
      </w:r>
    </w:p>
    <w:p w14:paraId="06226DFE" w14:textId="67D1AB9E" w:rsidR="00F53DA7" w:rsidRPr="008547BE" w:rsidRDefault="00F53DA7" w:rsidP="003B0D04">
      <w:pPr>
        <w:pStyle w:val="FootnoteText"/>
      </w:pPr>
      <w:r>
        <w:t>-</w:t>
      </w:r>
      <w:r w:rsidRPr="008547BE">
        <w:t>Stage of mature production: in this stage, the bio-based ecosystem is able to produce sustainable, competitive bio economy products on an extensive scale.</w:t>
      </w:r>
    </w:p>
    <w:p w14:paraId="5DA2C377" w14:textId="71E25E9F" w:rsidR="00F53DA7" w:rsidRPr="00E14342" w:rsidRDefault="00F53DA7" w:rsidP="003B0D04">
      <w:pPr>
        <w:pStyle w:val="FootnoteText"/>
      </w:pPr>
      <w:r w:rsidRPr="00E14342">
        <w:t>No EU regions have reached a mature phase yet in bio based industries.</w:t>
      </w:r>
    </w:p>
    <w:p w14:paraId="6C4806E9" w14:textId="3F835A3D" w:rsidR="00F53DA7" w:rsidRPr="008547BE" w:rsidRDefault="00F53DA7" w:rsidP="003B0D04">
      <w:pPr>
        <w:pStyle w:val="FootnoteText"/>
        <w:rPr>
          <w:lang w:val="fi-FI"/>
        </w:rPr>
      </w:pPr>
    </w:p>
  </w:footnote>
  <w:footnote w:id="26">
    <w:p w14:paraId="5AD8B261" w14:textId="77777777" w:rsidR="00F53DA7" w:rsidRPr="00EC5D22" w:rsidRDefault="00F53DA7" w:rsidP="003B0D04">
      <w:pPr>
        <w:pStyle w:val="FootnoteText"/>
        <w:rPr>
          <w:lang w:val="fi-FI"/>
        </w:rPr>
      </w:pPr>
      <w:r>
        <w:rPr>
          <w:rStyle w:val="FootnoteReference"/>
        </w:rPr>
        <w:footnoteRef/>
      </w:r>
      <w:r w:rsidRPr="00286763">
        <w:rPr>
          <w:rStyle w:val="FootnoteTextChar"/>
          <w:rFonts w:eastAsia="Tamil MN"/>
        </w:rPr>
        <w:t>Jerome Vicente Joan Crespo, Raphael Suire (2012) Regional Studies Association, Sustaining Regional Futures, Global Conference</w:t>
      </w:r>
      <w:r w:rsidRPr="00286763">
        <w:rPr>
          <w:rStyle w:val="FootnoteTextChar"/>
          <w:rFonts w:eastAsia="MS Mincho"/>
        </w:rPr>
        <w:t> </w:t>
      </w:r>
      <w:r w:rsidRPr="00286763">
        <w:rPr>
          <w:rStyle w:val="FootnoteTextChar"/>
          <w:rFonts w:eastAsia="Tamil MN"/>
        </w:rPr>
        <w:t>Sunday 24th June -Wednesday 27th June 2012, China National Convention Centre Beijing, China; pp105-106.</w:t>
      </w:r>
    </w:p>
  </w:footnote>
  <w:footnote w:id="27">
    <w:p w14:paraId="464018FE" w14:textId="77777777" w:rsidR="00F53DA7" w:rsidRPr="00033D98" w:rsidRDefault="00F53DA7" w:rsidP="003B0D04">
      <w:pPr>
        <w:pStyle w:val="FootnoteText"/>
        <w:rPr>
          <w:lang w:val="fi-FI"/>
        </w:rPr>
      </w:pPr>
      <w:r>
        <w:rPr>
          <w:rStyle w:val="FootnoteReference"/>
        </w:rPr>
        <w:footnoteRef/>
      </w:r>
      <w:r w:rsidRPr="00286763">
        <w:rPr>
          <w:rStyle w:val="FootnoteTextChar"/>
          <w:rFonts w:eastAsia="Tamil MN"/>
        </w:rPr>
        <w:t xml:space="preserve">Moulaert &amp; Sekia (2003) Territorial Innovation Models: A Critical Survey, Regional Studies, </w:t>
      </w:r>
      <w:hyperlink r:id="rId6" w:anchor="vol_37" w:history="1">
        <w:r w:rsidRPr="00286763">
          <w:rPr>
            <w:rStyle w:val="FootnoteTextChar"/>
            <w:rFonts w:eastAsia="Tamil MN"/>
          </w:rPr>
          <w:t>Volume 37</w:t>
        </w:r>
      </w:hyperlink>
      <w:r w:rsidRPr="00286763">
        <w:rPr>
          <w:rStyle w:val="FootnoteTextChar"/>
          <w:rFonts w:eastAsia="Tamil MN"/>
        </w:rPr>
        <w:t xml:space="preserve">, </w:t>
      </w:r>
      <w:hyperlink r:id="rId7" w:history="1">
        <w:r w:rsidRPr="00286763">
          <w:rPr>
            <w:rStyle w:val="FootnoteTextChar"/>
            <w:rFonts w:eastAsia="Tamil MN"/>
          </w:rPr>
          <w:t>Issue 3</w:t>
        </w:r>
      </w:hyperlink>
      <w:r w:rsidRPr="00286763">
        <w:rPr>
          <w:rStyle w:val="FootnoteTextChar"/>
          <w:rFonts w:eastAsia="Tamil MN"/>
        </w:rPr>
        <w:t>, 2003, pages 289-302.</w:t>
      </w:r>
    </w:p>
  </w:footnote>
  <w:footnote w:id="28">
    <w:p w14:paraId="240B9560" w14:textId="77777777" w:rsidR="00F53DA7" w:rsidRPr="00CF305D" w:rsidRDefault="00F53DA7" w:rsidP="003B0D04">
      <w:pPr>
        <w:pStyle w:val="FootnoteText"/>
      </w:pPr>
      <w:r>
        <w:rPr>
          <w:rStyle w:val="FootnoteReference"/>
        </w:rPr>
        <w:footnoteRef/>
      </w:r>
      <w:r w:rsidRPr="00286763">
        <w:rPr>
          <w:rStyle w:val="FootnoteTextChar"/>
          <w:rFonts w:eastAsia="Tamil MN"/>
        </w:rPr>
        <w:t>Owen-Smith &amp; Powell (2004) Knowledge Networks as Channels and Conduits: The Effects of Spillovers in the Boston Biotechnology Community, Vol. 15, No. 1, January–February 2004, pp5–21, doi 10.1287/orsc.1030.0054; Holger Graf &amp; Jens J. Krüger (2009) "</w:t>
      </w:r>
      <w:hyperlink r:id="rId8" w:history="1">
        <w:r w:rsidRPr="00286763">
          <w:rPr>
            <w:rStyle w:val="FootnoteTextChar"/>
            <w:rFonts w:eastAsia="Tamil MN"/>
          </w:rPr>
          <w:t>The Performance of Gatekeepers in Innovator Networks</w:t>
        </w:r>
      </w:hyperlink>
      <w:r w:rsidRPr="00286763">
        <w:rPr>
          <w:rStyle w:val="FootnoteTextChar"/>
          <w:rFonts w:eastAsia="Tamil MN"/>
        </w:rPr>
        <w:t xml:space="preserve">," </w:t>
      </w:r>
      <w:hyperlink r:id="rId9" w:history="1">
        <w:r w:rsidRPr="00286763">
          <w:rPr>
            <w:rStyle w:val="FootnoteTextChar"/>
            <w:rFonts w:eastAsia="Tamil MN"/>
          </w:rPr>
          <w:t>Jena Economic Research Papers</w:t>
        </w:r>
      </w:hyperlink>
      <w:r w:rsidRPr="00286763">
        <w:rPr>
          <w:rStyle w:val="FootnoteTextChar"/>
          <w:rFonts w:eastAsia="Tamil MN"/>
        </w:rPr>
        <w:t xml:space="preserve"> 2009-058, Friedrich-Schiller-University Jena; Holger Graf &amp; Jens Kruger (2011) "</w:t>
      </w:r>
      <w:hyperlink r:id="rId10" w:history="1">
        <w:r w:rsidRPr="00286763">
          <w:rPr>
            <w:rStyle w:val="FootnoteTextChar"/>
            <w:rFonts w:eastAsia="Tamil MN"/>
          </w:rPr>
          <w:t>The Performance of Gatekeepers in Innovator Networks</w:t>
        </w:r>
      </w:hyperlink>
      <w:r w:rsidRPr="00286763">
        <w:rPr>
          <w:rStyle w:val="FootnoteTextChar"/>
          <w:rFonts w:eastAsia="Tamil MN"/>
        </w:rPr>
        <w:t xml:space="preserve">," </w:t>
      </w:r>
      <w:hyperlink r:id="rId11" w:history="1">
        <w:r w:rsidRPr="00286763">
          <w:rPr>
            <w:rStyle w:val="FootnoteTextChar"/>
            <w:rFonts w:eastAsia="Tamil MN"/>
          </w:rPr>
          <w:t>Industry and Innovation</w:t>
        </w:r>
      </w:hyperlink>
      <w:r w:rsidRPr="00286763">
        <w:rPr>
          <w:rStyle w:val="FootnoteTextChar"/>
          <w:rFonts w:eastAsia="Tamil MN"/>
        </w:rPr>
        <w:t>, Taylor &amp; Francis Journals, vol. 18(1), pages 69-88; Jeffrey S. Boggs and Norma M. Rantisi (2003) The ‘relational turn’ in economic geography, J Econ Geogr (2003) 3 (2): 109-116 doi:10.1093/jeg/3.2.109;</w:t>
      </w:r>
    </w:p>
  </w:footnote>
  <w:footnote w:id="29">
    <w:p w14:paraId="6B6E5A31" w14:textId="77777777" w:rsidR="00F53DA7" w:rsidRPr="00033D98" w:rsidRDefault="00F53DA7" w:rsidP="003B0D04">
      <w:pPr>
        <w:pStyle w:val="FootnoteText"/>
        <w:rPr>
          <w:lang w:val="fi-FI"/>
        </w:rPr>
      </w:pPr>
      <w:r>
        <w:rPr>
          <w:rStyle w:val="FootnoteReference"/>
        </w:rPr>
        <w:footnoteRef/>
      </w:r>
      <w:r>
        <w:t xml:space="preserve"> ibid. above.</w:t>
      </w:r>
    </w:p>
  </w:footnote>
  <w:footnote w:id="30">
    <w:p w14:paraId="0386ED3C" w14:textId="77777777" w:rsidR="00F53DA7" w:rsidRPr="00CF305D" w:rsidRDefault="00F53DA7" w:rsidP="003B0D04">
      <w:pPr>
        <w:pStyle w:val="FootnoteText"/>
        <w:rPr>
          <w:lang w:val="fi-FI"/>
        </w:rPr>
      </w:pPr>
      <w:r>
        <w:rPr>
          <w:rStyle w:val="FootnoteReference"/>
        </w:rPr>
        <w:footnoteRef/>
      </w:r>
      <w:hyperlink r:id="rId12" w:history="1">
        <w:r w:rsidRPr="00CF305D">
          <w:t>Roel Rutten</w:t>
        </w:r>
      </w:hyperlink>
      <w:r w:rsidRPr="00CF305D">
        <w:t xml:space="preserve"> (2016) Beyond proximities: The socio-spatial dynamics of knowledge creation.</w:t>
      </w:r>
    </w:p>
  </w:footnote>
  <w:footnote w:id="31">
    <w:p w14:paraId="6A47CBC5" w14:textId="72E2E356" w:rsidR="00F53DA7" w:rsidRPr="0015511D" w:rsidRDefault="00F53DA7" w:rsidP="003B0D04">
      <w:pPr>
        <w:pStyle w:val="FootnoteText"/>
        <w:rPr>
          <w:lang w:val="fi-FI"/>
        </w:rPr>
      </w:pPr>
      <w:r>
        <w:rPr>
          <w:rStyle w:val="FootnoteReference"/>
        </w:rPr>
        <w:footnoteRef/>
      </w:r>
      <w:r w:rsidRPr="00177346">
        <w:t>RESILIENCE: </w:t>
      </w:r>
      <w:r>
        <w:t>Ron Martin and Peter Sunley, 2013.</w:t>
      </w:r>
      <w:r w:rsidRPr="00177346">
        <w:t xml:space="preserve"> On the Notion of Regional Economic Resilience: Conceptualisation and Explanation</w:t>
      </w:r>
      <w:r>
        <w:t>, page 2“…how regions react and recover from shocks”.</w:t>
      </w:r>
    </w:p>
  </w:footnote>
  <w:footnote w:id="32">
    <w:p w14:paraId="5F612E83" w14:textId="77777777" w:rsidR="00F53DA7" w:rsidRPr="0015511D" w:rsidRDefault="00F53DA7" w:rsidP="003B0D04">
      <w:pPr>
        <w:pStyle w:val="FootnoteText"/>
        <w:rPr>
          <w:lang w:val="fi-FI"/>
        </w:rPr>
      </w:pPr>
      <w:r>
        <w:rPr>
          <w:rStyle w:val="FootnoteReference"/>
        </w:rPr>
        <w:footnoteRef/>
      </w:r>
      <w:r>
        <w:t xml:space="preserve">NEOCLASSICAL ECONOMICS: Neoclassical theory operates on a few basic assumptions–mainly that economic decisions are always made rationally based on fully informed evaluations of utility. </w:t>
      </w:r>
      <w:r w:rsidRPr="00177346">
        <w:t>In other words, consumers compare goods and purchase the ones having the greatest utility, or highest personal value. The consumer’s main goal, the theory states, is to maximize personal satisfaction. Likewise, the goal of companies is to maximise profits. When consumers and companies both achieve their goals, markets experience economic equilibrium.</w:t>
      </w:r>
    </w:p>
  </w:footnote>
  <w:footnote w:id="33">
    <w:p w14:paraId="2E4251A6" w14:textId="140E6170" w:rsidR="00F53DA7" w:rsidRPr="00DF23F9" w:rsidRDefault="00F53DA7" w:rsidP="003B0D04">
      <w:pPr>
        <w:pStyle w:val="FootnoteText"/>
        <w:rPr>
          <w:lang w:val="fi-FI"/>
        </w:rPr>
      </w:pPr>
      <w:r>
        <w:rPr>
          <w:rStyle w:val="FootnoteReference"/>
        </w:rPr>
        <w:footnoteRef/>
      </w:r>
      <w:r>
        <w:rPr>
          <w:lang w:eastAsia="ja-JP"/>
        </w:rPr>
        <w:t xml:space="preserve">Jerome Vicente Joan Crespo, Raphael Suire, 2012. </w:t>
      </w:r>
      <w:r w:rsidRPr="00EC5D22">
        <w:t>Regional Studies</w:t>
      </w:r>
      <w:r>
        <w:t xml:space="preserve"> </w:t>
      </w:r>
      <w:r w:rsidRPr="00EC5D22">
        <w:t>Association</w:t>
      </w:r>
      <w:r>
        <w:t xml:space="preserve">, </w:t>
      </w:r>
      <w:r w:rsidRPr="00EC5D22">
        <w:t>Sustaining Regional Futures</w:t>
      </w:r>
      <w:r>
        <w:t xml:space="preserve">, </w:t>
      </w:r>
      <w:r w:rsidRPr="00EC5D22">
        <w:t>Global Conference</w:t>
      </w:r>
      <w:r w:rsidRPr="00EC5D22">
        <w:rPr>
          <w:rFonts w:ascii="MS Mincho" w:eastAsia="MS Mincho" w:hAnsi="MS Mincho" w:cs="MS Mincho"/>
        </w:rPr>
        <w:t> </w:t>
      </w:r>
      <w:r w:rsidRPr="00EC5D22">
        <w:t>Sunday 24th June -Wednesday 27th June 2012</w:t>
      </w:r>
      <w:r>
        <w:t xml:space="preserve">, </w:t>
      </w:r>
      <w:r w:rsidRPr="00EC5D22">
        <w:t>China National C</w:t>
      </w:r>
      <w:r>
        <w:t xml:space="preserve">onvention Centre Beijing, China; pp105-106.  </w:t>
      </w:r>
    </w:p>
  </w:footnote>
  <w:footnote w:id="34">
    <w:p w14:paraId="41432306" w14:textId="6C282A99" w:rsidR="00F53DA7" w:rsidRPr="0015511D" w:rsidRDefault="00F53DA7" w:rsidP="003B0D04">
      <w:pPr>
        <w:pStyle w:val="FootnoteText"/>
        <w:rPr>
          <w:lang w:val="fi-FI"/>
        </w:rPr>
      </w:pPr>
      <w:r>
        <w:rPr>
          <w:rStyle w:val="FootnoteReference"/>
        </w:rPr>
        <w:footnoteRef/>
      </w:r>
      <w:r w:rsidRPr="003646F8">
        <w:t>Paul Krugman</w:t>
      </w:r>
      <w:r>
        <w:t>, 1991.</w:t>
      </w:r>
      <w:r w:rsidRPr="003646F8">
        <w:t xml:space="preserve"> Increasing returns and economic geography, Massachusetts</w:t>
      </w:r>
      <w:r>
        <w:t xml:space="preserve"> </w:t>
      </w:r>
      <w:r w:rsidRPr="003646F8">
        <w:t>Institute</w:t>
      </w:r>
      <w:r>
        <w:t xml:space="preserve"> </w:t>
      </w:r>
      <w:r w:rsidRPr="003646F8">
        <w:t>of Technology</w:t>
      </w:r>
      <w:r>
        <w:t>.</w:t>
      </w:r>
    </w:p>
  </w:footnote>
  <w:footnote w:id="35">
    <w:p w14:paraId="47A36F3A" w14:textId="77777777" w:rsidR="00F53DA7" w:rsidRPr="00A9691C" w:rsidRDefault="00F53DA7" w:rsidP="003B0D04">
      <w:pPr>
        <w:pStyle w:val="FootnoteText"/>
      </w:pPr>
      <w:r>
        <w:rPr>
          <w:rStyle w:val="FootnoteReference"/>
        </w:rPr>
        <w:footnoteRef/>
      </w:r>
      <w:r>
        <w:rPr>
          <w:lang w:val="fi-FI"/>
        </w:rPr>
        <w:t xml:space="preserve"> </w:t>
      </w:r>
      <w:r w:rsidRPr="00A9691C">
        <w:t>Using regional systems of innovation as normative concepts, ”...  both overstates and at the same time underemphasises the roles regions play as policy-making and implementation spaces”. Elvira Uyarra, Kieron Flanagan (2010) From Regional Systems of Innovation to Regions as Innovation Policy Spaces, Environ Plann C Gov Policy August 2010 vol. 28 no. 4 681-695, doi: 10.1068/c0961.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23CC5" w14:textId="74848A4A" w:rsidR="00F53DA7" w:rsidRDefault="00F53DA7" w:rsidP="00817E9E">
    <w:pPr>
      <w:pStyle w:val="Header"/>
      <w:tabs>
        <w:tab w:val="left" w:pos="5216"/>
        <w:tab w:val="left" w:pos="9214"/>
      </w:tabs>
      <w:spacing w:line="360" w:lineRule="auto"/>
      <w:rPr>
        <w:rFonts w:cs="Tahoma"/>
      </w:rPr>
    </w:pPr>
    <w:r w:rsidRPr="009456E1">
      <w:rPr>
        <w:spacing w:val="20"/>
      </w:rPr>
      <w:t>Interreg Europe</w:t>
    </w:r>
    <w:r>
      <w:rPr>
        <w:spacing w:val="20"/>
      </w:rPr>
      <w:t xml:space="preserve"> </w:t>
    </w:r>
    <w:r w:rsidRPr="00A9691C">
      <w:rPr>
        <w:color w:val="FFCC66"/>
      </w:rPr>
      <w:t xml:space="preserve">PGI 00040 BRIDGES </w:t>
    </w:r>
    <w:r w:rsidRPr="00A9691C">
      <w:rPr>
        <w:color w:val="FFCC66"/>
      </w:rPr>
      <w:tab/>
    </w:r>
    <w:r>
      <w:tab/>
    </w:r>
    <w:r w:rsidRPr="00741151">
      <w:rPr>
        <w:rFonts w:cs="Tahoma"/>
      </w:rPr>
      <w:fldChar w:fldCharType="begin"/>
    </w:r>
    <w:r w:rsidRPr="00741151">
      <w:rPr>
        <w:rFonts w:cs="Tahoma"/>
      </w:rPr>
      <w:instrText xml:space="preserve"> PAGE   \* MERGEFORMAT </w:instrText>
    </w:r>
    <w:r w:rsidRPr="00741151">
      <w:rPr>
        <w:rFonts w:cs="Tahoma"/>
      </w:rPr>
      <w:fldChar w:fldCharType="separate"/>
    </w:r>
    <w:r>
      <w:rPr>
        <w:rFonts w:cs="Tahoma"/>
        <w:noProof/>
      </w:rPr>
      <w:t>33</w:t>
    </w:r>
    <w:r w:rsidRPr="00741151">
      <w:rPr>
        <w:rFonts w:cs="Tahoma"/>
      </w:rPr>
      <w:fldChar w:fldCharType="end"/>
    </w:r>
    <w:r w:rsidRPr="00741151">
      <w:rPr>
        <w:rFonts w:cs="Tahoma"/>
      </w:rPr>
      <w:t xml:space="preserve"> (</w:t>
    </w:r>
    <w:r>
      <w:rPr>
        <w:rFonts w:cs="Tahoma"/>
        <w:noProof/>
      </w:rPr>
      <w:fldChar w:fldCharType="begin"/>
    </w:r>
    <w:r>
      <w:rPr>
        <w:rFonts w:cs="Tahoma"/>
        <w:noProof/>
      </w:rPr>
      <w:instrText xml:space="preserve"> NUMPAGES   \* MERGEFORMAT </w:instrText>
    </w:r>
    <w:r>
      <w:rPr>
        <w:rFonts w:cs="Tahoma"/>
        <w:noProof/>
      </w:rPr>
      <w:fldChar w:fldCharType="separate"/>
    </w:r>
    <w:r w:rsidRPr="008608E9">
      <w:rPr>
        <w:rFonts w:cs="Tahoma"/>
        <w:noProof/>
      </w:rPr>
      <w:t>50</w:t>
    </w:r>
    <w:r>
      <w:rPr>
        <w:rFonts w:cs="Tahoma"/>
        <w:noProof/>
      </w:rPr>
      <w:fldChar w:fldCharType="end"/>
    </w:r>
    <w:r w:rsidRPr="00741151">
      <w:rPr>
        <w:rFonts w:cs="Tahoma"/>
      </w:rPr>
      <w:t>)</w:t>
    </w:r>
    <w:r>
      <w:rPr>
        <w:rFonts w:cs="Tahoma"/>
      </w:rPr>
      <w:tab/>
    </w:r>
  </w:p>
  <w:p w14:paraId="02223BBE" w14:textId="77777777" w:rsidR="00F53DA7" w:rsidRDefault="00F53DA7" w:rsidP="00A9691C">
    <w:pPr>
      <w:pStyle w:val="Header"/>
      <w:pBdr>
        <w:top w:val="single" w:sz="2" w:space="0" w:color="D9D9D9" w:themeColor="background1" w:themeShade="D9"/>
      </w:pBdr>
      <w:tabs>
        <w:tab w:val="left" w:pos="5216"/>
        <w:tab w:val="left" w:pos="9639"/>
      </w:tabs>
      <w:spacing w:before="0" w:line="276" w:lineRule="auto"/>
      <w:rPr>
        <w:rStyle w:val="Hyperlink"/>
        <w:color w:val="FFCC66"/>
      </w:rPr>
    </w:pPr>
    <w:hyperlink r:id="rId1" w:history="1">
      <w:r w:rsidRPr="00A9691C">
        <w:rPr>
          <w:rStyle w:val="Hyperlink"/>
          <w:color w:val="FFCC66"/>
        </w:rPr>
        <w:t>http://www.interregeurope.eu/bridges/</w:t>
      </w:r>
    </w:hyperlink>
  </w:p>
  <w:p w14:paraId="22AD9E7A" w14:textId="77777777" w:rsidR="00F53DA7" w:rsidRPr="00A9691C" w:rsidRDefault="00F53DA7" w:rsidP="00A9691C">
    <w:pPr>
      <w:pStyle w:val="Header"/>
      <w:pBdr>
        <w:top w:val="single" w:sz="2" w:space="0" w:color="D9D9D9" w:themeColor="background1" w:themeShade="D9"/>
      </w:pBdr>
      <w:tabs>
        <w:tab w:val="left" w:pos="5216"/>
        <w:tab w:val="left" w:pos="9639"/>
      </w:tabs>
      <w:spacing w:before="0" w:line="276" w:lineRule="auto"/>
      <w:rPr>
        <w:rStyle w:val="Hyperlink"/>
        <w:color w:val="FFCC6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DB3E9466"/>
    <w:lvl w:ilvl="0">
      <w:start w:val="1"/>
      <w:numFmt w:val="bullet"/>
      <w:pStyle w:val="ListBullet4"/>
      <w:lvlText w:val=""/>
      <w:lvlJc w:val="left"/>
      <w:pPr>
        <w:ind w:left="1416" w:hanging="567"/>
      </w:pPr>
      <w:rPr>
        <w:rFonts w:ascii="Symbol" w:hAnsi="Symbol" w:hint="default"/>
        <w:color w:val="FFD579"/>
      </w:rPr>
    </w:lvl>
  </w:abstractNum>
  <w:abstractNum w:abstractNumId="1" w15:restartNumberingAfterBreak="0">
    <w:nsid w:val="FFFFFF82"/>
    <w:multiLevelType w:val="singleLevel"/>
    <w:tmpl w:val="6B2AA756"/>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05B067C3"/>
    <w:multiLevelType w:val="hybridMultilevel"/>
    <w:tmpl w:val="FF82C6D8"/>
    <w:lvl w:ilvl="0" w:tplc="D5B65A5C">
      <w:start w:val="1"/>
      <w:numFmt w:val="bullet"/>
      <w:pStyle w:val="List"/>
      <w:lvlText w:val=""/>
      <w:lvlJc w:val="left"/>
      <w:pPr>
        <w:ind w:left="624" w:hanging="264"/>
      </w:pPr>
      <w:rPr>
        <w:rFonts w:ascii="Symbol" w:hAnsi="Symbol" w:hint="default"/>
        <w:color w:val="FFD57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10C99"/>
    <w:multiLevelType w:val="hybridMultilevel"/>
    <w:tmpl w:val="0952EA42"/>
    <w:lvl w:ilvl="0" w:tplc="E33AC1E8">
      <w:start w:val="1"/>
      <w:numFmt w:val="bullet"/>
      <w:lvlText w:val=""/>
      <w:lvlJc w:val="left"/>
      <w:pPr>
        <w:ind w:left="1004" w:hanging="360"/>
      </w:pPr>
      <w:rPr>
        <w:rFonts w:ascii="Symbol" w:hAnsi="Symbol" w:hint="default"/>
        <w:color w:val="FFD579"/>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E5B6BEA"/>
    <w:multiLevelType w:val="hybridMultilevel"/>
    <w:tmpl w:val="5C1C302A"/>
    <w:lvl w:ilvl="0" w:tplc="AF525C68">
      <w:start w:val="1"/>
      <w:numFmt w:val="bullet"/>
      <w:lvlText w:val=""/>
      <w:lvlJc w:val="left"/>
      <w:pPr>
        <w:ind w:left="720" w:hanging="360"/>
      </w:pPr>
      <w:rPr>
        <w:rFonts w:ascii="Symbol" w:hAnsi="Symbol" w:hint="default"/>
        <w:b/>
        <w:bCs/>
        <w:i w:val="0"/>
        <w:iCs w:val="0"/>
        <w:color w:val="FFC000"/>
        <w:sz w:val="22"/>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D668B1"/>
    <w:multiLevelType w:val="hybridMultilevel"/>
    <w:tmpl w:val="14E039F4"/>
    <w:lvl w:ilvl="0" w:tplc="C262BBD4">
      <w:start w:val="1"/>
      <w:numFmt w:val="decimal"/>
      <w:pStyle w:val="List5"/>
      <w:lvlText w:val="Table %1."/>
      <w:lvlJc w:val="left"/>
      <w:pPr>
        <w:ind w:left="397" w:hanging="37"/>
      </w:pPr>
      <w:rPr>
        <w:rFonts w:ascii="Tahoma" w:hAnsi="Tahoma" w:hint="default"/>
        <w:b/>
        <w:bCs/>
        <w:i w:val="0"/>
        <w:iCs w:val="0"/>
        <w:color w:val="171717" w:themeColor="background2" w:themeShade="1A"/>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15A09"/>
    <w:multiLevelType w:val="hybridMultilevel"/>
    <w:tmpl w:val="494C3D5A"/>
    <w:lvl w:ilvl="0" w:tplc="0FEA03E4">
      <w:start w:val="1"/>
      <w:numFmt w:val="decimal"/>
      <w:pStyle w:val="Style2"/>
      <w:lvlText w:val="Figure %1"/>
      <w:lvlJc w:val="left"/>
      <w:pPr>
        <w:ind w:left="1616" w:hanging="547"/>
      </w:pPr>
      <w:rPr>
        <w:rFonts w:hint="default"/>
        <w:b/>
        <w:bCs/>
        <w:i w:val="0"/>
        <w:iCs w:val="0"/>
        <w:color w:val="3B3838" w:themeColor="background2" w:themeShade="40"/>
        <w:sz w:val="18"/>
        <w:szCs w:val="18"/>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27A1141A"/>
    <w:multiLevelType w:val="hybridMultilevel"/>
    <w:tmpl w:val="6F6025B0"/>
    <w:lvl w:ilvl="0" w:tplc="BEE60830">
      <w:start w:val="1"/>
      <w:numFmt w:val="decimal"/>
      <w:pStyle w:val="List2"/>
      <w:lvlText w:val="%1."/>
      <w:lvlJc w:val="left"/>
      <w:pPr>
        <w:ind w:left="473" w:hanging="360"/>
      </w:pPr>
      <w:rPr>
        <w:rFonts w:hint="default"/>
        <w:b/>
        <w:bCs/>
        <w:i w:val="0"/>
        <w:iCs w:val="0"/>
        <w:color w:val="05436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AC4CA4"/>
    <w:multiLevelType w:val="hybridMultilevel"/>
    <w:tmpl w:val="9F980914"/>
    <w:lvl w:ilvl="0" w:tplc="88D6FA18">
      <w:start w:val="1"/>
      <w:numFmt w:val="bullet"/>
      <w:pStyle w:val="NoteLevel2"/>
      <w:lvlText w:val=""/>
      <w:lvlJc w:val="left"/>
      <w:pPr>
        <w:ind w:left="757" w:hanging="360"/>
      </w:pPr>
      <w:rPr>
        <w:rFonts w:ascii="Symbol" w:hAnsi="Symbol" w:hint="default"/>
        <w:color w:val="FF0000"/>
        <w:sz w:val="18"/>
        <w:szCs w:val="18"/>
      </w:rPr>
    </w:lvl>
    <w:lvl w:ilvl="1" w:tplc="04090003" w:tentative="1">
      <w:start w:val="1"/>
      <w:numFmt w:val="bullet"/>
      <w:lvlText w:val="o"/>
      <w:lvlJc w:val="left"/>
      <w:pPr>
        <w:ind w:left="1477" w:hanging="360"/>
      </w:pPr>
      <w:rPr>
        <w:rFonts w:ascii="Courier New" w:hAnsi="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9" w15:restartNumberingAfterBreak="0">
    <w:nsid w:val="31FB1540"/>
    <w:multiLevelType w:val="hybridMultilevel"/>
    <w:tmpl w:val="18CCB9A2"/>
    <w:lvl w:ilvl="0" w:tplc="ABD6C4DE">
      <w:start w:val="1"/>
      <w:numFmt w:val="decimal"/>
      <w:pStyle w:val="Otsikko12"/>
      <w:lvlText w:val="Table %1"/>
      <w:lvlJc w:val="left"/>
      <w:pPr>
        <w:tabs>
          <w:tab w:val="num" w:pos="964"/>
        </w:tabs>
        <w:ind w:left="907" w:hanging="623"/>
      </w:pPr>
      <w:rPr>
        <w:rFonts w:ascii="Tahoma" w:hAnsi="Tahoma" w:hint="default"/>
        <w:b/>
        <w:bCs/>
        <w:i w:val="0"/>
        <w:iCs w:val="0"/>
        <w:color w:val="3B3838" w:themeColor="background2" w:themeShade="40"/>
        <w:sz w:val="18"/>
        <w:szCs w:val="18"/>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0" w15:restartNumberingAfterBreak="0">
    <w:nsid w:val="373E058D"/>
    <w:multiLevelType w:val="hybridMultilevel"/>
    <w:tmpl w:val="6682F96C"/>
    <w:lvl w:ilvl="0" w:tplc="2E526BF6">
      <w:start w:val="1"/>
      <w:numFmt w:val="decimal"/>
      <w:lvlText w:val="%1."/>
      <w:lvlJc w:val="left"/>
      <w:pPr>
        <w:ind w:left="644" w:hanging="360"/>
      </w:pPr>
      <w:rPr>
        <w:rFonts w:ascii="Tahoma" w:hAnsi="Tahoma" w:hint="default"/>
        <w:b/>
        <w:i w:val="0"/>
        <w:caps w:val="0"/>
        <w:strike w:val="0"/>
        <w:dstrike w:val="0"/>
        <w:vanish w:val="0"/>
        <w:color w:val="FFD579"/>
        <w:sz w:val="20"/>
        <w:u w:val="none"/>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133E83"/>
    <w:multiLevelType w:val="hybridMultilevel"/>
    <w:tmpl w:val="F1BA164E"/>
    <w:lvl w:ilvl="0" w:tplc="7A940CEE">
      <w:start w:val="1"/>
      <w:numFmt w:val="decimal"/>
      <w:pStyle w:val="ListNumber3"/>
      <w:lvlText w:val="%1."/>
      <w:lvlJc w:val="left"/>
      <w:pPr>
        <w:ind w:left="567" w:hanging="454"/>
      </w:pPr>
      <w:rPr>
        <w:rFonts w:ascii="Tahoma" w:hAnsi="Tahoma" w:cs="Times New Roman" w:hint="default"/>
        <w:b/>
        <w:bCs/>
        <w:i w:val="0"/>
        <w:iCs w:val="0"/>
        <w:color w:val="3B3838" w:themeColor="background2" w:themeShade="4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472D3A"/>
    <w:multiLevelType w:val="hybridMultilevel"/>
    <w:tmpl w:val="55540B2E"/>
    <w:lvl w:ilvl="0" w:tplc="533A4BA6">
      <w:start w:val="2"/>
      <w:numFmt w:val="bullet"/>
      <w:pStyle w:val="ListBullet5"/>
      <w:lvlText w:val="-"/>
      <w:lvlJc w:val="left"/>
      <w:pPr>
        <w:ind w:left="720" w:hanging="360"/>
      </w:pPr>
      <w:rPr>
        <w:rFonts w:ascii="Tahoma" w:eastAsia="HGPMinchoE"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E131B3"/>
    <w:multiLevelType w:val="hybridMultilevel"/>
    <w:tmpl w:val="BA12E900"/>
    <w:lvl w:ilvl="0" w:tplc="7F0EAF54">
      <w:start w:val="1"/>
      <w:numFmt w:val="decimal"/>
      <w:pStyle w:val="BodyText2"/>
      <w:lvlText w:val="(%1)"/>
      <w:lvlJc w:val="right"/>
      <w:pPr>
        <w:ind w:left="738" w:hanging="171"/>
      </w:pPr>
      <w:rPr>
        <w:rFonts w:ascii="Tahoma" w:hAnsi="Tahoma" w:hint="default"/>
        <w:b w:val="0"/>
        <w:bCs w:val="0"/>
        <w:i w:val="0"/>
        <w:iCs w:val="0"/>
        <w:color w:val="3B3838" w:themeColor="background2" w:themeShade="4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4E68DB"/>
    <w:multiLevelType w:val="hybridMultilevel"/>
    <w:tmpl w:val="BA141368"/>
    <w:lvl w:ilvl="0" w:tplc="790EAD52">
      <w:start w:val="1"/>
      <w:numFmt w:val="decimal"/>
      <w:pStyle w:val="List4"/>
      <w:lvlText w:val="%1."/>
      <w:lvlJc w:val="left"/>
      <w:pPr>
        <w:ind w:left="720" w:hanging="360"/>
      </w:pPr>
      <w:rPr>
        <w:rFonts w:ascii="Tahoma" w:hAnsi="Tahoma" w:cs="Times New Roman" w:hint="default"/>
        <w:b w:val="0"/>
        <w:bCs w:val="0"/>
        <w:i w:val="0"/>
        <w:iCs w:val="0"/>
        <w:color w:val="3B3838" w:themeColor="background2" w:themeShade="4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222115"/>
    <w:multiLevelType w:val="hybridMultilevel"/>
    <w:tmpl w:val="D094773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15:restartNumberingAfterBreak="0">
    <w:nsid w:val="530C32F0"/>
    <w:multiLevelType w:val="hybridMultilevel"/>
    <w:tmpl w:val="C27A5080"/>
    <w:lvl w:ilvl="0" w:tplc="BCE4F8E8">
      <w:start w:val="1"/>
      <w:numFmt w:val="decimal"/>
      <w:pStyle w:val="Heading1"/>
      <w:lvlText w:val="%1."/>
      <w:lvlJc w:val="left"/>
      <w:pPr>
        <w:ind w:left="567" w:hanging="567"/>
      </w:pPr>
      <w:rPr>
        <w:rFonts w:ascii="Tahoma Bold" w:hAnsi="Tahoma Bold" w:hint="default"/>
        <w:b/>
        <w:i w:val="0"/>
        <w:color w:val="FFD579"/>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8222FC"/>
    <w:multiLevelType w:val="hybridMultilevel"/>
    <w:tmpl w:val="C4C41372"/>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66866E24"/>
    <w:multiLevelType w:val="hybridMultilevel"/>
    <w:tmpl w:val="758C0B9C"/>
    <w:lvl w:ilvl="0" w:tplc="4364AD00">
      <w:start w:val="1"/>
      <w:numFmt w:val="bullet"/>
      <w:lvlText w:val="-"/>
      <w:lvlJc w:val="left"/>
      <w:pPr>
        <w:ind w:left="397" w:hanging="284"/>
      </w:pPr>
      <w:rPr>
        <w:rFonts w:ascii="Tahoma" w:hAnsi="Tahoma" w:hint="default"/>
        <w:b w:val="0"/>
        <w:bCs w:val="0"/>
        <w:i w:val="0"/>
        <w:iCs w:val="0"/>
        <w:color w:val="FF0000"/>
        <w:sz w:val="20"/>
        <w:szCs w:val="20"/>
      </w:rPr>
    </w:lvl>
    <w:lvl w:ilvl="1" w:tplc="4C4EBB96">
      <w:start w:val="1"/>
      <w:numFmt w:val="lowerLetter"/>
      <w:pStyle w:val="ListBullet"/>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9" w15:restartNumberingAfterBreak="0">
    <w:nsid w:val="680A0F72"/>
    <w:multiLevelType w:val="hybridMultilevel"/>
    <w:tmpl w:val="5F3AB7B8"/>
    <w:lvl w:ilvl="0" w:tplc="E28A7940">
      <w:start w:val="1"/>
      <w:numFmt w:val="decimal"/>
      <w:pStyle w:val="ListNumber2"/>
      <w:lvlText w:val="%1."/>
      <w:lvlJc w:val="left"/>
      <w:pPr>
        <w:ind w:left="567" w:hanging="283"/>
      </w:pPr>
      <w:rPr>
        <w:rFonts w:ascii="Tahoma Bold" w:hAnsi="Tahoma Bold" w:hint="default"/>
        <w:b/>
        <w:bCs/>
        <w:i w:val="0"/>
        <w:iCs w:val="0"/>
        <w:color w:val="FFC000"/>
        <w:sz w:val="18"/>
        <w:szCs w:val="20"/>
      </w:rPr>
    </w:lvl>
    <w:lvl w:ilvl="1" w:tplc="A866C114">
      <w:start w:val="1"/>
      <w:numFmt w:val="lowerLetter"/>
      <w:lvlText w:val="%2."/>
      <w:lvlJc w:val="left"/>
      <w:pPr>
        <w:ind w:left="907" w:hanging="340"/>
      </w:pPr>
      <w:rPr>
        <w:rFonts w:hint="default"/>
      </w:rPr>
    </w:lvl>
    <w:lvl w:ilvl="2" w:tplc="0409001B" w:tentative="1">
      <w:start w:val="1"/>
      <w:numFmt w:val="lowerRoman"/>
      <w:lvlText w:val="%3."/>
      <w:lvlJc w:val="right"/>
      <w:pPr>
        <w:ind w:left="1933" w:hanging="180"/>
      </w:pPr>
    </w:lvl>
    <w:lvl w:ilvl="3" w:tplc="0409000F" w:tentative="1">
      <w:start w:val="1"/>
      <w:numFmt w:val="decimal"/>
      <w:lvlText w:val="%4."/>
      <w:lvlJc w:val="left"/>
      <w:pPr>
        <w:ind w:left="2653" w:hanging="360"/>
      </w:pPr>
    </w:lvl>
    <w:lvl w:ilvl="4" w:tplc="04090019" w:tentative="1">
      <w:start w:val="1"/>
      <w:numFmt w:val="lowerLetter"/>
      <w:lvlText w:val="%5."/>
      <w:lvlJc w:val="left"/>
      <w:pPr>
        <w:ind w:left="3373" w:hanging="360"/>
      </w:pPr>
    </w:lvl>
    <w:lvl w:ilvl="5" w:tplc="0409001B" w:tentative="1">
      <w:start w:val="1"/>
      <w:numFmt w:val="lowerRoman"/>
      <w:lvlText w:val="%6."/>
      <w:lvlJc w:val="right"/>
      <w:pPr>
        <w:ind w:left="4093" w:hanging="180"/>
      </w:pPr>
    </w:lvl>
    <w:lvl w:ilvl="6" w:tplc="0409000F" w:tentative="1">
      <w:start w:val="1"/>
      <w:numFmt w:val="decimal"/>
      <w:lvlText w:val="%7."/>
      <w:lvlJc w:val="left"/>
      <w:pPr>
        <w:ind w:left="4813" w:hanging="360"/>
      </w:pPr>
    </w:lvl>
    <w:lvl w:ilvl="7" w:tplc="04090019" w:tentative="1">
      <w:start w:val="1"/>
      <w:numFmt w:val="lowerLetter"/>
      <w:lvlText w:val="%8."/>
      <w:lvlJc w:val="left"/>
      <w:pPr>
        <w:ind w:left="5533" w:hanging="360"/>
      </w:pPr>
    </w:lvl>
    <w:lvl w:ilvl="8" w:tplc="0409001B" w:tentative="1">
      <w:start w:val="1"/>
      <w:numFmt w:val="lowerRoman"/>
      <w:lvlText w:val="%9."/>
      <w:lvlJc w:val="right"/>
      <w:pPr>
        <w:ind w:left="6253" w:hanging="180"/>
      </w:pPr>
    </w:lvl>
  </w:abstractNum>
  <w:abstractNum w:abstractNumId="20" w15:restartNumberingAfterBreak="0">
    <w:nsid w:val="682B0ED3"/>
    <w:multiLevelType w:val="hybridMultilevel"/>
    <w:tmpl w:val="23746248"/>
    <w:lvl w:ilvl="0" w:tplc="FECC9C2C">
      <w:start w:val="1"/>
      <w:numFmt w:val="bullet"/>
      <w:pStyle w:val="Lhdeluettelo1"/>
      <w:lvlText w:val=""/>
      <w:lvlJc w:val="left"/>
      <w:pPr>
        <w:ind w:left="720" w:hanging="360"/>
      </w:pPr>
      <w:rPr>
        <w:rFonts w:ascii="Symbol" w:hAnsi="Symbol" w:hint="default"/>
        <w:color w:val="FF0000"/>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0818DC"/>
    <w:multiLevelType w:val="hybridMultilevel"/>
    <w:tmpl w:val="E75C48DC"/>
    <w:lvl w:ilvl="0" w:tplc="70B43EFC">
      <w:start w:val="1"/>
      <w:numFmt w:val="decimal"/>
      <w:pStyle w:val="ListParagraph"/>
      <w:lvlText w:val="%1."/>
      <w:lvlJc w:val="left"/>
      <w:pPr>
        <w:ind w:left="644" w:hanging="360"/>
      </w:pPr>
      <w:rPr>
        <w:rFonts w:ascii="Tahoma" w:hAnsi="Tahoma" w:cs="Times New Roman" w:hint="default"/>
        <w:b w:val="0"/>
        <w:bCs w:val="0"/>
        <w:i w:val="0"/>
        <w:iCs w:val="0"/>
        <w:color w:val="3B3838" w:themeColor="background2" w:themeShade="40"/>
        <w:sz w:val="20"/>
        <w:szCs w:val="2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79EC1584"/>
    <w:multiLevelType w:val="hybridMultilevel"/>
    <w:tmpl w:val="25C663E6"/>
    <w:lvl w:ilvl="0" w:tplc="89B42F4C">
      <w:start w:val="1"/>
      <w:numFmt w:val="decimal"/>
      <w:pStyle w:val="ListContinue2"/>
      <w:lvlText w:val="(%1)"/>
      <w:lvlJc w:val="left"/>
      <w:pPr>
        <w:ind w:left="1004" w:hanging="284"/>
      </w:pPr>
      <w:rPr>
        <w:rFonts w:ascii="Tahoma" w:hAnsi="Tahoma" w:hint="default"/>
        <w:color w:val="FF0000"/>
        <w:sz w:val="20"/>
        <w:szCs w:val="20"/>
      </w:r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23" w15:restartNumberingAfterBreak="0">
    <w:nsid w:val="7EED2D25"/>
    <w:multiLevelType w:val="hybridMultilevel"/>
    <w:tmpl w:val="3AC056A6"/>
    <w:lvl w:ilvl="0" w:tplc="03ECCD2E">
      <w:start w:val="1"/>
      <w:numFmt w:val="bullet"/>
      <w:pStyle w:val="Listwithsmallreddot"/>
      <w:lvlText w:val=""/>
      <w:lvlJc w:val="left"/>
      <w:pPr>
        <w:ind w:left="907" w:hanging="623"/>
      </w:pPr>
      <w:rPr>
        <w:rFonts w:ascii="Symbol Tiger" w:hAnsi="Symbol Tiger" w:hint="default"/>
        <w:b/>
        <w:i w:val="0"/>
        <w:color w:val="FFD579"/>
        <w:sz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4"/>
  </w:num>
  <w:num w:numId="4">
    <w:abstractNumId w:val="5"/>
  </w:num>
  <w:num w:numId="5">
    <w:abstractNumId w:val="9"/>
  </w:num>
  <w:num w:numId="6">
    <w:abstractNumId w:val="18"/>
  </w:num>
  <w:num w:numId="7">
    <w:abstractNumId w:val="13"/>
  </w:num>
  <w:num w:numId="8">
    <w:abstractNumId w:val="11"/>
  </w:num>
  <w:num w:numId="9">
    <w:abstractNumId w:val="8"/>
  </w:num>
  <w:num w:numId="10">
    <w:abstractNumId w:val="22"/>
  </w:num>
  <w:num w:numId="11">
    <w:abstractNumId w:val="7"/>
  </w:num>
  <w:num w:numId="12">
    <w:abstractNumId w:val="21"/>
  </w:num>
  <w:num w:numId="13">
    <w:abstractNumId w:val="20"/>
  </w:num>
  <w:num w:numId="14">
    <w:abstractNumId w:val="10"/>
  </w:num>
  <w:num w:numId="15">
    <w:abstractNumId w:val="1"/>
  </w:num>
  <w:num w:numId="16">
    <w:abstractNumId w:val="0"/>
  </w:num>
  <w:num w:numId="17">
    <w:abstractNumId w:val="3"/>
  </w:num>
  <w:num w:numId="18">
    <w:abstractNumId w:val="23"/>
  </w:num>
  <w:num w:numId="19">
    <w:abstractNumId w:val="4"/>
  </w:num>
  <w:num w:numId="20">
    <w:abstractNumId w:val="2"/>
  </w:num>
  <w:num w:numId="21">
    <w:abstractNumId w:val="17"/>
  </w:num>
  <w:num w:numId="22">
    <w:abstractNumId w:val="15"/>
  </w:num>
  <w:num w:numId="23">
    <w:abstractNumId w:val="16"/>
  </w:num>
  <w:num w:numId="24">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aJDkbBWapzjowuvqTzXcRjrWp2jCF81GamjEZ+zo3KqDep1rYOu7Guzku4zNfWVILCJZom0v8/l2bp42/t1A5Q==" w:salt="C1N4L1iddWrwqtMnWKRSUQ=="/>
  <w:zoom w:percent="130"/>
  <w:documentProtection w:edit="readOnly" w:enforcement="1"/>
  <w:defaultTabStop w:val="1304"/>
  <w:hyphenationZone w:val="425"/>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E9E"/>
    <w:rsid w:val="000009DE"/>
    <w:rsid w:val="00005BAA"/>
    <w:rsid w:val="00006B11"/>
    <w:rsid w:val="00007A30"/>
    <w:rsid w:val="00011763"/>
    <w:rsid w:val="0001288F"/>
    <w:rsid w:val="00013DAC"/>
    <w:rsid w:val="00015692"/>
    <w:rsid w:val="00020156"/>
    <w:rsid w:val="0002346F"/>
    <w:rsid w:val="00024370"/>
    <w:rsid w:val="000247D5"/>
    <w:rsid w:val="00025021"/>
    <w:rsid w:val="00026374"/>
    <w:rsid w:val="00026F5E"/>
    <w:rsid w:val="000302E3"/>
    <w:rsid w:val="000312C5"/>
    <w:rsid w:val="00031B10"/>
    <w:rsid w:val="00032E8E"/>
    <w:rsid w:val="000341B1"/>
    <w:rsid w:val="00034731"/>
    <w:rsid w:val="0003758E"/>
    <w:rsid w:val="00044784"/>
    <w:rsid w:val="00046192"/>
    <w:rsid w:val="000464CB"/>
    <w:rsid w:val="00046683"/>
    <w:rsid w:val="00047278"/>
    <w:rsid w:val="00047A05"/>
    <w:rsid w:val="00051BBF"/>
    <w:rsid w:val="000607BA"/>
    <w:rsid w:val="000618F5"/>
    <w:rsid w:val="0006238C"/>
    <w:rsid w:val="00066BA3"/>
    <w:rsid w:val="0007024A"/>
    <w:rsid w:val="000702BC"/>
    <w:rsid w:val="000707DB"/>
    <w:rsid w:val="00072813"/>
    <w:rsid w:val="00075252"/>
    <w:rsid w:val="00075281"/>
    <w:rsid w:val="00075FE5"/>
    <w:rsid w:val="00077F62"/>
    <w:rsid w:val="000805C7"/>
    <w:rsid w:val="00083984"/>
    <w:rsid w:val="00083E4E"/>
    <w:rsid w:val="00084F4E"/>
    <w:rsid w:val="00091B1A"/>
    <w:rsid w:val="000952D0"/>
    <w:rsid w:val="00095949"/>
    <w:rsid w:val="0009602C"/>
    <w:rsid w:val="000A2A19"/>
    <w:rsid w:val="000A3E47"/>
    <w:rsid w:val="000A4D72"/>
    <w:rsid w:val="000B1FD3"/>
    <w:rsid w:val="000B299B"/>
    <w:rsid w:val="000B3CCB"/>
    <w:rsid w:val="000C00DD"/>
    <w:rsid w:val="000C02C9"/>
    <w:rsid w:val="000C0C15"/>
    <w:rsid w:val="000C0F1E"/>
    <w:rsid w:val="000C3C36"/>
    <w:rsid w:val="000C5C5F"/>
    <w:rsid w:val="000D06F7"/>
    <w:rsid w:val="000D28CA"/>
    <w:rsid w:val="000D5BD1"/>
    <w:rsid w:val="000E2046"/>
    <w:rsid w:val="000E2C75"/>
    <w:rsid w:val="000E3200"/>
    <w:rsid w:val="000E625A"/>
    <w:rsid w:val="000E6A9F"/>
    <w:rsid w:val="000E6EB6"/>
    <w:rsid w:val="000E75B6"/>
    <w:rsid w:val="000F381C"/>
    <w:rsid w:val="000F43EC"/>
    <w:rsid w:val="000F4D00"/>
    <w:rsid w:val="000F53E1"/>
    <w:rsid w:val="000F6C08"/>
    <w:rsid w:val="000F6E1D"/>
    <w:rsid w:val="000F75BE"/>
    <w:rsid w:val="001020F0"/>
    <w:rsid w:val="00106711"/>
    <w:rsid w:val="0010691B"/>
    <w:rsid w:val="00111AE7"/>
    <w:rsid w:val="001123AA"/>
    <w:rsid w:val="00112FC6"/>
    <w:rsid w:val="001132EA"/>
    <w:rsid w:val="001153CB"/>
    <w:rsid w:val="00117918"/>
    <w:rsid w:val="00120C28"/>
    <w:rsid w:val="001211FD"/>
    <w:rsid w:val="001269D1"/>
    <w:rsid w:val="001272EE"/>
    <w:rsid w:val="00132976"/>
    <w:rsid w:val="00133C00"/>
    <w:rsid w:val="00135FDE"/>
    <w:rsid w:val="0013687C"/>
    <w:rsid w:val="00136C83"/>
    <w:rsid w:val="001401AE"/>
    <w:rsid w:val="001437FC"/>
    <w:rsid w:val="0014554B"/>
    <w:rsid w:val="00145E67"/>
    <w:rsid w:val="00147D74"/>
    <w:rsid w:val="0015064B"/>
    <w:rsid w:val="00151034"/>
    <w:rsid w:val="0015319A"/>
    <w:rsid w:val="00156F33"/>
    <w:rsid w:val="00160A6D"/>
    <w:rsid w:val="00163088"/>
    <w:rsid w:val="00163E28"/>
    <w:rsid w:val="0016468D"/>
    <w:rsid w:val="00164E16"/>
    <w:rsid w:val="001655D6"/>
    <w:rsid w:val="00166776"/>
    <w:rsid w:val="00167E07"/>
    <w:rsid w:val="00174586"/>
    <w:rsid w:val="001745F4"/>
    <w:rsid w:val="00177A69"/>
    <w:rsid w:val="00182516"/>
    <w:rsid w:val="0018370F"/>
    <w:rsid w:val="00183771"/>
    <w:rsid w:val="00185383"/>
    <w:rsid w:val="00185E36"/>
    <w:rsid w:val="0018707E"/>
    <w:rsid w:val="00190C24"/>
    <w:rsid w:val="001917E8"/>
    <w:rsid w:val="00192F64"/>
    <w:rsid w:val="0019536F"/>
    <w:rsid w:val="0019623A"/>
    <w:rsid w:val="001964D9"/>
    <w:rsid w:val="001977E3"/>
    <w:rsid w:val="001A0A8E"/>
    <w:rsid w:val="001A123F"/>
    <w:rsid w:val="001A193C"/>
    <w:rsid w:val="001A1C4E"/>
    <w:rsid w:val="001A222A"/>
    <w:rsid w:val="001A23E4"/>
    <w:rsid w:val="001A2823"/>
    <w:rsid w:val="001A2E5E"/>
    <w:rsid w:val="001A6076"/>
    <w:rsid w:val="001A7FAD"/>
    <w:rsid w:val="001B0082"/>
    <w:rsid w:val="001B1C5F"/>
    <w:rsid w:val="001B1F9D"/>
    <w:rsid w:val="001B43BF"/>
    <w:rsid w:val="001B4B7C"/>
    <w:rsid w:val="001B60E9"/>
    <w:rsid w:val="001B7D23"/>
    <w:rsid w:val="001C01F6"/>
    <w:rsid w:val="001C21B1"/>
    <w:rsid w:val="001C4D4F"/>
    <w:rsid w:val="001C63C6"/>
    <w:rsid w:val="001D180C"/>
    <w:rsid w:val="001D1A8B"/>
    <w:rsid w:val="001D5A88"/>
    <w:rsid w:val="001D6027"/>
    <w:rsid w:val="001E05F8"/>
    <w:rsid w:val="001E1E6E"/>
    <w:rsid w:val="001E3A2D"/>
    <w:rsid w:val="001E7878"/>
    <w:rsid w:val="001F0184"/>
    <w:rsid w:val="001F2DA0"/>
    <w:rsid w:val="001F2F89"/>
    <w:rsid w:val="001F43AF"/>
    <w:rsid w:val="001F5A39"/>
    <w:rsid w:val="00202F4A"/>
    <w:rsid w:val="00204CD5"/>
    <w:rsid w:val="00204DCA"/>
    <w:rsid w:val="0020624B"/>
    <w:rsid w:val="00207EC0"/>
    <w:rsid w:val="00210BAF"/>
    <w:rsid w:val="00211BCC"/>
    <w:rsid w:val="00214743"/>
    <w:rsid w:val="00215885"/>
    <w:rsid w:val="00215D7C"/>
    <w:rsid w:val="00215DF9"/>
    <w:rsid w:val="002162B4"/>
    <w:rsid w:val="00216892"/>
    <w:rsid w:val="00217DAC"/>
    <w:rsid w:val="00224F90"/>
    <w:rsid w:val="00225B1B"/>
    <w:rsid w:val="00226254"/>
    <w:rsid w:val="0022695D"/>
    <w:rsid w:val="00227AE7"/>
    <w:rsid w:val="002303AC"/>
    <w:rsid w:val="00230C97"/>
    <w:rsid w:val="00231206"/>
    <w:rsid w:val="00232172"/>
    <w:rsid w:val="00236165"/>
    <w:rsid w:val="00237326"/>
    <w:rsid w:val="00237E4E"/>
    <w:rsid w:val="00242658"/>
    <w:rsid w:val="00243D5E"/>
    <w:rsid w:val="0024549A"/>
    <w:rsid w:val="00245D51"/>
    <w:rsid w:val="002555FC"/>
    <w:rsid w:val="00264A50"/>
    <w:rsid w:val="00265AE2"/>
    <w:rsid w:val="0027283E"/>
    <w:rsid w:val="00272DB7"/>
    <w:rsid w:val="00276328"/>
    <w:rsid w:val="00276437"/>
    <w:rsid w:val="00276916"/>
    <w:rsid w:val="00276B99"/>
    <w:rsid w:val="00276ECA"/>
    <w:rsid w:val="0028289F"/>
    <w:rsid w:val="002833E9"/>
    <w:rsid w:val="00285BE2"/>
    <w:rsid w:val="002872F7"/>
    <w:rsid w:val="00287757"/>
    <w:rsid w:val="002930F6"/>
    <w:rsid w:val="00297EBC"/>
    <w:rsid w:val="002A0ABB"/>
    <w:rsid w:val="002A201E"/>
    <w:rsid w:val="002A224E"/>
    <w:rsid w:val="002A2967"/>
    <w:rsid w:val="002A3A6E"/>
    <w:rsid w:val="002A550F"/>
    <w:rsid w:val="002A612A"/>
    <w:rsid w:val="002A7792"/>
    <w:rsid w:val="002A78F3"/>
    <w:rsid w:val="002A7DE1"/>
    <w:rsid w:val="002A7DF6"/>
    <w:rsid w:val="002B396B"/>
    <w:rsid w:val="002B4019"/>
    <w:rsid w:val="002B6671"/>
    <w:rsid w:val="002B6FB6"/>
    <w:rsid w:val="002C09FC"/>
    <w:rsid w:val="002C1ACF"/>
    <w:rsid w:val="002C2134"/>
    <w:rsid w:val="002C2E37"/>
    <w:rsid w:val="002C4887"/>
    <w:rsid w:val="002C5F04"/>
    <w:rsid w:val="002C64A3"/>
    <w:rsid w:val="002C7E2E"/>
    <w:rsid w:val="002D1FDB"/>
    <w:rsid w:val="002D2C2F"/>
    <w:rsid w:val="002D4124"/>
    <w:rsid w:val="002D43AE"/>
    <w:rsid w:val="002D60F6"/>
    <w:rsid w:val="002E1B77"/>
    <w:rsid w:val="002E25C2"/>
    <w:rsid w:val="002E3343"/>
    <w:rsid w:val="002E486C"/>
    <w:rsid w:val="002E4F6C"/>
    <w:rsid w:val="002E5F42"/>
    <w:rsid w:val="002E65EF"/>
    <w:rsid w:val="002E6F48"/>
    <w:rsid w:val="002F0470"/>
    <w:rsid w:val="002F2285"/>
    <w:rsid w:val="002F33DA"/>
    <w:rsid w:val="002F3A10"/>
    <w:rsid w:val="002F428C"/>
    <w:rsid w:val="002F7748"/>
    <w:rsid w:val="003105DF"/>
    <w:rsid w:val="00313428"/>
    <w:rsid w:val="00316044"/>
    <w:rsid w:val="00320C15"/>
    <w:rsid w:val="00322B32"/>
    <w:rsid w:val="003234A9"/>
    <w:rsid w:val="00323ADB"/>
    <w:rsid w:val="003311B1"/>
    <w:rsid w:val="00333C13"/>
    <w:rsid w:val="003349F6"/>
    <w:rsid w:val="00340AB8"/>
    <w:rsid w:val="003415A9"/>
    <w:rsid w:val="0034164F"/>
    <w:rsid w:val="00344B17"/>
    <w:rsid w:val="0034550D"/>
    <w:rsid w:val="00345721"/>
    <w:rsid w:val="0034788D"/>
    <w:rsid w:val="003530D5"/>
    <w:rsid w:val="0035324D"/>
    <w:rsid w:val="00353302"/>
    <w:rsid w:val="003537C1"/>
    <w:rsid w:val="00353A2C"/>
    <w:rsid w:val="003544E3"/>
    <w:rsid w:val="003546A6"/>
    <w:rsid w:val="00355782"/>
    <w:rsid w:val="003575C2"/>
    <w:rsid w:val="003676F1"/>
    <w:rsid w:val="00372180"/>
    <w:rsid w:val="00373B35"/>
    <w:rsid w:val="003743DA"/>
    <w:rsid w:val="0037704E"/>
    <w:rsid w:val="0038472A"/>
    <w:rsid w:val="00384989"/>
    <w:rsid w:val="00387AFE"/>
    <w:rsid w:val="00394A08"/>
    <w:rsid w:val="00395A48"/>
    <w:rsid w:val="003A0E1B"/>
    <w:rsid w:val="003A1D81"/>
    <w:rsid w:val="003A3B30"/>
    <w:rsid w:val="003A6AAC"/>
    <w:rsid w:val="003A6C19"/>
    <w:rsid w:val="003A76CD"/>
    <w:rsid w:val="003B0D04"/>
    <w:rsid w:val="003B11DE"/>
    <w:rsid w:val="003B1429"/>
    <w:rsid w:val="003B1899"/>
    <w:rsid w:val="003B217B"/>
    <w:rsid w:val="003B407F"/>
    <w:rsid w:val="003B4EC6"/>
    <w:rsid w:val="003B6C3E"/>
    <w:rsid w:val="003C0796"/>
    <w:rsid w:val="003C13CF"/>
    <w:rsid w:val="003C1A4A"/>
    <w:rsid w:val="003C2A9E"/>
    <w:rsid w:val="003C4869"/>
    <w:rsid w:val="003C49B6"/>
    <w:rsid w:val="003C60CC"/>
    <w:rsid w:val="003D49F9"/>
    <w:rsid w:val="003E153A"/>
    <w:rsid w:val="003E1F3C"/>
    <w:rsid w:val="003E4532"/>
    <w:rsid w:val="003E70AD"/>
    <w:rsid w:val="003E73C6"/>
    <w:rsid w:val="003F1077"/>
    <w:rsid w:val="003F1496"/>
    <w:rsid w:val="003F391A"/>
    <w:rsid w:val="003F3C10"/>
    <w:rsid w:val="003F457B"/>
    <w:rsid w:val="003F4C04"/>
    <w:rsid w:val="003F4C3D"/>
    <w:rsid w:val="003F5043"/>
    <w:rsid w:val="003F7A5A"/>
    <w:rsid w:val="00400DE1"/>
    <w:rsid w:val="004040E8"/>
    <w:rsid w:val="00405069"/>
    <w:rsid w:val="0040742F"/>
    <w:rsid w:val="004105EE"/>
    <w:rsid w:val="00412EBC"/>
    <w:rsid w:val="00415FFA"/>
    <w:rsid w:val="00416406"/>
    <w:rsid w:val="00416D5F"/>
    <w:rsid w:val="00421F39"/>
    <w:rsid w:val="00424610"/>
    <w:rsid w:val="00430D7E"/>
    <w:rsid w:val="004338EC"/>
    <w:rsid w:val="0043400D"/>
    <w:rsid w:val="00435F9D"/>
    <w:rsid w:val="004377EB"/>
    <w:rsid w:val="00441A75"/>
    <w:rsid w:val="00442925"/>
    <w:rsid w:val="0044692F"/>
    <w:rsid w:val="00446B2A"/>
    <w:rsid w:val="00447F7E"/>
    <w:rsid w:val="00450C48"/>
    <w:rsid w:val="0045259B"/>
    <w:rsid w:val="00456265"/>
    <w:rsid w:val="004562F7"/>
    <w:rsid w:val="00457404"/>
    <w:rsid w:val="0045753F"/>
    <w:rsid w:val="004575CC"/>
    <w:rsid w:val="0046037D"/>
    <w:rsid w:val="0046067F"/>
    <w:rsid w:val="00463418"/>
    <w:rsid w:val="004643F0"/>
    <w:rsid w:val="00464F33"/>
    <w:rsid w:val="00470224"/>
    <w:rsid w:val="00471EB5"/>
    <w:rsid w:val="004740A2"/>
    <w:rsid w:val="0047454B"/>
    <w:rsid w:val="004746AE"/>
    <w:rsid w:val="004756D6"/>
    <w:rsid w:val="00477310"/>
    <w:rsid w:val="00482F08"/>
    <w:rsid w:val="00483943"/>
    <w:rsid w:val="00483EA8"/>
    <w:rsid w:val="00483F0A"/>
    <w:rsid w:val="00484269"/>
    <w:rsid w:val="00485280"/>
    <w:rsid w:val="00485710"/>
    <w:rsid w:val="00487E7B"/>
    <w:rsid w:val="00493DBC"/>
    <w:rsid w:val="00494344"/>
    <w:rsid w:val="00494F32"/>
    <w:rsid w:val="00496D39"/>
    <w:rsid w:val="004A1A31"/>
    <w:rsid w:val="004A227C"/>
    <w:rsid w:val="004A2B60"/>
    <w:rsid w:val="004A6241"/>
    <w:rsid w:val="004A7359"/>
    <w:rsid w:val="004A7A46"/>
    <w:rsid w:val="004A7A7D"/>
    <w:rsid w:val="004B1A94"/>
    <w:rsid w:val="004B2D32"/>
    <w:rsid w:val="004B5028"/>
    <w:rsid w:val="004C0123"/>
    <w:rsid w:val="004C0385"/>
    <w:rsid w:val="004C19A5"/>
    <w:rsid w:val="004C1F26"/>
    <w:rsid w:val="004C2AE0"/>
    <w:rsid w:val="004C39D2"/>
    <w:rsid w:val="004C5128"/>
    <w:rsid w:val="004C5646"/>
    <w:rsid w:val="004C67AC"/>
    <w:rsid w:val="004C784C"/>
    <w:rsid w:val="004C7B17"/>
    <w:rsid w:val="004D01BA"/>
    <w:rsid w:val="004D03A5"/>
    <w:rsid w:val="004D3F50"/>
    <w:rsid w:val="004D6F66"/>
    <w:rsid w:val="004D6FCB"/>
    <w:rsid w:val="004D71EE"/>
    <w:rsid w:val="004D7D77"/>
    <w:rsid w:val="004E6E3F"/>
    <w:rsid w:val="004E7CB0"/>
    <w:rsid w:val="004F2F3E"/>
    <w:rsid w:val="004F4317"/>
    <w:rsid w:val="004F4A36"/>
    <w:rsid w:val="004F54E9"/>
    <w:rsid w:val="004F797F"/>
    <w:rsid w:val="00505193"/>
    <w:rsid w:val="00507627"/>
    <w:rsid w:val="00507D25"/>
    <w:rsid w:val="00511510"/>
    <w:rsid w:val="005131E5"/>
    <w:rsid w:val="0051348B"/>
    <w:rsid w:val="0051700C"/>
    <w:rsid w:val="0052203B"/>
    <w:rsid w:val="005220EC"/>
    <w:rsid w:val="00522D60"/>
    <w:rsid w:val="0052378E"/>
    <w:rsid w:val="0052429E"/>
    <w:rsid w:val="00525FC4"/>
    <w:rsid w:val="00527FD0"/>
    <w:rsid w:val="00530D43"/>
    <w:rsid w:val="00535FB3"/>
    <w:rsid w:val="00537A3A"/>
    <w:rsid w:val="005446B8"/>
    <w:rsid w:val="0054665D"/>
    <w:rsid w:val="00547B2F"/>
    <w:rsid w:val="00551C5A"/>
    <w:rsid w:val="00554002"/>
    <w:rsid w:val="00554978"/>
    <w:rsid w:val="005555E7"/>
    <w:rsid w:val="005556A1"/>
    <w:rsid w:val="00557772"/>
    <w:rsid w:val="00560FE7"/>
    <w:rsid w:val="005642EF"/>
    <w:rsid w:val="00571D9B"/>
    <w:rsid w:val="00571F98"/>
    <w:rsid w:val="0057279B"/>
    <w:rsid w:val="00573453"/>
    <w:rsid w:val="00576AD3"/>
    <w:rsid w:val="00581BEC"/>
    <w:rsid w:val="00584612"/>
    <w:rsid w:val="00587D50"/>
    <w:rsid w:val="0059370C"/>
    <w:rsid w:val="00596300"/>
    <w:rsid w:val="0059795F"/>
    <w:rsid w:val="00597BCC"/>
    <w:rsid w:val="005A02B9"/>
    <w:rsid w:val="005A1F6B"/>
    <w:rsid w:val="005A2B5F"/>
    <w:rsid w:val="005A3D36"/>
    <w:rsid w:val="005A51C9"/>
    <w:rsid w:val="005A5C22"/>
    <w:rsid w:val="005A5F27"/>
    <w:rsid w:val="005A6F4F"/>
    <w:rsid w:val="005A70E6"/>
    <w:rsid w:val="005B0D9B"/>
    <w:rsid w:val="005B1BC5"/>
    <w:rsid w:val="005C0119"/>
    <w:rsid w:val="005C1579"/>
    <w:rsid w:val="005C1792"/>
    <w:rsid w:val="005C4A8D"/>
    <w:rsid w:val="005D2794"/>
    <w:rsid w:val="005D54F9"/>
    <w:rsid w:val="005D6A90"/>
    <w:rsid w:val="005E0EEF"/>
    <w:rsid w:val="005E30EA"/>
    <w:rsid w:val="005E74F2"/>
    <w:rsid w:val="005E7FAE"/>
    <w:rsid w:val="005F43B7"/>
    <w:rsid w:val="005F714E"/>
    <w:rsid w:val="00600C69"/>
    <w:rsid w:val="00601C48"/>
    <w:rsid w:val="00602948"/>
    <w:rsid w:val="00602E3B"/>
    <w:rsid w:val="00603CBE"/>
    <w:rsid w:val="00604F7D"/>
    <w:rsid w:val="00606352"/>
    <w:rsid w:val="0060639E"/>
    <w:rsid w:val="00606FC5"/>
    <w:rsid w:val="00607C1E"/>
    <w:rsid w:val="0061125E"/>
    <w:rsid w:val="00611534"/>
    <w:rsid w:val="00611CFE"/>
    <w:rsid w:val="00611F28"/>
    <w:rsid w:val="006156B0"/>
    <w:rsid w:val="0061696B"/>
    <w:rsid w:val="00620104"/>
    <w:rsid w:val="00622451"/>
    <w:rsid w:val="0062305D"/>
    <w:rsid w:val="006237F7"/>
    <w:rsid w:val="0062501F"/>
    <w:rsid w:val="00626760"/>
    <w:rsid w:val="00632310"/>
    <w:rsid w:val="00634DBF"/>
    <w:rsid w:val="00640777"/>
    <w:rsid w:val="00642B12"/>
    <w:rsid w:val="00643BA5"/>
    <w:rsid w:val="006444D2"/>
    <w:rsid w:val="00645040"/>
    <w:rsid w:val="00645B75"/>
    <w:rsid w:val="00645F18"/>
    <w:rsid w:val="00646B30"/>
    <w:rsid w:val="00650958"/>
    <w:rsid w:val="00650A57"/>
    <w:rsid w:val="00653BDF"/>
    <w:rsid w:val="006559BC"/>
    <w:rsid w:val="00655EB7"/>
    <w:rsid w:val="00656141"/>
    <w:rsid w:val="0066174B"/>
    <w:rsid w:val="00663E6C"/>
    <w:rsid w:val="0066498E"/>
    <w:rsid w:val="0066513B"/>
    <w:rsid w:val="00665D3D"/>
    <w:rsid w:val="00667144"/>
    <w:rsid w:val="00667EE9"/>
    <w:rsid w:val="00670F5A"/>
    <w:rsid w:val="00676D7A"/>
    <w:rsid w:val="0068171A"/>
    <w:rsid w:val="00682E0C"/>
    <w:rsid w:val="0068361F"/>
    <w:rsid w:val="00683AC3"/>
    <w:rsid w:val="00684B09"/>
    <w:rsid w:val="00685046"/>
    <w:rsid w:val="006863E0"/>
    <w:rsid w:val="00686922"/>
    <w:rsid w:val="00687E06"/>
    <w:rsid w:val="00691280"/>
    <w:rsid w:val="006926BC"/>
    <w:rsid w:val="00693399"/>
    <w:rsid w:val="00696976"/>
    <w:rsid w:val="00696ADD"/>
    <w:rsid w:val="00696EF5"/>
    <w:rsid w:val="00697314"/>
    <w:rsid w:val="006A06F5"/>
    <w:rsid w:val="006A12CC"/>
    <w:rsid w:val="006A1CE4"/>
    <w:rsid w:val="006A24CA"/>
    <w:rsid w:val="006A7C2A"/>
    <w:rsid w:val="006B1F6C"/>
    <w:rsid w:val="006B206D"/>
    <w:rsid w:val="006B3AB4"/>
    <w:rsid w:val="006B41DF"/>
    <w:rsid w:val="006B4952"/>
    <w:rsid w:val="006B4C85"/>
    <w:rsid w:val="006B567B"/>
    <w:rsid w:val="006B5A1E"/>
    <w:rsid w:val="006B7E8A"/>
    <w:rsid w:val="006C159D"/>
    <w:rsid w:val="006C545C"/>
    <w:rsid w:val="006C614B"/>
    <w:rsid w:val="006D1DD0"/>
    <w:rsid w:val="006D285F"/>
    <w:rsid w:val="006D6B83"/>
    <w:rsid w:val="006D78B8"/>
    <w:rsid w:val="006E0EAD"/>
    <w:rsid w:val="006E1B2C"/>
    <w:rsid w:val="006E45DA"/>
    <w:rsid w:val="006E4B08"/>
    <w:rsid w:val="006E7160"/>
    <w:rsid w:val="006E7DFD"/>
    <w:rsid w:val="006F10F4"/>
    <w:rsid w:val="006F38F1"/>
    <w:rsid w:val="006F5564"/>
    <w:rsid w:val="006F6FCA"/>
    <w:rsid w:val="00700FD4"/>
    <w:rsid w:val="00703F20"/>
    <w:rsid w:val="00706CC2"/>
    <w:rsid w:val="0070725F"/>
    <w:rsid w:val="007117A1"/>
    <w:rsid w:val="00712E60"/>
    <w:rsid w:val="0071392B"/>
    <w:rsid w:val="007144B2"/>
    <w:rsid w:val="007150D7"/>
    <w:rsid w:val="00715C58"/>
    <w:rsid w:val="007201EE"/>
    <w:rsid w:val="00721626"/>
    <w:rsid w:val="00721778"/>
    <w:rsid w:val="00721D1C"/>
    <w:rsid w:val="00725E87"/>
    <w:rsid w:val="00726DCB"/>
    <w:rsid w:val="00730FAC"/>
    <w:rsid w:val="0073180A"/>
    <w:rsid w:val="0073438A"/>
    <w:rsid w:val="00735AF0"/>
    <w:rsid w:val="0073618A"/>
    <w:rsid w:val="007364D4"/>
    <w:rsid w:val="00736E12"/>
    <w:rsid w:val="00742E9A"/>
    <w:rsid w:val="0074430B"/>
    <w:rsid w:val="00744812"/>
    <w:rsid w:val="00746017"/>
    <w:rsid w:val="00750B85"/>
    <w:rsid w:val="00750D3A"/>
    <w:rsid w:val="00752556"/>
    <w:rsid w:val="0075346E"/>
    <w:rsid w:val="007539D7"/>
    <w:rsid w:val="00760626"/>
    <w:rsid w:val="00761A88"/>
    <w:rsid w:val="00762172"/>
    <w:rsid w:val="00762F33"/>
    <w:rsid w:val="00764A3B"/>
    <w:rsid w:val="007705B8"/>
    <w:rsid w:val="00771AEB"/>
    <w:rsid w:val="00771C5D"/>
    <w:rsid w:val="00773C62"/>
    <w:rsid w:val="00773EAC"/>
    <w:rsid w:val="00773F34"/>
    <w:rsid w:val="00774EE8"/>
    <w:rsid w:val="007751A6"/>
    <w:rsid w:val="007755B7"/>
    <w:rsid w:val="007767B9"/>
    <w:rsid w:val="00777193"/>
    <w:rsid w:val="007811B3"/>
    <w:rsid w:val="007829FC"/>
    <w:rsid w:val="00783FE5"/>
    <w:rsid w:val="00785B83"/>
    <w:rsid w:val="00791B15"/>
    <w:rsid w:val="007925D1"/>
    <w:rsid w:val="0079624A"/>
    <w:rsid w:val="007A0217"/>
    <w:rsid w:val="007A145C"/>
    <w:rsid w:val="007A2E46"/>
    <w:rsid w:val="007A3A48"/>
    <w:rsid w:val="007A4FD3"/>
    <w:rsid w:val="007A5FD3"/>
    <w:rsid w:val="007A6AA9"/>
    <w:rsid w:val="007A7158"/>
    <w:rsid w:val="007B06D3"/>
    <w:rsid w:val="007B1638"/>
    <w:rsid w:val="007B38D9"/>
    <w:rsid w:val="007B39BE"/>
    <w:rsid w:val="007B5FC0"/>
    <w:rsid w:val="007B63D7"/>
    <w:rsid w:val="007B7116"/>
    <w:rsid w:val="007B71F5"/>
    <w:rsid w:val="007B73C0"/>
    <w:rsid w:val="007B793C"/>
    <w:rsid w:val="007C1F1A"/>
    <w:rsid w:val="007C26E7"/>
    <w:rsid w:val="007C5773"/>
    <w:rsid w:val="007C6B35"/>
    <w:rsid w:val="007C720D"/>
    <w:rsid w:val="007D0D45"/>
    <w:rsid w:val="007E0072"/>
    <w:rsid w:val="007E2BFD"/>
    <w:rsid w:val="007E35EB"/>
    <w:rsid w:val="007E45A2"/>
    <w:rsid w:val="007E59E3"/>
    <w:rsid w:val="007E6437"/>
    <w:rsid w:val="007E683C"/>
    <w:rsid w:val="007E68E0"/>
    <w:rsid w:val="007E721F"/>
    <w:rsid w:val="007F0465"/>
    <w:rsid w:val="007F09AC"/>
    <w:rsid w:val="007F0EC9"/>
    <w:rsid w:val="007F1240"/>
    <w:rsid w:val="007F201F"/>
    <w:rsid w:val="007F434F"/>
    <w:rsid w:val="007F43C2"/>
    <w:rsid w:val="007F51B3"/>
    <w:rsid w:val="00800863"/>
    <w:rsid w:val="008028DA"/>
    <w:rsid w:val="0080549D"/>
    <w:rsid w:val="00805CE5"/>
    <w:rsid w:val="008063FF"/>
    <w:rsid w:val="00807989"/>
    <w:rsid w:val="00811512"/>
    <w:rsid w:val="00817E9E"/>
    <w:rsid w:val="00823EE9"/>
    <w:rsid w:val="008249D9"/>
    <w:rsid w:val="008271DD"/>
    <w:rsid w:val="0082766F"/>
    <w:rsid w:val="008301B1"/>
    <w:rsid w:val="00831512"/>
    <w:rsid w:val="0083310A"/>
    <w:rsid w:val="008337E0"/>
    <w:rsid w:val="00833D89"/>
    <w:rsid w:val="008352AD"/>
    <w:rsid w:val="00837D54"/>
    <w:rsid w:val="00842122"/>
    <w:rsid w:val="008424FD"/>
    <w:rsid w:val="008426D0"/>
    <w:rsid w:val="008454CB"/>
    <w:rsid w:val="008457AD"/>
    <w:rsid w:val="008459F9"/>
    <w:rsid w:val="0084613F"/>
    <w:rsid w:val="008466A4"/>
    <w:rsid w:val="00846769"/>
    <w:rsid w:val="00850EA1"/>
    <w:rsid w:val="00851A80"/>
    <w:rsid w:val="0085248A"/>
    <w:rsid w:val="00853714"/>
    <w:rsid w:val="00853F28"/>
    <w:rsid w:val="008547BE"/>
    <w:rsid w:val="00855940"/>
    <w:rsid w:val="00856C0A"/>
    <w:rsid w:val="008608E9"/>
    <w:rsid w:val="00860AF6"/>
    <w:rsid w:val="00861280"/>
    <w:rsid w:val="008618C9"/>
    <w:rsid w:val="00862C17"/>
    <w:rsid w:val="0086330F"/>
    <w:rsid w:val="00866404"/>
    <w:rsid w:val="008713AF"/>
    <w:rsid w:val="00871A56"/>
    <w:rsid w:val="0087582B"/>
    <w:rsid w:val="008769AA"/>
    <w:rsid w:val="008853FE"/>
    <w:rsid w:val="00885F1D"/>
    <w:rsid w:val="0088690F"/>
    <w:rsid w:val="00891AD7"/>
    <w:rsid w:val="0089265E"/>
    <w:rsid w:val="00893296"/>
    <w:rsid w:val="00895403"/>
    <w:rsid w:val="008A0A20"/>
    <w:rsid w:val="008A0DB1"/>
    <w:rsid w:val="008A37D3"/>
    <w:rsid w:val="008A3A3C"/>
    <w:rsid w:val="008A7A17"/>
    <w:rsid w:val="008A7EF9"/>
    <w:rsid w:val="008B06B1"/>
    <w:rsid w:val="008B184D"/>
    <w:rsid w:val="008B27EB"/>
    <w:rsid w:val="008B3A8F"/>
    <w:rsid w:val="008B45C2"/>
    <w:rsid w:val="008B7875"/>
    <w:rsid w:val="008C004E"/>
    <w:rsid w:val="008C0BE5"/>
    <w:rsid w:val="008C1B8A"/>
    <w:rsid w:val="008C681F"/>
    <w:rsid w:val="008D587F"/>
    <w:rsid w:val="008D5F9D"/>
    <w:rsid w:val="008D74A3"/>
    <w:rsid w:val="008E152F"/>
    <w:rsid w:val="008E205E"/>
    <w:rsid w:val="008E24A5"/>
    <w:rsid w:val="008E3FE9"/>
    <w:rsid w:val="008E5485"/>
    <w:rsid w:val="008E57B3"/>
    <w:rsid w:val="008F025C"/>
    <w:rsid w:val="008F22E6"/>
    <w:rsid w:val="008F4581"/>
    <w:rsid w:val="008F7649"/>
    <w:rsid w:val="008F79C0"/>
    <w:rsid w:val="00900814"/>
    <w:rsid w:val="009036B3"/>
    <w:rsid w:val="00906AF7"/>
    <w:rsid w:val="00907058"/>
    <w:rsid w:val="00907742"/>
    <w:rsid w:val="00907DD3"/>
    <w:rsid w:val="009105A8"/>
    <w:rsid w:val="009122A6"/>
    <w:rsid w:val="009132E5"/>
    <w:rsid w:val="009170A8"/>
    <w:rsid w:val="0092185C"/>
    <w:rsid w:val="00921931"/>
    <w:rsid w:val="00921D3B"/>
    <w:rsid w:val="00923A76"/>
    <w:rsid w:val="0092440B"/>
    <w:rsid w:val="00924BB4"/>
    <w:rsid w:val="0092579C"/>
    <w:rsid w:val="00925C92"/>
    <w:rsid w:val="00927B81"/>
    <w:rsid w:val="009307CB"/>
    <w:rsid w:val="00933937"/>
    <w:rsid w:val="009348A5"/>
    <w:rsid w:val="00936D4E"/>
    <w:rsid w:val="00937348"/>
    <w:rsid w:val="00937A28"/>
    <w:rsid w:val="00937A59"/>
    <w:rsid w:val="00942F29"/>
    <w:rsid w:val="009464C3"/>
    <w:rsid w:val="00946674"/>
    <w:rsid w:val="0094681E"/>
    <w:rsid w:val="00947194"/>
    <w:rsid w:val="009520F9"/>
    <w:rsid w:val="009537D6"/>
    <w:rsid w:val="00956175"/>
    <w:rsid w:val="00956ACD"/>
    <w:rsid w:val="009601BC"/>
    <w:rsid w:val="00960A9F"/>
    <w:rsid w:val="00963C19"/>
    <w:rsid w:val="009648A3"/>
    <w:rsid w:val="00964CBC"/>
    <w:rsid w:val="009661C6"/>
    <w:rsid w:val="00966234"/>
    <w:rsid w:val="00967DF6"/>
    <w:rsid w:val="00970597"/>
    <w:rsid w:val="009720B1"/>
    <w:rsid w:val="00973963"/>
    <w:rsid w:val="00974536"/>
    <w:rsid w:val="00976493"/>
    <w:rsid w:val="00976577"/>
    <w:rsid w:val="00980B8A"/>
    <w:rsid w:val="009837AF"/>
    <w:rsid w:val="00990586"/>
    <w:rsid w:val="00992CDE"/>
    <w:rsid w:val="0099477B"/>
    <w:rsid w:val="009962C1"/>
    <w:rsid w:val="00996599"/>
    <w:rsid w:val="009A1055"/>
    <w:rsid w:val="009A3838"/>
    <w:rsid w:val="009A5EB6"/>
    <w:rsid w:val="009B1197"/>
    <w:rsid w:val="009B1A79"/>
    <w:rsid w:val="009B3028"/>
    <w:rsid w:val="009B3AA3"/>
    <w:rsid w:val="009B7281"/>
    <w:rsid w:val="009C73B4"/>
    <w:rsid w:val="009D3584"/>
    <w:rsid w:val="009D65F7"/>
    <w:rsid w:val="009D73F5"/>
    <w:rsid w:val="009D7571"/>
    <w:rsid w:val="009E1BF9"/>
    <w:rsid w:val="009E1CF5"/>
    <w:rsid w:val="009E2C78"/>
    <w:rsid w:val="009E303C"/>
    <w:rsid w:val="009E3052"/>
    <w:rsid w:val="009E32D3"/>
    <w:rsid w:val="009E3573"/>
    <w:rsid w:val="009E4D54"/>
    <w:rsid w:val="009E5583"/>
    <w:rsid w:val="009E5B0A"/>
    <w:rsid w:val="009E5CF5"/>
    <w:rsid w:val="009F24C2"/>
    <w:rsid w:val="009F530B"/>
    <w:rsid w:val="00A00EA0"/>
    <w:rsid w:val="00A03E15"/>
    <w:rsid w:val="00A04F41"/>
    <w:rsid w:val="00A121C5"/>
    <w:rsid w:val="00A12BA6"/>
    <w:rsid w:val="00A13BFE"/>
    <w:rsid w:val="00A14C3B"/>
    <w:rsid w:val="00A16C82"/>
    <w:rsid w:val="00A23B6F"/>
    <w:rsid w:val="00A23E87"/>
    <w:rsid w:val="00A24E98"/>
    <w:rsid w:val="00A26731"/>
    <w:rsid w:val="00A27819"/>
    <w:rsid w:val="00A27D18"/>
    <w:rsid w:val="00A322C1"/>
    <w:rsid w:val="00A32C57"/>
    <w:rsid w:val="00A3491C"/>
    <w:rsid w:val="00A42710"/>
    <w:rsid w:val="00A44F21"/>
    <w:rsid w:val="00A475C6"/>
    <w:rsid w:val="00A50FAF"/>
    <w:rsid w:val="00A51004"/>
    <w:rsid w:val="00A513B9"/>
    <w:rsid w:val="00A53B3F"/>
    <w:rsid w:val="00A57CD1"/>
    <w:rsid w:val="00A60258"/>
    <w:rsid w:val="00A60FDD"/>
    <w:rsid w:val="00A610CC"/>
    <w:rsid w:val="00A61479"/>
    <w:rsid w:val="00A62564"/>
    <w:rsid w:val="00A62BFE"/>
    <w:rsid w:val="00A631B3"/>
    <w:rsid w:val="00A63A2F"/>
    <w:rsid w:val="00A65A64"/>
    <w:rsid w:val="00A67FDB"/>
    <w:rsid w:val="00A723FC"/>
    <w:rsid w:val="00A7266D"/>
    <w:rsid w:val="00A73E5E"/>
    <w:rsid w:val="00A7777C"/>
    <w:rsid w:val="00A777E2"/>
    <w:rsid w:val="00A82054"/>
    <w:rsid w:val="00A83FFA"/>
    <w:rsid w:val="00A865CF"/>
    <w:rsid w:val="00A86D70"/>
    <w:rsid w:val="00A91A52"/>
    <w:rsid w:val="00A93379"/>
    <w:rsid w:val="00A9691C"/>
    <w:rsid w:val="00A97C7B"/>
    <w:rsid w:val="00A97CFF"/>
    <w:rsid w:val="00A97DF0"/>
    <w:rsid w:val="00AA005C"/>
    <w:rsid w:val="00AA1B89"/>
    <w:rsid w:val="00AA2A63"/>
    <w:rsid w:val="00AA5F00"/>
    <w:rsid w:val="00AA66D8"/>
    <w:rsid w:val="00AA677B"/>
    <w:rsid w:val="00AA7923"/>
    <w:rsid w:val="00AB330C"/>
    <w:rsid w:val="00AB3690"/>
    <w:rsid w:val="00AB3C47"/>
    <w:rsid w:val="00AB4F95"/>
    <w:rsid w:val="00AB65F2"/>
    <w:rsid w:val="00AC04B6"/>
    <w:rsid w:val="00AC0ABB"/>
    <w:rsid w:val="00AC0EAD"/>
    <w:rsid w:val="00AC1C77"/>
    <w:rsid w:val="00AC4254"/>
    <w:rsid w:val="00AC4B18"/>
    <w:rsid w:val="00AD13E8"/>
    <w:rsid w:val="00AD471B"/>
    <w:rsid w:val="00AD6B02"/>
    <w:rsid w:val="00AE619E"/>
    <w:rsid w:val="00AF4B79"/>
    <w:rsid w:val="00AF5212"/>
    <w:rsid w:val="00AF5897"/>
    <w:rsid w:val="00AF7162"/>
    <w:rsid w:val="00AF7FAD"/>
    <w:rsid w:val="00B00179"/>
    <w:rsid w:val="00B02A88"/>
    <w:rsid w:val="00B02CA7"/>
    <w:rsid w:val="00B03777"/>
    <w:rsid w:val="00B0711D"/>
    <w:rsid w:val="00B07F82"/>
    <w:rsid w:val="00B101FF"/>
    <w:rsid w:val="00B10375"/>
    <w:rsid w:val="00B10AD9"/>
    <w:rsid w:val="00B1291F"/>
    <w:rsid w:val="00B12D50"/>
    <w:rsid w:val="00B13506"/>
    <w:rsid w:val="00B14521"/>
    <w:rsid w:val="00B1736D"/>
    <w:rsid w:val="00B2070E"/>
    <w:rsid w:val="00B21191"/>
    <w:rsid w:val="00B211BD"/>
    <w:rsid w:val="00B243CB"/>
    <w:rsid w:val="00B2500C"/>
    <w:rsid w:val="00B27CC7"/>
    <w:rsid w:val="00B30F93"/>
    <w:rsid w:val="00B32E4E"/>
    <w:rsid w:val="00B359AC"/>
    <w:rsid w:val="00B35A5C"/>
    <w:rsid w:val="00B45402"/>
    <w:rsid w:val="00B5088D"/>
    <w:rsid w:val="00B51BCE"/>
    <w:rsid w:val="00B51D57"/>
    <w:rsid w:val="00B5280E"/>
    <w:rsid w:val="00B52DFA"/>
    <w:rsid w:val="00B54B31"/>
    <w:rsid w:val="00B54D21"/>
    <w:rsid w:val="00B55906"/>
    <w:rsid w:val="00B55DF2"/>
    <w:rsid w:val="00B563A7"/>
    <w:rsid w:val="00B5759D"/>
    <w:rsid w:val="00B57A8A"/>
    <w:rsid w:val="00B605F6"/>
    <w:rsid w:val="00B645D1"/>
    <w:rsid w:val="00B65D13"/>
    <w:rsid w:val="00B67266"/>
    <w:rsid w:val="00B67BC5"/>
    <w:rsid w:val="00B67C72"/>
    <w:rsid w:val="00B708C5"/>
    <w:rsid w:val="00B71682"/>
    <w:rsid w:val="00B73A09"/>
    <w:rsid w:val="00B73ECB"/>
    <w:rsid w:val="00B74873"/>
    <w:rsid w:val="00B75417"/>
    <w:rsid w:val="00B75585"/>
    <w:rsid w:val="00B75BC3"/>
    <w:rsid w:val="00B7620C"/>
    <w:rsid w:val="00B82E94"/>
    <w:rsid w:val="00B830A5"/>
    <w:rsid w:val="00B8377B"/>
    <w:rsid w:val="00B84CFC"/>
    <w:rsid w:val="00B85093"/>
    <w:rsid w:val="00B867E1"/>
    <w:rsid w:val="00B92D46"/>
    <w:rsid w:val="00B940D3"/>
    <w:rsid w:val="00B96747"/>
    <w:rsid w:val="00B967E7"/>
    <w:rsid w:val="00B96814"/>
    <w:rsid w:val="00B96C9B"/>
    <w:rsid w:val="00BA1AF8"/>
    <w:rsid w:val="00BA2F10"/>
    <w:rsid w:val="00BA3819"/>
    <w:rsid w:val="00BA3C29"/>
    <w:rsid w:val="00BA469F"/>
    <w:rsid w:val="00BA6949"/>
    <w:rsid w:val="00BB32F0"/>
    <w:rsid w:val="00BB74A3"/>
    <w:rsid w:val="00BC3C3D"/>
    <w:rsid w:val="00BC7C31"/>
    <w:rsid w:val="00BD075F"/>
    <w:rsid w:val="00BD0C76"/>
    <w:rsid w:val="00BD3460"/>
    <w:rsid w:val="00BD5805"/>
    <w:rsid w:val="00BE2737"/>
    <w:rsid w:val="00BE54D5"/>
    <w:rsid w:val="00BE6634"/>
    <w:rsid w:val="00BF2B03"/>
    <w:rsid w:val="00BF63A0"/>
    <w:rsid w:val="00C036C0"/>
    <w:rsid w:val="00C06BD2"/>
    <w:rsid w:val="00C104B2"/>
    <w:rsid w:val="00C1125D"/>
    <w:rsid w:val="00C11C61"/>
    <w:rsid w:val="00C14231"/>
    <w:rsid w:val="00C175F4"/>
    <w:rsid w:val="00C25DE2"/>
    <w:rsid w:val="00C27FB8"/>
    <w:rsid w:val="00C30247"/>
    <w:rsid w:val="00C31D78"/>
    <w:rsid w:val="00C32477"/>
    <w:rsid w:val="00C34B1F"/>
    <w:rsid w:val="00C362FF"/>
    <w:rsid w:val="00C36F24"/>
    <w:rsid w:val="00C37C4E"/>
    <w:rsid w:val="00C40EBF"/>
    <w:rsid w:val="00C440B1"/>
    <w:rsid w:val="00C45C6F"/>
    <w:rsid w:val="00C45E0C"/>
    <w:rsid w:val="00C47BE3"/>
    <w:rsid w:val="00C5005E"/>
    <w:rsid w:val="00C500D3"/>
    <w:rsid w:val="00C5101F"/>
    <w:rsid w:val="00C5163F"/>
    <w:rsid w:val="00C527DB"/>
    <w:rsid w:val="00C52819"/>
    <w:rsid w:val="00C52E0A"/>
    <w:rsid w:val="00C53857"/>
    <w:rsid w:val="00C615D6"/>
    <w:rsid w:val="00C61AA3"/>
    <w:rsid w:val="00C61DA6"/>
    <w:rsid w:val="00C64A53"/>
    <w:rsid w:val="00C64AA5"/>
    <w:rsid w:val="00C65C38"/>
    <w:rsid w:val="00C65DE7"/>
    <w:rsid w:val="00C66534"/>
    <w:rsid w:val="00C67A6D"/>
    <w:rsid w:val="00C701E7"/>
    <w:rsid w:val="00C7046D"/>
    <w:rsid w:val="00C70642"/>
    <w:rsid w:val="00C73037"/>
    <w:rsid w:val="00C7343F"/>
    <w:rsid w:val="00C74E37"/>
    <w:rsid w:val="00C75413"/>
    <w:rsid w:val="00C76D3B"/>
    <w:rsid w:val="00C77C60"/>
    <w:rsid w:val="00C81188"/>
    <w:rsid w:val="00C8594F"/>
    <w:rsid w:val="00C87ADC"/>
    <w:rsid w:val="00C928FB"/>
    <w:rsid w:val="00C92925"/>
    <w:rsid w:val="00C92B09"/>
    <w:rsid w:val="00C92FF1"/>
    <w:rsid w:val="00C93729"/>
    <w:rsid w:val="00C945BA"/>
    <w:rsid w:val="00C9758C"/>
    <w:rsid w:val="00C977FC"/>
    <w:rsid w:val="00CA23BD"/>
    <w:rsid w:val="00CA6D7D"/>
    <w:rsid w:val="00CA6F66"/>
    <w:rsid w:val="00CA726F"/>
    <w:rsid w:val="00CB1FC4"/>
    <w:rsid w:val="00CB2CD3"/>
    <w:rsid w:val="00CB6210"/>
    <w:rsid w:val="00CC1E75"/>
    <w:rsid w:val="00CC6186"/>
    <w:rsid w:val="00CD22E0"/>
    <w:rsid w:val="00CD5659"/>
    <w:rsid w:val="00CD5814"/>
    <w:rsid w:val="00CD725D"/>
    <w:rsid w:val="00CE1288"/>
    <w:rsid w:val="00CE3D79"/>
    <w:rsid w:val="00CE726B"/>
    <w:rsid w:val="00CE7819"/>
    <w:rsid w:val="00CF7B94"/>
    <w:rsid w:val="00D0109F"/>
    <w:rsid w:val="00D0174E"/>
    <w:rsid w:val="00D05A32"/>
    <w:rsid w:val="00D1328C"/>
    <w:rsid w:val="00D1482C"/>
    <w:rsid w:val="00D235C8"/>
    <w:rsid w:val="00D244F5"/>
    <w:rsid w:val="00D273DE"/>
    <w:rsid w:val="00D27D1C"/>
    <w:rsid w:val="00D316FB"/>
    <w:rsid w:val="00D3346D"/>
    <w:rsid w:val="00D334B5"/>
    <w:rsid w:val="00D34738"/>
    <w:rsid w:val="00D35783"/>
    <w:rsid w:val="00D36806"/>
    <w:rsid w:val="00D442B8"/>
    <w:rsid w:val="00D444D1"/>
    <w:rsid w:val="00D463AA"/>
    <w:rsid w:val="00D506AF"/>
    <w:rsid w:val="00D507E8"/>
    <w:rsid w:val="00D50821"/>
    <w:rsid w:val="00D510CF"/>
    <w:rsid w:val="00D532B0"/>
    <w:rsid w:val="00D55E7F"/>
    <w:rsid w:val="00D56590"/>
    <w:rsid w:val="00D5670C"/>
    <w:rsid w:val="00D62117"/>
    <w:rsid w:val="00D63DAD"/>
    <w:rsid w:val="00D66005"/>
    <w:rsid w:val="00D6600E"/>
    <w:rsid w:val="00D707CC"/>
    <w:rsid w:val="00D71AFD"/>
    <w:rsid w:val="00D72381"/>
    <w:rsid w:val="00D724F8"/>
    <w:rsid w:val="00D775A0"/>
    <w:rsid w:val="00D77FF9"/>
    <w:rsid w:val="00D808BC"/>
    <w:rsid w:val="00D81746"/>
    <w:rsid w:val="00D81865"/>
    <w:rsid w:val="00D8228F"/>
    <w:rsid w:val="00D828F5"/>
    <w:rsid w:val="00D82FBB"/>
    <w:rsid w:val="00D8334D"/>
    <w:rsid w:val="00D836F4"/>
    <w:rsid w:val="00D87BB3"/>
    <w:rsid w:val="00D908AA"/>
    <w:rsid w:val="00D9180B"/>
    <w:rsid w:val="00D968B8"/>
    <w:rsid w:val="00D96AB3"/>
    <w:rsid w:val="00D96F8F"/>
    <w:rsid w:val="00DA13AE"/>
    <w:rsid w:val="00DA34F1"/>
    <w:rsid w:val="00DA539D"/>
    <w:rsid w:val="00DA77F9"/>
    <w:rsid w:val="00DB1E10"/>
    <w:rsid w:val="00DB2BCE"/>
    <w:rsid w:val="00DB2EE5"/>
    <w:rsid w:val="00DB3350"/>
    <w:rsid w:val="00DB4A0D"/>
    <w:rsid w:val="00DB55F4"/>
    <w:rsid w:val="00DC0478"/>
    <w:rsid w:val="00DC0D1A"/>
    <w:rsid w:val="00DC2118"/>
    <w:rsid w:val="00DC4A4D"/>
    <w:rsid w:val="00DD09A4"/>
    <w:rsid w:val="00DD0ED4"/>
    <w:rsid w:val="00DD1275"/>
    <w:rsid w:val="00DD132E"/>
    <w:rsid w:val="00DD1AAC"/>
    <w:rsid w:val="00DD21C0"/>
    <w:rsid w:val="00DD7B68"/>
    <w:rsid w:val="00DE47D2"/>
    <w:rsid w:val="00DE53F2"/>
    <w:rsid w:val="00DE5455"/>
    <w:rsid w:val="00DE6A71"/>
    <w:rsid w:val="00DF00E9"/>
    <w:rsid w:val="00DF1096"/>
    <w:rsid w:val="00DF229E"/>
    <w:rsid w:val="00DF325E"/>
    <w:rsid w:val="00DF57C6"/>
    <w:rsid w:val="00DF5D04"/>
    <w:rsid w:val="00DF7D20"/>
    <w:rsid w:val="00E01E24"/>
    <w:rsid w:val="00E024B7"/>
    <w:rsid w:val="00E0268C"/>
    <w:rsid w:val="00E033D3"/>
    <w:rsid w:val="00E055B6"/>
    <w:rsid w:val="00E12A37"/>
    <w:rsid w:val="00E14342"/>
    <w:rsid w:val="00E15CF5"/>
    <w:rsid w:val="00E15E39"/>
    <w:rsid w:val="00E1648C"/>
    <w:rsid w:val="00E17E1C"/>
    <w:rsid w:val="00E20C96"/>
    <w:rsid w:val="00E214CC"/>
    <w:rsid w:val="00E21627"/>
    <w:rsid w:val="00E236A0"/>
    <w:rsid w:val="00E25194"/>
    <w:rsid w:val="00E25E86"/>
    <w:rsid w:val="00E26049"/>
    <w:rsid w:val="00E264DE"/>
    <w:rsid w:val="00E2691D"/>
    <w:rsid w:val="00E27DC7"/>
    <w:rsid w:val="00E3076F"/>
    <w:rsid w:val="00E319F1"/>
    <w:rsid w:val="00E33DA7"/>
    <w:rsid w:val="00E34BE2"/>
    <w:rsid w:val="00E34F0C"/>
    <w:rsid w:val="00E35294"/>
    <w:rsid w:val="00E356A4"/>
    <w:rsid w:val="00E35F13"/>
    <w:rsid w:val="00E3636B"/>
    <w:rsid w:val="00E37FED"/>
    <w:rsid w:val="00E40E10"/>
    <w:rsid w:val="00E43D41"/>
    <w:rsid w:val="00E4476B"/>
    <w:rsid w:val="00E477B9"/>
    <w:rsid w:val="00E50CB2"/>
    <w:rsid w:val="00E51FDF"/>
    <w:rsid w:val="00E53D33"/>
    <w:rsid w:val="00E56560"/>
    <w:rsid w:val="00E619AC"/>
    <w:rsid w:val="00E62317"/>
    <w:rsid w:val="00E62A07"/>
    <w:rsid w:val="00E642C7"/>
    <w:rsid w:val="00E666E3"/>
    <w:rsid w:val="00E67729"/>
    <w:rsid w:val="00E71A60"/>
    <w:rsid w:val="00E71C95"/>
    <w:rsid w:val="00E72205"/>
    <w:rsid w:val="00E734BA"/>
    <w:rsid w:val="00E74657"/>
    <w:rsid w:val="00E76F5B"/>
    <w:rsid w:val="00E8132F"/>
    <w:rsid w:val="00E81E82"/>
    <w:rsid w:val="00E837F0"/>
    <w:rsid w:val="00E84CDF"/>
    <w:rsid w:val="00E85309"/>
    <w:rsid w:val="00E86411"/>
    <w:rsid w:val="00E86A10"/>
    <w:rsid w:val="00E87630"/>
    <w:rsid w:val="00E87B7A"/>
    <w:rsid w:val="00E907C3"/>
    <w:rsid w:val="00E90C14"/>
    <w:rsid w:val="00E90C6C"/>
    <w:rsid w:val="00E93FB8"/>
    <w:rsid w:val="00E97049"/>
    <w:rsid w:val="00E97C5F"/>
    <w:rsid w:val="00E97F2F"/>
    <w:rsid w:val="00EA28D5"/>
    <w:rsid w:val="00EA453B"/>
    <w:rsid w:val="00EA4B38"/>
    <w:rsid w:val="00EB5EF4"/>
    <w:rsid w:val="00EC0EC2"/>
    <w:rsid w:val="00EC0F19"/>
    <w:rsid w:val="00EC3180"/>
    <w:rsid w:val="00EC6572"/>
    <w:rsid w:val="00ED0363"/>
    <w:rsid w:val="00ED0639"/>
    <w:rsid w:val="00ED1C34"/>
    <w:rsid w:val="00ED1D6A"/>
    <w:rsid w:val="00ED39E2"/>
    <w:rsid w:val="00ED3E05"/>
    <w:rsid w:val="00ED41B3"/>
    <w:rsid w:val="00ED5D3A"/>
    <w:rsid w:val="00ED669A"/>
    <w:rsid w:val="00EE0D11"/>
    <w:rsid w:val="00EE2822"/>
    <w:rsid w:val="00EE451F"/>
    <w:rsid w:val="00EE4DF8"/>
    <w:rsid w:val="00EE4EE7"/>
    <w:rsid w:val="00EE583D"/>
    <w:rsid w:val="00EE5D2A"/>
    <w:rsid w:val="00EE5D98"/>
    <w:rsid w:val="00EE6226"/>
    <w:rsid w:val="00EE6D3E"/>
    <w:rsid w:val="00EF0BAA"/>
    <w:rsid w:val="00EF2C20"/>
    <w:rsid w:val="00EF5606"/>
    <w:rsid w:val="00EF696D"/>
    <w:rsid w:val="00F00A0D"/>
    <w:rsid w:val="00F0184F"/>
    <w:rsid w:val="00F0553F"/>
    <w:rsid w:val="00F062E5"/>
    <w:rsid w:val="00F10003"/>
    <w:rsid w:val="00F10B45"/>
    <w:rsid w:val="00F139FF"/>
    <w:rsid w:val="00F14011"/>
    <w:rsid w:val="00F15416"/>
    <w:rsid w:val="00F1628F"/>
    <w:rsid w:val="00F1692F"/>
    <w:rsid w:val="00F216AA"/>
    <w:rsid w:val="00F218F3"/>
    <w:rsid w:val="00F233D2"/>
    <w:rsid w:val="00F25E4C"/>
    <w:rsid w:val="00F26573"/>
    <w:rsid w:val="00F31F3B"/>
    <w:rsid w:val="00F3260B"/>
    <w:rsid w:val="00F3434C"/>
    <w:rsid w:val="00F34BAE"/>
    <w:rsid w:val="00F3554F"/>
    <w:rsid w:val="00F4226D"/>
    <w:rsid w:val="00F42DE2"/>
    <w:rsid w:val="00F431D9"/>
    <w:rsid w:val="00F43290"/>
    <w:rsid w:val="00F441C7"/>
    <w:rsid w:val="00F464B5"/>
    <w:rsid w:val="00F51912"/>
    <w:rsid w:val="00F5284B"/>
    <w:rsid w:val="00F52E6C"/>
    <w:rsid w:val="00F53492"/>
    <w:rsid w:val="00F537CD"/>
    <w:rsid w:val="00F53DA7"/>
    <w:rsid w:val="00F5402A"/>
    <w:rsid w:val="00F54644"/>
    <w:rsid w:val="00F558CF"/>
    <w:rsid w:val="00F604DE"/>
    <w:rsid w:val="00F6191B"/>
    <w:rsid w:val="00F63222"/>
    <w:rsid w:val="00F632A6"/>
    <w:rsid w:val="00F64601"/>
    <w:rsid w:val="00F65DE8"/>
    <w:rsid w:val="00F66B2A"/>
    <w:rsid w:val="00F670B2"/>
    <w:rsid w:val="00F70685"/>
    <w:rsid w:val="00F72AAE"/>
    <w:rsid w:val="00F74ED2"/>
    <w:rsid w:val="00F75847"/>
    <w:rsid w:val="00F8213B"/>
    <w:rsid w:val="00F84B40"/>
    <w:rsid w:val="00F857D3"/>
    <w:rsid w:val="00F860A0"/>
    <w:rsid w:val="00F8701E"/>
    <w:rsid w:val="00F8750E"/>
    <w:rsid w:val="00F91056"/>
    <w:rsid w:val="00F9370A"/>
    <w:rsid w:val="00F943E7"/>
    <w:rsid w:val="00F971C6"/>
    <w:rsid w:val="00F97527"/>
    <w:rsid w:val="00F97532"/>
    <w:rsid w:val="00F97CAD"/>
    <w:rsid w:val="00FA0427"/>
    <w:rsid w:val="00FA0671"/>
    <w:rsid w:val="00FA073B"/>
    <w:rsid w:val="00FA1E53"/>
    <w:rsid w:val="00FA35B6"/>
    <w:rsid w:val="00FA40AA"/>
    <w:rsid w:val="00FA47B3"/>
    <w:rsid w:val="00FA5FF4"/>
    <w:rsid w:val="00FA7392"/>
    <w:rsid w:val="00FB07B4"/>
    <w:rsid w:val="00FB0A0C"/>
    <w:rsid w:val="00FB3B33"/>
    <w:rsid w:val="00FB46C9"/>
    <w:rsid w:val="00FB54B4"/>
    <w:rsid w:val="00FB568F"/>
    <w:rsid w:val="00FB63CB"/>
    <w:rsid w:val="00FB6600"/>
    <w:rsid w:val="00FC0DA1"/>
    <w:rsid w:val="00FC38C6"/>
    <w:rsid w:val="00FD0F1F"/>
    <w:rsid w:val="00FD1387"/>
    <w:rsid w:val="00FE055D"/>
    <w:rsid w:val="00FE0AED"/>
    <w:rsid w:val="00FE2676"/>
    <w:rsid w:val="00FE3A11"/>
    <w:rsid w:val="00FF2888"/>
    <w:rsid w:val="00FF3D5C"/>
    <w:rsid w:val="00FF43D4"/>
    <w:rsid w:val="00FF6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399CC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qFormat="1"/>
    <w:lsdException w:name="List 5" w:semiHidden="1" w:unhideWhenUsed="1"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IE-Normal"/>
    <w:qFormat/>
    <w:rsid w:val="00207EC0"/>
    <w:pPr>
      <w:spacing w:before="160" w:after="200" w:line="360" w:lineRule="auto"/>
      <w:ind w:left="284" w:right="397"/>
      <w:jc w:val="both"/>
    </w:pPr>
    <w:rPr>
      <w:rFonts w:ascii="Tahoma" w:eastAsia="Arial" w:hAnsi="Tahoma" w:cs="Times New Roman"/>
      <w:color w:val="000000" w:themeColor="text1"/>
      <w:sz w:val="18"/>
      <w:szCs w:val="20"/>
      <w:lang w:val="en-GB" w:eastAsia="en-US"/>
    </w:rPr>
  </w:style>
  <w:style w:type="paragraph" w:styleId="Heading1">
    <w:name w:val="heading 1"/>
    <w:basedOn w:val="Normal"/>
    <w:next w:val="Normal"/>
    <w:link w:val="Heading1Char"/>
    <w:autoRedefine/>
    <w:uiPriority w:val="9"/>
    <w:qFormat/>
    <w:rsid w:val="00C701E7"/>
    <w:pPr>
      <w:keepNext/>
      <w:keepLines/>
      <w:numPr>
        <w:numId w:val="23"/>
      </w:numPr>
      <w:spacing w:before="960" w:after="0"/>
      <w:outlineLvl w:val="0"/>
    </w:pPr>
    <w:rPr>
      <w:rFonts w:eastAsiaTheme="minorEastAsia"/>
      <w:b/>
      <w:bCs/>
      <w:color w:val="FFD579"/>
      <w:sz w:val="32"/>
      <w:szCs w:val="28"/>
    </w:rPr>
  </w:style>
  <w:style w:type="paragraph" w:styleId="Heading2">
    <w:name w:val="heading 2"/>
    <w:basedOn w:val="Body3"/>
    <w:link w:val="Heading2Char"/>
    <w:autoRedefine/>
    <w:uiPriority w:val="9"/>
    <w:qFormat/>
    <w:rsid w:val="0071392B"/>
    <w:pPr>
      <w:keepLines/>
      <w:spacing w:before="120" w:after="0" w:line="276" w:lineRule="auto"/>
      <w:ind w:left="284" w:right="397"/>
      <w:outlineLvl w:val="1"/>
    </w:pPr>
    <w:rPr>
      <w:b/>
      <w:color w:val="000000" w:themeColor="text1"/>
      <w:sz w:val="28"/>
      <w:lang w:eastAsia="ja-JP"/>
    </w:rPr>
  </w:style>
  <w:style w:type="paragraph" w:styleId="Heading3">
    <w:name w:val="heading 3"/>
    <w:basedOn w:val="Body3"/>
    <w:link w:val="Heading3Char"/>
    <w:autoRedefine/>
    <w:uiPriority w:val="9"/>
    <w:qFormat/>
    <w:rsid w:val="00F53DA7"/>
    <w:pPr>
      <w:keepNext/>
      <w:tabs>
        <w:tab w:val="left" w:pos="1418"/>
      </w:tabs>
      <w:spacing w:before="360" w:after="0" w:line="276" w:lineRule="auto"/>
      <w:ind w:right="397"/>
      <w:outlineLvl w:val="2"/>
    </w:pPr>
    <w:rPr>
      <w:rFonts w:cs="Times New Roman (Body CS)"/>
      <w:color w:val="4472C4" w:themeColor="accent1"/>
      <w:sz w:val="28"/>
      <w:szCs w:val="22"/>
      <w:lang w:val="en-US" w:eastAsia="en-GB"/>
    </w:rPr>
  </w:style>
  <w:style w:type="paragraph" w:styleId="Heading4">
    <w:name w:val="heading 4"/>
    <w:basedOn w:val="Normal"/>
    <w:next w:val="Normal"/>
    <w:link w:val="Heading4Char"/>
    <w:autoRedefine/>
    <w:uiPriority w:val="9"/>
    <w:unhideWhenUsed/>
    <w:qFormat/>
    <w:rsid w:val="00C31D78"/>
    <w:pPr>
      <w:keepNext/>
      <w:keepLines/>
      <w:spacing w:before="200" w:after="0"/>
      <w:ind w:left="0"/>
      <w:outlineLvl w:val="3"/>
    </w:pPr>
    <w:rPr>
      <w:rFonts w:eastAsiaTheme="majorEastAsia" w:cstheme="majorBidi"/>
      <w:b/>
      <w:bCs/>
      <w:iCs/>
      <w:color w:val="FFCC66"/>
      <w:sz w:val="24"/>
      <w:szCs w:val="24"/>
    </w:rPr>
  </w:style>
  <w:style w:type="paragraph" w:styleId="Heading5">
    <w:name w:val="heading 5"/>
    <w:basedOn w:val="Normal"/>
    <w:next w:val="Normal"/>
    <w:link w:val="Heading5Char"/>
    <w:autoRedefine/>
    <w:uiPriority w:val="9"/>
    <w:unhideWhenUsed/>
    <w:qFormat/>
    <w:rsid w:val="00276916"/>
    <w:pPr>
      <w:keepLines/>
      <w:spacing w:before="200" w:after="0"/>
      <w:outlineLvl w:val="4"/>
    </w:pPr>
    <w:rPr>
      <w:rFonts w:eastAsiaTheme="majorEastAsia" w:cstheme="majorBidi"/>
      <w:szCs w:val="24"/>
    </w:rPr>
  </w:style>
  <w:style w:type="paragraph" w:styleId="Heading6">
    <w:name w:val="heading 6"/>
    <w:basedOn w:val="Body4"/>
    <w:next w:val="Normal"/>
    <w:link w:val="Heading6Char"/>
    <w:autoRedefine/>
    <w:qFormat/>
    <w:rsid w:val="009E5B0A"/>
    <w:pPr>
      <w:keepNext/>
      <w:spacing w:before="120" w:after="120" w:line="276" w:lineRule="auto"/>
      <w:ind w:left="0"/>
      <w:outlineLvl w:val="5"/>
    </w:pPr>
    <w:rPr>
      <w:rFonts w:cs="Arial"/>
      <w:b/>
      <w:bCs w:val="0"/>
      <w:lang w:eastAsia="de-DE"/>
    </w:rPr>
  </w:style>
  <w:style w:type="paragraph" w:styleId="Heading7">
    <w:name w:val="heading 7"/>
    <w:basedOn w:val="Normal"/>
    <w:next w:val="Normal"/>
    <w:link w:val="Heading7Char"/>
    <w:autoRedefine/>
    <w:uiPriority w:val="9"/>
    <w:qFormat/>
    <w:rsid w:val="002D1FDB"/>
    <w:pPr>
      <w:spacing w:after="120" w:line="276" w:lineRule="auto"/>
      <w:ind w:left="34" w:right="34"/>
      <w:jc w:val="center"/>
      <w:outlineLvl w:val="6"/>
    </w:pPr>
    <w:rPr>
      <w:b/>
      <w:snapToGrid w:val="0"/>
      <w:lang w:eastAsia="en-GB"/>
    </w:rPr>
  </w:style>
  <w:style w:type="paragraph" w:styleId="Heading8">
    <w:name w:val="heading 8"/>
    <w:basedOn w:val="Normal"/>
    <w:next w:val="Normal"/>
    <w:link w:val="Heading8Char"/>
    <w:autoRedefine/>
    <w:uiPriority w:val="9"/>
    <w:qFormat/>
    <w:rsid w:val="008457AD"/>
    <w:pPr>
      <w:spacing w:before="120" w:after="60" w:line="276" w:lineRule="auto"/>
      <w:ind w:left="0" w:right="232"/>
      <w:outlineLvl w:val="7"/>
    </w:pPr>
    <w:rPr>
      <w:b/>
      <w:sz w:val="17"/>
      <w:lang w:eastAsia="en-GB"/>
    </w:rPr>
  </w:style>
  <w:style w:type="paragraph" w:styleId="Heading9">
    <w:name w:val="heading 9"/>
    <w:basedOn w:val="Normal"/>
    <w:next w:val="Normal"/>
    <w:link w:val="Heading9Char"/>
    <w:autoRedefine/>
    <w:qFormat/>
    <w:rsid w:val="0099477B"/>
    <w:pPr>
      <w:tabs>
        <w:tab w:val="left" w:pos="2018"/>
        <w:tab w:val="left" w:pos="2302"/>
        <w:tab w:val="left" w:pos="8222"/>
      </w:tabs>
      <w:spacing w:line="240" w:lineRule="auto"/>
      <w:outlineLvl w:val="8"/>
    </w:pPr>
    <w:rPr>
      <w:b/>
      <w:color w:val="FF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701E7"/>
    <w:rPr>
      <w:rFonts w:ascii="Tahoma" w:hAnsi="Tahoma" w:cs="Times New Roman"/>
      <w:b/>
      <w:bCs/>
      <w:color w:val="FFD579"/>
      <w:sz w:val="32"/>
      <w:szCs w:val="28"/>
      <w:lang w:val="en-GB" w:eastAsia="en-US"/>
    </w:rPr>
  </w:style>
  <w:style w:type="character" w:customStyle="1" w:styleId="Heading2Char">
    <w:name w:val="Heading 2 Char"/>
    <w:link w:val="Heading2"/>
    <w:uiPriority w:val="9"/>
    <w:rsid w:val="0071392B"/>
    <w:rPr>
      <w:rFonts w:ascii="Tahoma" w:eastAsia="HGPMinchoE" w:hAnsi="Tahoma" w:cs="Times New Roman"/>
      <w:b/>
      <w:bCs/>
      <w:color w:val="000000" w:themeColor="text1"/>
      <w:sz w:val="28"/>
      <w:szCs w:val="18"/>
      <w:lang w:val="en-GB"/>
    </w:rPr>
  </w:style>
  <w:style w:type="character" w:customStyle="1" w:styleId="Heading3Char">
    <w:name w:val="Heading 3 Char"/>
    <w:link w:val="Heading3"/>
    <w:uiPriority w:val="9"/>
    <w:rsid w:val="00F53DA7"/>
    <w:rPr>
      <w:rFonts w:ascii="Tahoma" w:eastAsia="HGPMinchoE" w:hAnsi="Tahoma" w:cs="Times New Roman (Body CS)"/>
      <w:bCs/>
      <w:color w:val="4472C4" w:themeColor="accent1"/>
      <w:sz w:val="28"/>
      <w:szCs w:val="22"/>
      <w:lang w:eastAsia="en-GB"/>
    </w:rPr>
  </w:style>
  <w:style w:type="character" w:customStyle="1" w:styleId="Heading4Char">
    <w:name w:val="Heading 4 Char"/>
    <w:basedOn w:val="DefaultParagraphFont"/>
    <w:link w:val="Heading4"/>
    <w:uiPriority w:val="9"/>
    <w:rsid w:val="00C31D78"/>
    <w:rPr>
      <w:rFonts w:ascii="Tahoma" w:eastAsiaTheme="majorEastAsia" w:hAnsi="Tahoma" w:cstheme="majorBidi"/>
      <w:b/>
      <w:bCs/>
      <w:iCs/>
      <w:color w:val="FFCC66"/>
      <w:lang w:val="en-GB" w:eastAsia="en-US"/>
    </w:rPr>
  </w:style>
  <w:style w:type="character" w:customStyle="1" w:styleId="Heading5Char">
    <w:name w:val="Heading 5 Char"/>
    <w:basedOn w:val="DefaultParagraphFont"/>
    <w:link w:val="Heading5"/>
    <w:uiPriority w:val="9"/>
    <w:rsid w:val="00276916"/>
    <w:rPr>
      <w:rFonts w:ascii="Tahoma" w:eastAsiaTheme="majorEastAsia" w:hAnsi="Tahoma" w:cstheme="majorBidi"/>
      <w:noProof/>
      <w:color w:val="3B3838" w:themeColor="background2" w:themeShade="40"/>
      <w:sz w:val="20"/>
      <w:lang w:val="en-GB" w:eastAsia="en-US"/>
    </w:rPr>
  </w:style>
  <w:style w:type="paragraph" w:customStyle="1" w:styleId="Body4">
    <w:name w:val="Body 4"/>
    <w:basedOn w:val="Body3"/>
    <w:autoRedefine/>
    <w:qFormat/>
    <w:rsid w:val="009E5B0A"/>
    <w:pPr>
      <w:tabs>
        <w:tab w:val="left" w:pos="1060"/>
      </w:tabs>
      <w:spacing w:after="200"/>
      <w:ind w:left="284" w:right="57"/>
    </w:pPr>
  </w:style>
  <w:style w:type="paragraph" w:customStyle="1" w:styleId="Body3">
    <w:name w:val="Body 3"/>
    <w:autoRedefine/>
    <w:qFormat/>
    <w:rsid w:val="006B4C85"/>
    <w:pPr>
      <w:tabs>
        <w:tab w:val="left" w:pos="580"/>
      </w:tabs>
      <w:spacing w:after="120" w:line="269" w:lineRule="auto"/>
    </w:pPr>
    <w:rPr>
      <w:rFonts w:ascii="Tahoma" w:eastAsia="HGPMinchoE" w:hAnsi="Tahoma" w:cs="Times New Roman"/>
      <w:bCs/>
      <w:color w:val="171717" w:themeColor="background2" w:themeShade="1A"/>
      <w:sz w:val="18"/>
      <w:szCs w:val="18"/>
      <w:lang w:val="en-GB" w:eastAsia="fi-FI"/>
    </w:rPr>
  </w:style>
  <w:style w:type="character" w:customStyle="1" w:styleId="Heading6Char">
    <w:name w:val="Heading 6 Char"/>
    <w:link w:val="Heading6"/>
    <w:rsid w:val="009E5B0A"/>
    <w:rPr>
      <w:rFonts w:ascii="Tahoma" w:eastAsia="HGPMinchoE" w:hAnsi="Tahoma" w:cs="Arial"/>
      <w:b/>
      <w:bCs/>
      <w:color w:val="171717" w:themeColor="background2" w:themeShade="1A"/>
      <w:sz w:val="20"/>
      <w:szCs w:val="18"/>
      <w:lang w:val="en-GB" w:eastAsia="de-DE"/>
    </w:rPr>
  </w:style>
  <w:style w:type="character" w:customStyle="1" w:styleId="Heading7Char">
    <w:name w:val="Heading 7 Char"/>
    <w:link w:val="Heading7"/>
    <w:uiPriority w:val="9"/>
    <w:rsid w:val="002D1FDB"/>
    <w:rPr>
      <w:rFonts w:ascii="Tahoma" w:eastAsia="Arial" w:hAnsi="Tahoma" w:cs="Times New Roman"/>
      <w:b/>
      <w:noProof/>
      <w:snapToGrid w:val="0"/>
      <w:color w:val="3B3838" w:themeColor="background2" w:themeShade="40"/>
      <w:sz w:val="20"/>
      <w:szCs w:val="20"/>
      <w:lang w:val="en-GB" w:eastAsia="en-GB"/>
    </w:rPr>
  </w:style>
  <w:style w:type="character" w:customStyle="1" w:styleId="Heading8Char">
    <w:name w:val="Heading 8 Char"/>
    <w:link w:val="Heading8"/>
    <w:uiPriority w:val="9"/>
    <w:rsid w:val="008457AD"/>
    <w:rPr>
      <w:rFonts w:ascii="Tahoma" w:eastAsia="Arial" w:hAnsi="Tahoma" w:cs="Times New Roman"/>
      <w:b/>
      <w:color w:val="171717" w:themeColor="background2" w:themeShade="1A"/>
      <w:sz w:val="17"/>
      <w:szCs w:val="20"/>
      <w:lang w:val="en-GB" w:eastAsia="en-GB"/>
    </w:rPr>
  </w:style>
  <w:style w:type="character" w:customStyle="1" w:styleId="Heading9Char">
    <w:name w:val="Heading 9 Char"/>
    <w:link w:val="Heading9"/>
    <w:rsid w:val="0099477B"/>
    <w:rPr>
      <w:rFonts w:ascii="Tahoma" w:eastAsia="Times New Roman" w:hAnsi="Tahoma"/>
      <w:b/>
      <w:color w:val="FF0000"/>
      <w:sz w:val="22"/>
      <w:szCs w:val="22"/>
      <w:lang w:val="en-GB" w:eastAsia="en-GB"/>
    </w:rPr>
  </w:style>
  <w:style w:type="paragraph" w:customStyle="1" w:styleId="Footnote">
    <w:name w:val="Footnote"/>
    <w:link w:val="FootnoteMerkki"/>
    <w:autoRedefine/>
    <w:qFormat/>
    <w:rsid w:val="00F971C6"/>
    <w:pPr>
      <w:spacing w:line="264" w:lineRule="auto"/>
      <w:ind w:right="357"/>
      <w:jc w:val="both"/>
    </w:pPr>
    <w:rPr>
      <w:rFonts w:ascii="Tahoma" w:eastAsia="Tamil MN" w:hAnsi="Tahoma" w:cs="Tamil MN"/>
      <w:bCs/>
      <w:color w:val="008080"/>
      <w:sz w:val="16"/>
      <w:szCs w:val="66"/>
      <w:bdr w:val="nil"/>
      <w:lang w:eastAsia="en-US"/>
    </w:rPr>
  </w:style>
  <w:style w:type="character" w:customStyle="1" w:styleId="FootnoteMerkki">
    <w:name w:val="Footnote Merkki"/>
    <w:basedOn w:val="FootnoteTextChar"/>
    <w:link w:val="Footnote"/>
    <w:rsid w:val="00F971C6"/>
    <w:rPr>
      <w:rFonts w:ascii="Tahoma" w:eastAsia="Tamil MN" w:hAnsi="Tahoma" w:cs="Tamil MN"/>
      <w:bCs/>
      <w:noProof/>
      <w:color w:val="008080"/>
      <w:sz w:val="16"/>
      <w:szCs w:val="66"/>
      <w:bdr w:val="nil"/>
      <w:lang w:val="en-GB" w:eastAsia="en-US"/>
    </w:rPr>
  </w:style>
  <w:style w:type="character" w:customStyle="1" w:styleId="FootnoteTextChar">
    <w:name w:val="Footnote Text Char"/>
    <w:aliases w:val="Schriftart: 9 pt Char,Schriftart: 10 pt Char,Schriftart: 8 pt Char,WB-Fußnotentext Char,fn Char,footnote text Char,Footnotes Char,Footnote ak Char,FoodNote Char,ft Char,Footnote text Char,Footnote Text Char1 Char"/>
    <w:link w:val="FootnoteText"/>
    <w:rsid w:val="003B0D04"/>
    <w:rPr>
      <w:rFonts w:ascii="Tahoma" w:hAnsi="Tahoma" w:cs="Times New Roman"/>
      <w:color w:val="7F7F7F" w:themeColor="text1" w:themeTint="80"/>
      <w:sz w:val="16"/>
      <w:lang w:val="en-GB" w:eastAsia="en-US"/>
    </w:rPr>
  </w:style>
  <w:style w:type="paragraph" w:styleId="FootnoteText">
    <w:name w:val="footnote text"/>
    <w:aliases w:val="Schriftart: 9 pt,Schriftart: 10 pt,Schriftart: 8 pt,WB-Fußnotentext,fn,footnote text,Footnotes,Footnote ak,FoodNote,ft,Footnote text,Footnote Text Char1,Footnote Text Char Char,Footnote Text Char1 Char Char"/>
    <w:basedOn w:val="Normal"/>
    <w:link w:val="FootnoteTextChar"/>
    <w:autoRedefine/>
    <w:qFormat/>
    <w:rsid w:val="003B0D04"/>
    <w:pPr>
      <w:spacing w:line="288" w:lineRule="auto"/>
      <w:ind w:left="0"/>
    </w:pPr>
    <w:rPr>
      <w:rFonts w:eastAsiaTheme="minorEastAsia"/>
      <w:color w:val="7F7F7F" w:themeColor="text1" w:themeTint="80"/>
      <w:sz w:val="16"/>
      <w:szCs w:val="24"/>
    </w:rPr>
  </w:style>
  <w:style w:type="character" w:styleId="Emphasis">
    <w:name w:val="Emphasis"/>
    <w:basedOn w:val="DefaultParagraphFont"/>
    <w:uiPriority w:val="20"/>
    <w:qFormat/>
    <w:rsid w:val="00F139FF"/>
    <w:rPr>
      <w:rFonts w:ascii="Tamil MN" w:hAnsi="Tamil MN"/>
      <w:i/>
      <w:iCs/>
      <w:color w:val="171717" w:themeColor="background2" w:themeShade="1A"/>
      <w:sz w:val="21"/>
    </w:rPr>
  </w:style>
  <w:style w:type="paragraph" w:styleId="Caption">
    <w:name w:val="caption"/>
    <w:basedOn w:val="Normal"/>
    <w:next w:val="Normal"/>
    <w:link w:val="CaptionChar"/>
    <w:autoRedefine/>
    <w:unhideWhenUsed/>
    <w:qFormat/>
    <w:rsid w:val="00FC0DA1"/>
    <w:pPr>
      <w:spacing w:after="0"/>
      <w:ind w:left="397"/>
    </w:pPr>
    <w:rPr>
      <w:b/>
      <w:bCs/>
    </w:rPr>
  </w:style>
  <w:style w:type="character" w:customStyle="1" w:styleId="CaptionChar">
    <w:name w:val="Caption Char"/>
    <w:link w:val="Caption"/>
    <w:rsid w:val="00FC0DA1"/>
    <w:rPr>
      <w:rFonts w:ascii="Tahoma" w:eastAsia="Arial" w:hAnsi="Tahoma" w:cs="Times New Roman"/>
      <w:b/>
      <w:bCs/>
      <w:color w:val="171717" w:themeColor="background2" w:themeShade="1A"/>
      <w:sz w:val="18"/>
      <w:szCs w:val="20"/>
      <w:lang w:val="en-GB" w:eastAsia="en-US"/>
    </w:rPr>
  </w:style>
  <w:style w:type="paragraph" w:styleId="List2">
    <w:name w:val="List 2"/>
    <w:basedOn w:val="Body3"/>
    <w:uiPriority w:val="99"/>
    <w:unhideWhenUsed/>
    <w:qFormat/>
    <w:rsid w:val="008B184D"/>
    <w:pPr>
      <w:numPr>
        <w:numId w:val="11"/>
      </w:numPr>
      <w:ind w:right="567"/>
    </w:pPr>
    <w:rPr>
      <w:rFonts w:eastAsia="Calibri"/>
      <w:color w:val="055283"/>
      <w:szCs w:val="21"/>
    </w:rPr>
  </w:style>
  <w:style w:type="paragraph" w:styleId="TOC1">
    <w:name w:val="toc 1"/>
    <w:basedOn w:val="Body3"/>
    <w:autoRedefine/>
    <w:uiPriority w:val="39"/>
    <w:unhideWhenUsed/>
    <w:qFormat/>
    <w:rsid w:val="00CC6186"/>
    <w:pPr>
      <w:tabs>
        <w:tab w:val="clear" w:pos="580"/>
        <w:tab w:val="left" w:pos="800"/>
        <w:tab w:val="right" w:leader="dot" w:pos="9225"/>
      </w:tabs>
      <w:spacing w:after="0" w:line="360" w:lineRule="auto"/>
    </w:pPr>
    <w:rPr>
      <w:rFonts w:eastAsia="Arial" w:cs="Tahoma"/>
      <w:b/>
      <w:bCs w:val="0"/>
      <w:noProof/>
      <w:sz w:val="20"/>
      <w:szCs w:val="20"/>
      <w:lang w:eastAsia="en-US"/>
    </w:rPr>
  </w:style>
  <w:style w:type="paragraph" w:styleId="Title">
    <w:name w:val="Title"/>
    <w:basedOn w:val="Normal"/>
    <w:link w:val="TitleChar"/>
    <w:autoRedefine/>
    <w:uiPriority w:val="10"/>
    <w:qFormat/>
    <w:rsid w:val="003676F1"/>
    <w:pPr>
      <w:spacing w:before="360" w:after="0"/>
      <w:jc w:val="left"/>
    </w:pPr>
    <w:rPr>
      <w:rFonts w:eastAsia="Batang"/>
      <w:b/>
      <w:bCs/>
      <w:sz w:val="28"/>
      <w:szCs w:val="28"/>
    </w:rPr>
  </w:style>
  <w:style w:type="character" w:customStyle="1" w:styleId="TitleChar">
    <w:name w:val="Title Char"/>
    <w:link w:val="Title"/>
    <w:uiPriority w:val="10"/>
    <w:rsid w:val="003676F1"/>
    <w:rPr>
      <w:rFonts w:ascii="Tahoma" w:eastAsia="Batang" w:hAnsi="Tahoma" w:cs="Times New Roman"/>
      <w:b/>
      <w:bCs/>
      <w:color w:val="000000" w:themeColor="text1"/>
      <w:sz w:val="28"/>
      <w:szCs w:val="28"/>
      <w:lang w:val="en-GB" w:eastAsia="en-US"/>
    </w:rPr>
  </w:style>
  <w:style w:type="paragraph" w:styleId="BalloonText">
    <w:name w:val="Balloon Text"/>
    <w:basedOn w:val="Body3"/>
    <w:link w:val="BalloonTextChar"/>
    <w:autoRedefine/>
    <w:uiPriority w:val="99"/>
    <w:semiHidden/>
    <w:unhideWhenUsed/>
    <w:qFormat/>
    <w:rsid w:val="00967DF6"/>
    <w:pPr>
      <w:spacing w:line="240" w:lineRule="auto"/>
      <w:ind w:left="652"/>
    </w:pPr>
    <w:rPr>
      <w:rFonts w:cs="Lucida Grande"/>
    </w:rPr>
  </w:style>
  <w:style w:type="character" w:customStyle="1" w:styleId="BalloonTextChar">
    <w:name w:val="Balloon Text Char"/>
    <w:basedOn w:val="DefaultParagraphFont"/>
    <w:link w:val="BalloonText"/>
    <w:uiPriority w:val="99"/>
    <w:semiHidden/>
    <w:rsid w:val="00967DF6"/>
    <w:rPr>
      <w:rFonts w:ascii="Tahoma" w:eastAsia="HGPMinchoE" w:hAnsi="Tahoma" w:cs="Lucida Grande"/>
      <w:noProof/>
      <w:color w:val="064676"/>
      <w:sz w:val="18"/>
      <w:szCs w:val="18"/>
      <w:lang w:val="fr-BE" w:eastAsia="fi-FI"/>
    </w:rPr>
  </w:style>
  <w:style w:type="paragraph" w:customStyle="1" w:styleId="SubTitle1">
    <w:name w:val="SubTitle 1"/>
    <w:basedOn w:val="Normal"/>
    <w:next w:val="Normal"/>
    <w:autoRedefine/>
    <w:qFormat/>
    <w:rsid w:val="00C65C38"/>
    <w:pPr>
      <w:spacing w:line="240" w:lineRule="auto"/>
    </w:pPr>
    <w:rPr>
      <w:rFonts w:cs="Tahoma"/>
      <w:b/>
      <w:color w:val="5ABA92"/>
      <w:lang w:eastAsia="sl-SI"/>
    </w:rPr>
  </w:style>
  <w:style w:type="character" w:styleId="FootnoteReference">
    <w:name w:val="footnote reference"/>
    <w:aliases w:val="Footnote symbol,Times 10 Point,Exposant 3 Point"/>
    <w:basedOn w:val="DefaultParagraphFont"/>
    <w:uiPriority w:val="99"/>
    <w:unhideWhenUsed/>
    <w:qFormat/>
    <w:rsid w:val="007E6437"/>
    <w:rPr>
      <w:rFonts w:ascii="Tahoma" w:hAnsi="Tahoma"/>
      <w:b/>
      <w:color w:val="FF0000"/>
      <w:sz w:val="18"/>
      <w:vertAlign w:val="superscript"/>
    </w:rPr>
  </w:style>
  <w:style w:type="paragraph" w:styleId="List5">
    <w:name w:val="List 5"/>
    <w:basedOn w:val="Normal"/>
    <w:autoRedefine/>
    <w:uiPriority w:val="99"/>
    <w:unhideWhenUsed/>
    <w:qFormat/>
    <w:rsid w:val="00AF5897"/>
    <w:pPr>
      <w:numPr>
        <w:numId w:val="4"/>
      </w:numPr>
      <w:spacing w:after="120"/>
    </w:pPr>
    <w:rPr>
      <w:rFonts w:eastAsia="Candara"/>
      <w:b/>
      <w:color w:val="17365D"/>
    </w:rPr>
  </w:style>
  <w:style w:type="paragraph" w:styleId="List4">
    <w:name w:val="List 4"/>
    <w:basedOn w:val="Normal"/>
    <w:autoRedefine/>
    <w:uiPriority w:val="99"/>
    <w:semiHidden/>
    <w:unhideWhenUsed/>
    <w:qFormat/>
    <w:rsid w:val="001917E8"/>
    <w:pPr>
      <w:numPr>
        <w:numId w:val="3"/>
      </w:numPr>
    </w:pPr>
  </w:style>
  <w:style w:type="paragraph" w:customStyle="1" w:styleId="Default">
    <w:name w:val="Default"/>
    <w:link w:val="DefaultMerkki"/>
    <w:autoRedefine/>
    <w:qFormat/>
    <w:rsid w:val="00B10AD9"/>
    <w:pPr>
      <w:widowControl w:val="0"/>
      <w:autoSpaceDE w:val="0"/>
      <w:autoSpaceDN w:val="0"/>
      <w:adjustRightInd w:val="0"/>
      <w:spacing w:before="60" w:after="160" w:line="288" w:lineRule="auto"/>
      <w:jc w:val="both"/>
    </w:pPr>
    <w:rPr>
      <w:rFonts w:ascii="Tahoma" w:eastAsia="Batang" w:hAnsi="Tahoma" w:cs="Tahoma"/>
      <w:color w:val="3B3838" w:themeColor="background2" w:themeShade="40"/>
      <w:sz w:val="18"/>
      <w:szCs w:val="18"/>
      <w:lang w:eastAsia="en-GB"/>
    </w:rPr>
  </w:style>
  <w:style w:type="character" w:customStyle="1" w:styleId="DefaultMerkki">
    <w:name w:val="Default Merkki"/>
    <w:basedOn w:val="DefaultParagraphFont"/>
    <w:link w:val="Default"/>
    <w:rsid w:val="00B10AD9"/>
    <w:rPr>
      <w:rFonts w:ascii="Tahoma" w:eastAsia="Batang" w:hAnsi="Tahoma" w:cs="Tahoma"/>
      <w:color w:val="3B3838" w:themeColor="background2" w:themeShade="40"/>
      <w:sz w:val="18"/>
      <w:szCs w:val="18"/>
      <w:lang w:eastAsia="en-GB"/>
    </w:rPr>
  </w:style>
  <w:style w:type="paragraph" w:styleId="ListBullet2">
    <w:name w:val="List Bullet 2"/>
    <w:basedOn w:val="Normal"/>
    <w:autoRedefine/>
    <w:uiPriority w:val="99"/>
    <w:unhideWhenUsed/>
    <w:qFormat/>
    <w:rsid w:val="005A5C22"/>
    <w:pPr>
      <w:spacing w:after="120" w:line="264" w:lineRule="auto"/>
      <w:ind w:left="66"/>
    </w:pPr>
  </w:style>
  <w:style w:type="paragraph" w:styleId="TOC2">
    <w:name w:val="toc 2"/>
    <w:basedOn w:val="Normal"/>
    <w:next w:val="Normal"/>
    <w:autoRedefine/>
    <w:uiPriority w:val="39"/>
    <w:unhideWhenUsed/>
    <w:qFormat/>
    <w:rsid w:val="00686922"/>
    <w:pPr>
      <w:tabs>
        <w:tab w:val="right" w:leader="dot" w:pos="9225"/>
      </w:tabs>
      <w:spacing w:before="0" w:after="0"/>
      <w:ind w:left="0"/>
    </w:pPr>
    <w:rPr>
      <w:color w:val="auto"/>
      <w:sz w:val="20"/>
    </w:rPr>
  </w:style>
  <w:style w:type="paragraph" w:customStyle="1" w:styleId="font5">
    <w:name w:val="font5"/>
    <w:basedOn w:val="Normal"/>
    <w:autoRedefine/>
    <w:qFormat/>
    <w:rsid w:val="00192F64"/>
    <w:pPr>
      <w:spacing w:after="120" w:line="276" w:lineRule="auto"/>
      <w:jc w:val="left"/>
    </w:pPr>
    <w:rPr>
      <w:rFonts w:eastAsia="HGPMinchoE"/>
      <w:lang w:eastAsia="fi-FI"/>
    </w:rPr>
  </w:style>
  <w:style w:type="character" w:styleId="BookTitle">
    <w:name w:val="Book Title"/>
    <w:basedOn w:val="DefaultParagraphFont"/>
    <w:uiPriority w:val="33"/>
    <w:qFormat/>
    <w:rsid w:val="00596300"/>
    <w:rPr>
      <w:rFonts w:ascii="Tahoma" w:hAnsi="Tahoma"/>
      <w:b w:val="0"/>
      <w:bCs w:val="0"/>
      <w:i w:val="0"/>
      <w:iCs w:val="0"/>
      <w:caps w:val="0"/>
      <w:smallCaps w:val="0"/>
      <w:strike w:val="0"/>
      <w:dstrike w:val="0"/>
      <w:vanish w:val="0"/>
      <w:color w:val="008080"/>
      <w:spacing w:val="0"/>
      <w:w w:val="100"/>
      <w:sz w:val="20"/>
      <w:szCs w:val="20"/>
      <w:bdr w:val="none" w:sz="0" w:space="0" w:color="auto"/>
      <w:shd w:val="clear" w:color="auto" w:fill="auto"/>
      <w:vertAlign w:val="baseline"/>
    </w:rPr>
  </w:style>
  <w:style w:type="paragraph" w:styleId="ListBullet5">
    <w:name w:val="List Bullet 5"/>
    <w:basedOn w:val="Normal"/>
    <w:autoRedefine/>
    <w:uiPriority w:val="99"/>
    <w:unhideWhenUsed/>
    <w:qFormat/>
    <w:rsid w:val="00E72205"/>
    <w:pPr>
      <w:numPr>
        <w:numId w:val="2"/>
      </w:numPr>
      <w:spacing w:line="312" w:lineRule="auto"/>
    </w:pPr>
    <w:rPr>
      <w:rFonts w:cs="Arial"/>
    </w:rPr>
  </w:style>
  <w:style w:type="paragraph" w:styleId="ListParagraph">
    <w:name w:val="List Paragraph"/>
    <w:basedOn w:val="Normal"/>
    <w:link w:val="ListParagraphChar"/>
    <w:autoRedefine/>
    <w:uiPriority w:val="34"/>
    <w:qFormat/>
    <w:rsid w:val="00B02A88"/>
    <w:pPr>
      <w:widowControl w:val="0"/>
      <w:numPr>
        <w:numId w:val="12"/>
      </w:numPr>
      <w:autoSpaceDE w:val="0"/>
      <w:autoSpaceDN w:val="0"/>
      <w:adjustRightInd w:val="0"/>
      <w:spacing w:after="240" w:line="240" w:lineRule="auto"/>
    </w:pPr>
    <w:rPr>
      <w:rFonts w:eastAsiaTheme="minorEastAsia"/>
      <w:lang w:val="en-US" w:eastAsia="fi-FI"/>
    </w:rPr>
  </w:style>
  <w:style w:type="character" w:customStyle="1" w:styleId="ListParagraphChar">
    <w:name w:val="List Paragraph Char"/>
    <w:basedOn w:val="DefaultParagraphFont"/>
    <w:link w:val="ListParagraph"/>
    <w:uiPriority w:val="34"/>
    <w:qFormat/>
    <w:rsid w:val="00B02A88"/>
    <w:rPr>
      <w:rFonts w:ascii="Tahoma" w:hAnsi="Tahoma" w:cs="Times New Roman"/>
      <w:color w:val="000000" w:themeColor="text1"/>
      <w:sz w:val="18"/>
      <w:szCs w:val="20"/>
      <w:lang w:eastAsia="fi-FI"/>
    </w:rPr>
  </w:style>
  <w:style w:type="paragraph" w:customStyle="1" w:styleId="Tabletext">
    <w:name w:val="Table text"/>
    <w:basedOn w:val="TOC1"/>
    <w:link w:val="TabletextMerkki"/>
    <w:autoRedefine/>
    <w:qFormat/>
    <w:rsid w:val="00B67BC5"/>
    <w:pPr>
      <w:tabs>
        <w:tab w:val="right" w:leader="dot" w:pos="8607"/>
      </w:tabs>
    </w:pPr>
    <w:rPr>
      <w:bCs/>
      <w:color w:val="2E74B5" w:themeColor="accent5" w:themeShade="BF"/>
      <w:lang w:eastAsia="fr-FR"/>
    </w:rPr>
  </w:style>
  <w:style w:type="character" w:customStyle="1" w:styleId="TabletextMerkki">
    <w:name w:val="Table text Merkki"/>
    <w:basedOn w:val="DefaultParagraphFont"/>
    <w:link w:val="Tabletext"/>
    <w:rsid w:val="00B67BC5"/>
    <w:rPr>
      <w:rFonts w:ascii="Tahoma" w:eastAsia="Arial" w:hAnsi="Tahoma" w:cs="Tahoma"/>
      <w:bCs/>
      <w:noProof/>
      <w:color w:val="2E74B5" w:themeColor="accent5" w:themeShade="BF"/>
      <w:sz w:val="18"/>
      <w:lang w:eastAsia="fr-FR"/>
    </w:rPr>
  </w:style>
  <w:style w:type="table" w:styleId="ColorfulShading-Accent6">
    <w:name w:val="Colorful Shading Accent 6"/>
    <w:basedOn w:val="TableNormal"/>
    <w:uiPriority w:val="71"/>
    <w:rsid w:val="00967DF6"/>
    <w:rPr>
      <w:rFonts w:ascii="Tahoma" w:hAnsi="Tahoma"/>
      <w:color w:val="000000" w:themeColor="text1"/>
      <w:sz w:val="18"/>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MessageHeader">
    <w:name w:val="Message Header"/>
    <w:basedOn w:val="Body3"/>
    <w:link w:val="MessageHeaderChar"/>
    <w:autoRedefine/>
    <w:uiPriority w:val="99"/>
    <w:unhideWhenUsed/>
    <w:qFormat/>
    <w:rsid w:val="00967DF6"/>
    <w:pPr>
      <w:pBdr>
        <w:top w:val="single" w:sz="6" w:space="1" w:color="auto"/>
        <w:left w:val="single" w:sz="6" w:space="1" w:color="auto"/>
        <w:bottom w:val="single" w:sz="6" w:space="1" w:color="auto"/>
        <w:right w:val="single" w:sz="6" w:space="1" w:color="auto"/>
      </w:pBdr>
      <w:shd w:val="pct20" w:color="FFFFFF" w:themeColor="background1" w:fill="F3F3F3"/>
      <w:spacing w:line="240" w:lineRule="auto"/>
      <w:ind w:left="1134" w:hanging="1134"/>
    </w:pPr>
    <w:rPr>
      <w:rFonts w:eastAsiaTheme="majorEastAsia" w:cstheme="majorBidi"/>
      <w:color w:val="A5A5A5" w:themeColor="accent3"/>
      <w14:textFill>
        <w14:gradFill>
          <w14:gsLst>
            <w14:gs w14:pos="0">
              <w14:schemeClr w14:val="bg1">
                <w14:lumMod w14:val="95000"/>
              </w14:schemeClr>
            </w14:gs>
            <w14:gs w14:pos="100000">
              <w14:srgbClr w14:val="FFFFFF"/>
            </w14:gs>
          </w14:gsLst>
          <w14:path w14:path="rect">
            <w14:fillToRect w14:l="100000" w14:t="100000" w14:r="0" w14:b="0"/>
          </w14:path>
        </w14:gradFill>
      </w14:textFill>
    </w:rPr>
  </w:style>
  <w:style w:type="character" w:customStyle="1" w:styleId="MessageHeaderChar">
    <w:name w:val="Message Header Char"/>
    <w:basedOn w:val="DefaultParagraphFont"/>
    <w:link w:val="MessageHeader"/>
    <w:uiPriority w:val="99"/>
    <w:rsid w:val="00967DF6"/>
    <w:rPr>
      <w:rFonts w:ascii="Tahoma" w:eastAsiaTheme="majorEastAsia" w:hAnsi="Tahoma" w:cstheme="majorBidi"/>
      <w:noProof/>
      <w:color w:val="A5A5A5" w:themeColor="accent3"/>
      <w:sz w:val="18"/>
      <w:shd w:val="pct20" w:color="FFFFFF" w:themeColor="background1" w:fill="F3F3F3"/>
      <w:lang w:val="fr-BE" w:eastAsia="fi-FI"/>
      <w14:textFill>
        <w14:gradFill>
          <w14:gsLst>
            <w14:gs w14:pos="0">
              <w14:schemeClr w14:val="bg1">
                <w14:lumMod w14:val="95000"/>
              </w14:schemeClr>
            </w14:gs>
            <w14:gs w14:pos="100000">
              <w14:srgbClr w14:val="FFFFFF"/>
            </w14:gs>
          </w14:gsLst>
          <w14:path w14:path="rect">
            <w14:fillToRect w14:l="100000" w14:t="100000" w14:r="0" w14:b="0"/>
          </w14:path>
        </w14:gradFill>
      </w14:textFill>
    </w:rPr>
  </w:style>
  <w:style w:type="paragraph" w:styleId="List">
    <w:name w:val="List"/>
    <w:aliases w:val="List with gold bullet"/>
    <w:basedOn w:val="Body3"/>
    <w:next w:val="ListContinue2"/>
    <w:autoRedefine/>
    <w:uiPriority w:val="99"/>
    <w:unhideWhenUsed/>
    <w:qFormat/>
    <w:rsid w:val="004F4317"/>
    <w:pPr>
      <w:numPr>
        <w:numId w:val="20"/>
      </w:numPr>
      <w:spacing w:after="160" w:line="298" w:lineRule="auto"/>
      <w:ind w:left="284" w:right="397" w:firstLine="0"/>
      <w:jc w:val="both"/>
    </w:pPr>
    <w:rPr>
      <w:color w:val="000000" w:themeColor="text1"/>
      <w:szCs w:val="20"/>
    </w:rPr>
  </w:style>
  <w:style w:type="paragraph" w:styleId="ListBullet">
    <w:name w:val="List Bullet"/>
    <w:basedOn w:val="Normal"/>
    <w:autoRedefine/>
    <w:uiPriority w:val="99"/>
    <w:unhideWhenUsed/>
    <w:qFormat/>
    <w:rsid w:val="00ED39E2"/>
    <w:pPr>
      <w:numPr>
        <w:ilvl w:val="1"/>
        <w:numId w:val="6"/>
      </w:numPr>
      <w:tabs>
        <w:tab w:val="left" w:pos="4693"/>
      </w:tabs>
      <w:spacing w:before="80" w:after="160" w:line="276" w:lineRule="auto"/>
      <w:ind w:right="170"/>
    </w:pPr>
  </w:style>
  <w:style w:type="character" w:styleId="Hyperlink">
    <w:name w:val="Hyperlink"/>
    <w:basedOn w:val="DefaultParagraphFont"/>
    <w:uiPriority w:val="99"/>
    <w:unhideWhenUsed/>
    <w:qFormat/>
    <w:rsid w:val="008C0BE5"/>
    <w:rPr>
      <w:rFonts w:ascii="Tahoma" w:hAnsi="Tahoma"/>
      <w:color w:val="A6A6A6" w:themeColor="background1" w:themeShade="A6"/>
      <w:sz w:val="16"/>
      <w:szCs w:val="20"/>
      <w:u w:val="none"/>
    </w:rPr>
  </w:style>
  <w:style w:type="paragraph" w:customStyle="1" w:styleId="foot1">
    <w:name w:val="foot1"/>
    <w:link w:val="foot1Car"/>
    <w:autoRedefine/>
    <w:qFormat/>
    <w:rsid w:val="000D5BD1"/>
    <w:pPr>
      <w:spacing w:line="302" w:lineRule="auto"/>
    </w:pPr>
    <w:rPr>
      <w:rFonts w:ascii="Tahoma" w:eastAsiaTheme="minorHAnsi" w:hAnsi="Tahoma"/>
      <w:color w:val="833C0B" w:themeColor="accent2" w:themeShade="80"/>
      <w:sz w:val="14"/>
      <w:szCs w:val="14"/>
      <w:lang w:val="fr-FR" w:eastAsia="en-US"/>
    </w:rPr>
  </w:style>
  <w:style w:type="character" w:customStyle="1" w:styleId="foot1Car">
    <w:name w:val="foot1 Car"/>
    <w:basedOn w:val="DefaultParagraphFont"/>
    <w:link w:val="foot1"/>
    <w:rsid w:val="000D5BD1"/>
    <w:rPr>
      <w:rFonts w:ascii="Tahoma" w:eastAsiaTheme="minorHAnsi" w:hAnsi="Tahoma"/>
      <w:color w:val="833C0B" w:themeColor="accent2" w:themeShade="80"/>
      <w:sz w:val="14"/>
      <w:szCs w:val="14"/>
      <w:lang w:val="fr-FR" w:eastAsia="en-US"/>
    </w:rPr>
  </w:style>
  <w:style w:type="paragraph" w:customStyle="1" w:styleId="Korostus1">
    <w:name w:val="Korostus1"/>
    <w:basedOn w:val="Body3"/>
    <w:autoRedefine/>
    <w:qFormat/>
    <w:rsid w:val="000805C7"/>
    <w:rPr>
      <w:i/>
      <w:color w:val="00C263"/>
      <w:sz w:val="19"/>
    </w:rPr>
  </w:style>
  <w:style w:type="paragraph" w:styleId="TOC7">
    <w:name w:val="toc 7"/>
    <w:basedOn w:val="Normal"/>
    <w:next w:val="Normal"/>
    <w:autoRedefine/>
    <w:uiPriority w:val="39"/>
    <w:unhideWhenUsed/>
    <w:qFormat/>
    <w:rsid w:val="00C67A6D"/>
  </w:style>
  <w:style w:type="paragraph" w:customStyle="1" w:styleId="Listwithsmallreddot">
    <w:name w:val="List with small red dot"/>
    <w:basedOn w:val="Body3"/>
    <w:autoRedefine/>
    <w:qFormat/>
    <w:rsid w:val="00CA726F"/>
    <w:pPr>
      <w:numPr>
        <w:numId w:val="18"/>
      </w:numPr>
      <w:ind w:right="397"/>
      <w:jc w:val="both"/>
    </w:pPr>
    <w:rPr>
      <w:rFonts w:cs="Tahoma"/>
      <w:sz w:val="20"/>
      <w:szCs w:val="20"/>
    </w:rPr>
  </w:style>
  <w:style w:type="paragraph" w:customStyle="1" w:styleId="Otsikko10">
    <w:name w:val="Otsikko 10"/>
    <w:basedOn w:val="Body3"/>
    <w:autoRedefine/>
    <w:qFormat/>
    <w:rsid w:val="000E75B6"/>
  </w:style>
  <w:style w:type="paragraph" w:styleId="TOC3">
    <w:name w:val="toc 3"/>
    <w:basedOn w:val="Normal"/>
    <w:next w:val="Normal"/>
    <w:autoRedefine/>
    <w:uiPriority w:val="39"/>
    <w:unhideWhenUsed/>
    <w:qFormat/>
    <w:rsid w:val="00A7777C"/>
    <w:pPr>
      <w:tabs>
        <w:tab w:val="right" w:leader="dot" w:pos="9225"/>
      </w:tabs>
      <w:spacing w:before="0" w:after="0"/>
      <w:ind w:left="0"/>
    </w:pPr>
    <w:rPr>
      <w:szCs w:val="22"/>
    </w:rPr>
  </w:style>
  <w:style w:type="paragraph" w:customStyle="1" w:styleId="Noteswithinthetext">
    <w:name w:val="Notes within the text"/>
    <w:basedOn w:val="Normal"/>
    <w:autoRedefine/>
    <w:qFormat/>
    <w:rsid w:val="004D6FCB"/>
    <w:pPr>
      <w:spacing w:after="120"/>
    </w:pPr>
    <w:rPr>
      <w:i/>
    </w:rPr>
  </w:style>
  <w:style w:type="paragraph" w:customStyle="1" w:styleId="ninetta">
    <w:name w:val="ninetta"/>
    <w:basedOn w:val="Normal"/>
    <w:autoRedefine/>
    <w:qFormat/>
    <w:rsid w:val="00F42DE2"/>
    <w:pPr>
      <w:tabs>
        <w:tab w:val="left" w:pos="743"/>
      </w:tabs>
      <w:ind w:left="34" w:right="34"/>
    </w:pPr>
    <w:rPr>
      <w:rFonts w:eastAsia="Cambria" w:cs="Tahoma"/>
      <w:szCs w:val="18"/>
    </w:rPr>
  </w:style>
  <w:style w:type="character" w:customStyle="1" w:styleId="Text-boldnotestext">
    <w:name w:val="Text - bold notes text"/>
    <w:qFormat/>
    <w:rsid w:val="00F670B2"/>
    <w:rPr>
      <w:rFonts w:ascii="Tahoma" w:hAnsi="Tahoma"/>
      <w:b/>
      <w:color w:val="00CCCC"/>
      <w:sz w:val="18"/>
    </w:rPr>
  </w:style>
  <w:style w:type="paragraph" w:customStyle="1" w:styleId="ninettacomments">
    <w:name w:val="ninetta comments"/>
    <w:basedOn w:val="Normal"/>
    <w:autoRedefine/>
    <w:qFormat/>
    <w:rsid w:val="00E85309"/>
    <w:pPr>
      <w:spacing w:line="240" w:lineRule="auto"/>
    </w:pPr>
    <w:rPr>
      <w:color w:val="FFCC66"/>
    </w:rPr>
  </w:style>
  <w:style w:type="paragraph" w:styleId="NoSpacing">
    <w:name w:val="No Spacing"/>
    <w:link w:val="NoSpacingChar"/>
    <w:autoRedefine/>
    <w:uiPriority w:val="1"/>
    <w:qFormat/>
    <w:rsid w:val="007B1638"/>
    <w:pPr>
      <w:ind w:left="284" w:right="567"/>
      <w:jc w:val="both"/>
    </w:pPr>
    <w:rPr>
      <w:rFonts w:ascii="Tahoma" w:eastAsiaTheme="minorHAnsi" w:hAnsi="Tahoma"/>
      <w:sz w:val="20"/>
      <w:szCs w:val="22"/>
      <w:lang w:eastAsia="en-US"/>
    </w:rPr>
  </w:style>
  <w:style w:type="character" w:customStyle="1" w:styleId="NoSpacingChar">
    <w:name w:val="No Spacing Char"/>
    <w:basedOn w:val="DefaultParagraphFont"/>
    <w:link w:val="NoSpacing"/>
    <w:uiPriority w:val="1"/>
    <w:rsid w:val="00817E9E"/>
    <w:rPr>
      <w:rFonts w:ascii="Tahoma" w:eastAsiaTheme="minorHAnsi" w:hAnsi="Tahoma"/>
      <w:sz w:val="20"/>
      <w:szCs w:val="22"/>
      <w:lang w:eastAsia="en-US"/>
    </w:rPr>
  </w:style>
  <w:style w:type="paragraph" w:customStyle="1" w:styleId="Lhdeluettelo1">
    <w:name w:val="Lähdeluettelo1"/>
    <w:basedOn w:val="Body4"/>
    <w:autoRedefine/>
    <w:qFormat/>
    <w:rsid w:val="00831512"/>
    <w:pPr>
      <w:numPr>
        <w:numId w:val="13"/>
      </w:numPr>
      <w:autoSpaceDE w:val="0"/>
      <w:autoSpaceDN w:val="0"/>
      <w:spacing w:before="160" w:line="288" w:lineRule="auto"/>
      <w:ind w:left="284" w:firstLine="0"/>
    </w:pPr>
    <w:rPr>
      <w:rFonts w:eastAsiaTheme="minorEastAsia" w:cs="Times"/>
      <w:szCs w:val="94"/>
    </w:rPr>
  </w:style>
  <w:style w:type="paragraph" w:customStyle="1" w:styleId="Body5">
    <w:name w:val="Body 5"/>
    <w:basedOn w:val="Body4"/>
    <w:qFormat/>
    <w:rsid w:val="00645F18"/>
    <w:pPr>
      <w:tabs>
        <w:tab w:val="left" w:pos="1560"/>
      </w:tabs>
      <w:spacing w:line="264" w:lineRule="auto"/>
      <w:ind w:right="318"/>
    </w:pPr>
    <w:rPr>
      <w:szCs w:val="21"/>
    </w:rPr>
  </w:style>
  <w:style w:type="paragraph" w:customStyle="1" w:styleId="a-I-EUBodytextsingle">
    <w:name w:val="a-I-EU Body text single"/>
    <w:basedOn w:val="Normal"/>
    <w:autoRedefine/>
    <w:qFormat/>
    <w:rsid w:val="003B6C3E"/>
    <w:pPr>
      <w:spacing w:before="0" w:after="0" w:line="240" w:lineRule="auto"/>
      <w:ind w:left="11" w:right="6"/>
    </w:pPr>
    <w:rPr>
      <w:rFonts w:eastAsiaTheme="minorEastAsia" w:cstheme="majorBidi"/>
      <w:color w:val="323E4F" w:themeColor="text2" w:themeShade="BF"/>
      <w:sz w:val="16"/>
    </w:rPr>
  </w:style>
  <w:style w:type="paragraph" w:customStyle="1" w:styleId="TH1">
    <w:name w:val="TH1"/>
    <w:basedOn w:val="Normal"/>
    <w:qFormat/>
    <w:rsid w:val="000E6EB6"/>
    <w:pPr>
      <w:ind w:left="66"/>
    </w:pPr>
    <w:rPr>
      <w:color w:val="ED7D31" w:themeColor="accent2"/>
    </w:rPr>
  </w:style>
  <w:style w:type="paragraph" w:styleId="TOC4">
    <w:name w:val="toc 4"/>
    <w:basedOn w:val="Normal"/>
    <w:next w:val="Normal"/>
    <w:autoRedefine/>
    <w:uiPriority w:val="39"/>
    <w:unhideWhenUsed/>
    <w:qFormat/>
    <w:rsid w:val="002D60F6"/>
    <w:rPr>
      <w:b/>
      <w:color w:val="0080FF"/>
    </w:rPr>
  </w:style>
  <w:style w:type="paragraph" w:customStyle="1" w:styleId="Otsikko11">
    <w:name w:val="Otsikko 11"/>
    <w:basedOn w:val="Heading8"/>
    <w:link w:val="Otsikko11Merkki"/>
    <w:autoRedefine/>
    <w:qFormat/>
    <w:rsid w:val="00956175"/>
    <w:pPr>
      <w:spacing w:before="100" w:beforeAutospacing="1"/>
    </w:pPr>
    <w:rPr>
      <w:color w:val="5B9BD5" w:themeColor="accent5"/>
    </w:rPr>
  </w:style>
  <w:style w:type="character" w:customStyle="1" w:styleId="Otsikko11Merkki">
    <w:name w:val="Otsikko 11 Merkki"/>
    <w:basedOn w:val="Heading8Char"/>
    <w:link w:val="Otsikko11"/>
    <w:rsid w:val="00956175"/>
    <w:rPr>
      <w:rFonts w:ascii="Tahoma" w:eastAsia="Times New Roman" w:hAnsi="Tahoma" w:cs="Times New Roman"/>
      <w:b/>
      <w:noProof/>
      <w:color w:val="5B9BD5" w:themeColor="accent5"/>
      <w:sz w:val="22"/>
      <w:szCs w:val="22"/>
      <w:lang w:val="en-GB" w:eastAsia="en-GB"/>
    </w:rPr>
  </w:style>
  <w:style w:type="paragraph" w:customStyle="1" w:styleId="Otsikko12">
    <w:name w:val="Otsikko 12"/>
    <w:basedOn w:val="Body4"/>
    <w:link w:val="Otsikko12Merkki"/>
    <w:autoRedefine/>
    <w:qFormat/>
    <w:rsid w:val="009C73B4"/>
    <w:pPr>
      <w:numPr>
        <w:numId w:val="5"/>
      </w:numPr>
      <w:spacing w:after="240"/>
      <w:ind w:right="567"/>
    </w:pPr>
  </w:style>
  <w:style w:type="character" w:customStyle="1" w:styleId="Otsikko12Merkki">
    <w:name w:val="Otsikko 12 Merkki"/>
    <w:basedOn w:val="DefaultMerkki"/>
    <w:link w:val="Otsikko12"/>
    <w:rsid w:val="009C73B4"/>
    <w:rPr>
      <w:rFonts w:ascii="Tahoma" w:eastAsia="HGPMinchoE" w:hAnsi="Tahoma" w:cs="Times New Roman"/>
      <w:bCs/>
      <w:color w:val="171717" w:themeColor="background2" w:themeShade="1A"/>
      <w:sz w:val="18"/>
      <w:szCs w:val="18"/>
      <w:lang w:val="en-GB" w:eastAsia="fi-FI"/>
    </w:rPr>
  </w:style>
  <w:style w:type="paragraph" w:styleId="ListNumber">
    <w:name w:val="List Number"/>
    <w:basedOn w:val="Normal"/>
    <w:autoRedefine/>
    <w:uiPriority w:val="99"/>
    <w:unhideWhenUsed/>
    <w:qFormat/>
    <w:rsid w:val="004F4317"/>
    <w:pPr>
      <w:adjustRightInd w:val="0"/>
      <w:spacing w:before="0" w:after="160" w:line="298" w:lineRule="auto"/>
    </w:pPr>
    <w:rPr>
      <w:szCs w:val="18"/>
    </w:rPr>
  </w:style>
  <w:style w:type="paragraph" w:styleId="TOC5">
    <w:name w:val="toc 5"/>
    <w:basedOn w:val="Normal"/>
    <w:next w:val="Normal"/>
    <w:autoRedefine/>
    <w:uiPriority w:val="39"/>
    <w:unhideWhenUsed/>
    <w:qFormat/>
    <w:rsid w:val="009E5B0A"/>
    <w:pPr>
      <w:tabs>
        <w:tab w:val="right" w:leader="dot" w:pos="8352"/>
      </w:tabs>
      <w:spacing w:after="120" w:line="240" w:lineRule="auto"/>
    </w:pPr>
    <w:rPr>
      <w:rFonts w:eastAsiaTheme="majorEastAsia" w:cstheme="majorBidi"/>
      <w:color w:val="011C2B"/>
    </w:rPr>
  </w:style>
  <w:style w:type="paragraph" w:styleId="TOC6">
    <w:name w:val="toc 6"/>
    <w:basedOn w:val="Normal"/>
    <w:next w:val="Normal"/>
    <w:autoRedefine/>
    <w:uiPriority w:val="39"/>
    <w:unhideWhenUsed/>
    <w:qFormat/>
    <w:rsid w:val="002A201E"/>
    <w:pPr>
      <w:tabs>
        <w:tab w:val="left" w:pos="2023"/>
        <w:tab w:val="right" w:leader="dot" w:pos="9225"/>
      </w:tabs>
      <w:ind w:left="800"/>
    </w:pPr>
  </w:style>
  <w:style w:type="paragraph" w:styleId="TOC8">
    <w:name w:val="toc 8"/>
    <w:basedOn w:val="Normal"/>
    <w:next w:val="Normal"/>
    <w:autoRedefine/>
    <w:uiPriority w:val="39"/>
    <w:unhideWhenUsed/>
    <w:qFormat/>
    <w:rsid w:val="002A550F"/>
    <w:pPr>
      <w:pBdr>
        <w:between w:val="double" w:sz="6" w:space="0" w:color="auto"/>
      </w:pBdr>
    </w:pPr>
  </w:style>
  <w:style w:type="paragraph" w:styleId="TOC9">
    <w:name w:val="toc 9"/>
    <w:basedOn w:val="Normal"/>
    <w:next w:val="Normal"/>
    <w:autoRedefine/>
    <w:uiPriority w:val="39"/>
    <w:unhideWhenUsed/>
    <w:qFormat/>
    <w:rsid w:val="007A145C"/>
    <w:pPr>
      <w:pBdr>
        <w:between w:val="double" w:sz="6" w:space="0" w:color="auto"/>
      </w:pBdr>
    </w:pPr>
  </w:style>
  <w:style w:type="paragraph" w:customStyle="1" w:styleId="Heading12">
    <w:name w:val="Heading 12"/>
    <w:basedOn w:val="Heading7"/>
    <w:autoRedefine/>
    <w:qFormat/>
    <w:rsid w:val="00900814"/>
    <w:pPr>
      <w:adjustRightInd w:val="0"/>
      <w:spacing w:beforeLines="50" w:afterLines="50" w:line="264" w:lineRule="auto"/>
      <w:ind w:firstLine="580"/>
    </w:pPr>
    <w:rPr>
      <w:rFonts w:eastAsiaTheme="minorEastAsia"/>
      <w:b w:val="0"/>
      <w:color w:val="C45911" w:themeColor="accent2" w:themeShade="BF"/>
      <w:szCs w:val="18"/>
    </w:rPr>
  </w:style>
  <w:style w:type="character" w:styleId="Strong">
    <w:name w:val="Strong"/>
    <w:basedOn w:val="DefaultParagraphFont"/>
    <w:uiPriority w:val="22"/>
    <w:qFormat/>
    <w:rsid w:val="00F54644"/>
    <w:rPr>
      <w:rFonts w:ascii="Tahoma" w:hAnsi="Tahoma"/>
      <w:b/>
      <w:bCs/>
      <w:color w:val="17BEC0"/>
      <w:sz w:val="52"/>
    </w:rPr>
  </w:style>
  <w:style w:type="character" w:styleId="FollowedHyperlink">
    <w:name w:val="FollowedHyperlink"/>
    <w:basedOn w:val="DefaultParagraphFont"/>
    <w:uiPriority w:val="99"/>
    <w:semiHidden/>
    <w:unhideWhenUsed/>
    <w:rsid w:val="00C37C4E"/>
    <w:rPr>
      <w:color w:val="CCFFCC"/>
      <w:u w:val="single"/>
    </w:rPr>
  </w:style>
  <w:style w:type="paragraph" w:customStyle="1" w:styleId="Style2">
    <w:name w:val="Style2"/>
    <w:basedOn w:val="Normal"/>
    <w:link w:val="Style2Merkki"/>
    <w:autoRedefine/>
    <w:qFormat/>
    <w:rsid w:val="008A3A3C"/>
    <w:pPr>
      <w:keepNext/>
      <w:numPr>
        <w:numId w:val="1"/>
      </w:numPr>
      <w:spacing w:before="50" w:after="150"/>
      <w:ind w:left="340" w:hanging="340"/>
    </w:pPr>
    <w:rPr>
      <w:rFonts w:cs="Tahoma"/>
      <w:lang w:eastAsia="ja-JP"/>
    </w:rPr>
  </w:style>
  <w:style w:type="character" w:customStyle="1" w:styleId="Style2Merkki">
    <w:name w:val="Style2 Merkki"/>
    <w:basedOn w:val="DefaultParagraphFont"/>
    <w:link w:val="Style2"/>
    <w:rsid w:val="008A3A3C"/>
    <w:rPr>
      <w:rFonts w:ascii="Tahoma" w:eastAsia="Arial" w:hAnsi="Tahoma" w:cs="Tahoma"/>
      <w:color w:val="000000" w:themeColor="text1"/>
      <w:sz w:val="18"/>
      <w:szCs w:val="20"/>
      <w:lang w:val="en-GB"/>
    </w:rPr>
  </w:style>
  <w:style w:type="paragraph" w:customStyle="1" w:styleId="Heading41">
    <w:name w:val="Heading 4_1"/>
    <w:basedOn w:val="Normal"/>
    <w:autoRedefine/>
    <w:qFormat/>
    <w:rsid w:val="008A3A3C"/>
    <w:pPr>
      <w:spacing w:beforeLines="150" w:before="150" w:afterLines="50" w:after="50"/>
    </w:pPr>
    <w:rPr>
      <w:b/>
      <w:color w:val="ED7D31" w:themeColor="accent2"/>
    </w:rPr>
  </w:style>
  <w:style w:type="paragraph" w:customStyle="1" w:styleId="Otsikko13">
    <w:name w:val="Otsikko 13"/>
    <w:basedOn w:val="Otsikko12"/>
    <w:autoRedefine/>
    <w:qFormat/>
    <w:rsid w:val="009C73B4"/>
    <w:pPr>
      <w:numPr>
        <w:numId w:val="0"/>
      </w:numPr>
      <w:spacing w:after="0"/>
      <w:ind w:right="0"/>
    </w:pPr>
    <w:rPr>
      <w:shd w:val="clear" w:color="auto" w:fill="DEEAF6" w:themeFill="accent5" w:themeFillTint="33"/>
    </w:rPr>
  </w:style>
  <w:style w:type="paragraph" w:styleId="ListNumber2">
    <w:name w:val="List Number 2"/>
    <w:basedOn w:val="Body3"/>
    <w:autoRedefine/>
    <w:uiPriority w:val="99"/>
    <w:qFormat/>
    <w:rsid w:val="00400DE1"/>
    <w:pPr>
      <w:numPr>
        <w:numId w:val="24"/>
      </w:numPr>
      <w:spacing w:after="200" w:line="298" w:lineRule="auto"/>
      <w:ind w:right="397"/>
      <w:jc w:val="both"/>
    </w:pPr>
    <w:rPr>
      <w:color w:val="000000" w:themeColor="text1"/>
    </w:rPr>
  </w:style>
  <w:style w:type="paragraph" w:customStyle="1" w:styleId="Body5Bibliographytext">
    <w:name w:val="Body 5 Bibliography text"/>
    <w:basedOn w:val="Body4"/>
    <w:autoRedefine/>
    <w:qFormat/>
    <w:rsid w:val="00C67A6D"/>
    <w:pPr>
      <w:tabs>
        <w:tab w:val="left" w:pos="1560"/>
      </w:tabs>
    </w:pPr>
  </w:style>
  <w:style w:type="table" w:styleId="TableContemporary">
    <w:name w:val="Table Contemporary"/>
    <w:basedOn w:val="TableNormal"/>
    <w:uiPriority w:val="99"/>
    <w:semiHidden/>
    <w:unhideWhenUsed/>
    <w:rsid w:val="00E67729"/>
    <w:pPr>
      <w:spacing w:after="200" w:line="276" w:lineRule="auto"/>
    </w:pPr>
    <w:rPr>
      <w:rFonts w:ascii="Tahoma" w:eastAsiaTheme="minorHAnsi" w:hAnsi="Tahoma"/>
      <w:sz w:val="20"/>
      <w:szCs w:val="22"/>
      <w:lang w:val="pl-PL" w:eastAsia="en-US"/>
    </w:r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paragraph" w:styleId="Footer">
    <w:name w:val="footer"/>
    <w:basedOn w:val="Normal"/>
    <w:link w:val="FooterChar"/>
    <w:autoRedefine/>
    <w:uiPriority w:val="99"/>
    <w:unhideWhenUsed/>
    <w:qFormat/>
    <w:rsid w:val="00E67729"/>
    <w:pPr>
      <w:tabs>
        <w:tab w:val="center" w:pos="4536"/>
        <w:tab w:val="right" w:pos="9072"/>
      </w:tabs>
    </w:pPr>
    <w:rPr>
      <w:color w:val="38D4D6"/>
      <w:lang w:eastAsia="ja-JP"/>
    </w:rPr>
  </w:style>
  <w:style w:type="character" w:customStyle="1" w:styleId="FooterChar">
    <w:name w:val="Footer Char"/>
    <w:basedOn w:val="DefaultParagraphFont"/>
    <w:link w:val="Footer"/>
    <w:uiPriority w:val="99"/>
    <w:rsid w:val="00E67729"/>
    <w:rPr>
      <w:rFonts w:ascii="Tahoma" w:hAnsi="Tahoma"/>
      <w:color w:val="38D4D6"/>
      <w:sz w:val="20"/>
      <w:lang w:val="en-GB"/>
    </w:rPr>
  </w:style>
  <w:style w:type="paragraph" w:customStyle="1" w:styleId="Tablefonts">
    <w:name w:val="Table fonts"/>
    <w:basedOn w:val="Body5"/>
    <w:autoRedefine/>
    <w:qFormat/>
    <w:rsid w:val="007A145C"/>
    <w:pPr>
      <w:autoSpaceDE w:val="0"/>
      <w:autoSpaceDN w:val="0"/>
      <w:spacing w:line="276" w:lineRule="auto"/>
      <w:ind w:right="0"/>
    </w:pPr>
    <w:rPr>
      <w:rFonts w:eastAsiaTheme="minorEastAsia" w:cs="Verdana Bold Italic"/>
      <w:szCs w:val="18"/>
    </w:rPr>
  </w:style>
  <w:style w:type="paragraph" w:customStyle="1" w:styleId="Tablefontscapitals">
    <w:name w:val="Table fonts capitals"/>
    <w:basedOn w:val="Tablefonts"/>
    <w:autoRedefine/>
    <w:qFormat/>
    <w:rsid w:val="007A145C"/>
    <w:rPr>
      <w:b/>
    </w:rPr>
  </w:style>
  <w:style w:type="paragraph" w:customStyle="1" w:styleId="Body5Quote">
    <w:name w:val="Body 5 Quote"/>
    <w:basedOn w:val="Body4"/>
    <w:autoRedefine/>
    <w:qFormat/>
    <w:rsid w:val="00F139FF"/>
    <w:pPr>
      <w:tabs>
        <w:tab w:val="left" w:pos="1560"/>
      </w:tabs>
    </w:pPr>
    <w:rPr>
      <w:i/>
      <w:color w:val="03284D"/>
      <w:szCs w:val="19"/>
    </w:rPr>
  </w:style>
  <w:style w:type="paragraph" w:styleId="TableofFigures">
    <w:name w:val="table of figures"/>
    <w:basedOn w:val="Body3"/>
    <w:autoRedefine/>
    <w:uiPriority w:val="99"/>
    <w:unhideWhenUsed/>
    <w:qFormat/>
    <w:rsid w:val="00AC0EAD"/>
    <w:pPr>
      <w:tabs>
        <w:tab w:val="right" w:leader="dot" w:pos="9225"/>
      </w:tabs>
      <w:spacing w:line="288" w:lineRule="auto"/>
    </w:pPr>
    <w:rPr>
      <w:bCs w:val="0"/>
      <w:color w:val="222A35" w:themeColor="text2" w:themeShade="80"/>
      <w:sz w:val="20"/>
      <w:szCs w:val="21"/>
    </w:rPr>
  </w:style>
  <w:style w:type="paragraph" w:styleId="EnvelopeReturn">
    <w:name w:val="envelope return"/>
    <w:basedOn w:val="Normal"/>
    <w:autoRedefine/>
    <w:uiPriority w:val="99"/>
    <w:semiHidden/>
    <w:unhideWhenUsed/>
    <w:qFormat/>
    <w:rsid w:val="00F1692F"/>
    <w:rPr>
      <w:rFonts w:asciiTheme="majorHAnsi" w:hAnsiTheme="majorHAnsi"/>
      <w:i/>
    </w:rPr>
  </w:style>
  <w:style w:type="paragraph" w:styleId="ListNumber3">
    <w:name w:val="List Number 3"/>
    <w:basedOn w:val="Normal"/>
    <w:autoRedefine/>
    <w:uiPriority w:val="99"/>
    <w:unhideWhenUsed/>
    <w:qFormat/>
    <w:rsid w:val="005A5C22"/>
    <w:pPr>
      <w:numPr>
        <w:numId w:val="8"/>
      </w:numPr>
      <w:contextualSpacing/>
    </w:pPr>
    <w:rPr>
      <w:b/>
      <w:lang w:val="fr-FR"/>
    </w:rPr>
  </w:style>
  <w:style w:type="paragraph" w:customStyle="1" w:styleId="Body2">
    <w:name w:val="Body 2"/>
    <w:autoRedefine/>
    <w:qFormat/>
    <w:rsid w:val="00F43290"/>
    <w:pPr>
      <w:suppressAutoHyphens/>
      <w:spacing w:line="288" w:lineRule="auto"/>
      <w:jc w:val="both"/>
    </w:pPr>
    <w:rPr>
      <w:rFonts w:ascii="Tahoma" w:hAnsi="Tahoma" w:cs="Arial Unicode MS"/>
      <w:color w:val="34AB8A"/>
      <w:sz w:val="20"/>
      <w:szCs w:val="18"/>
      <w:bdr w:val="nil"/>
      <w:lang w:eastAsia="en-US"/>
    </w:rPr>
  </w:style>
  <w:style w:type="paragraph" w:styleId="BodyText">
    <w:name w:val="Body Text"/>
    <w:basedOn w:val="Normal"/>
    <w:link w:val="BodyTextChar"/>
    <w:autoRedefine/>
    <w:qFormat/>
    <w:rsid w:val="00C5163F"/>
    <w:pPr>
      <w:widowControl w:val="0"/>
      <w:spacing w:line="240" w:lineRule="auto"/>
    </w:pPr>
    <w:rPr>
      <w:rFonts w:eastAsia="Tahoma" w:cs="Tahoma"/>
      <w:szCs w:val="19"/>
    </w:rPr>
  </w:style>
  <w:style w:type="character" w:customStyle="1" w:styleId="BodyTextChar">
    <w:name w:val="Body Text Char"/>
    <w:basedOn w:val="DefaultParagraphFont"/>
    <w:link w:val="BodyText"/>
    <w:rsid w:val="00C5163F"/>
    <w:rPr>
      <w:rFonts w:ascii="Tahoma" w:eastAsia="Tahoma" w:hAnsi="Tahoma" w:cs="Tahoma"/>
      <w:sz w:val="20"/>
      <w:szCs w:val="19"/>
      <w:lang w:eastAsia="en-US"/>
    </w:rPr>
  </w:style>
  <w:style w:type="paragraph" w:styleId="Subtitle">
    <w:name w:val="Subtitle"/>
    <w:basedOn w:val="Normal"/>
    <w:next w:val="Normal"/>
    <w:link w:val="SubtitleChar"/>
    <w:autoRedefine/>
    <w:uiPriority w:val="11"/>
    <w:qFormat/>
    <w:rsid w:val="00AF5897"/>
    <w:pPr>
      <w:numPr>
        <w:ilvl w:val="1"/>
      </w:numPr>
      <w:spacing w:line="240" w:lineRule="auto"/>
      <w:ind w:left="284"/>
    </w:pPr>
    <w:rPr>
      <w:i/>
      <w:iCs/>
      <w:color w:val="5B9BD5" w:themeColor="accent5"/>
      <w:spacing w:val="15"/>
      <w:sz w:val="24"/>
    </w:rPr>
  </w:style>
  <w:style w:type="character" w:customStyle="1" w:styleId="SubtitleChar">
    <w:name w:val="Subtitle Char"/>
    <w:basedOn w:val="DefaultParagraphFont"/>
    <w:link w:val="Subtitle"/>
    <w:uiPriority w:val="11"/>
    <w:rsid w:val="00AF5897"/>
    <w:rPr>
      <w:rFonts w:ascii="Tahoma" w:eastAsiaTheme="majorEastAsia" w:hAnsi="Tahoma" w:cstheme="majorBidi"/>
      <w:i/>
      <w:iCs/>
      <w:noProof/>
      <w:color w:val="5B9BD5" w:themeColor="accent5"/>
      <w:spacing w:val="15"/>
      <w:lang w:val="en-GB" w:eastAsia="en-US"/>
    </w:rPr>
  </w:style>
  <w:style w:type="paragraph" w:customStyle="1" w:styleId="ninettabear">
    <w:name w:val="ninetta bear"/>
    <w:basedOn w:val="Normal"/>
    <w:autoRedefine/>
    <w:qFormat/>
    <w:rsid w:val="00525FC4"/>
    <w:rPr>
      <w:color w:val="1F3864" w:themeColor="accent1" w:themeShade="80"/>
      <w:lang w:eastAsia="ru-RU"/>
    </w:rPr>
  </w:style>
  <w:style w:type="paragraph" w:customStyle="1" w:styleId="Otsikko14">
    <w:name w:val="Otsikko 14"/>
    <w:basedOn w:val="Otsikko10"/>
    <w:autoRedefine/>
    <w:qFormat/>
    <w:rsid w:val="00ED39E2"/>
    <w:pPr>
      <w:spacing w:before="60" w:after="60"/>
      <w:ind w:left="113" w:right="57"/>
    </w:pPr>
    <w:rPr>
      <w:i/>
      <w:iCs/>
      <w:szCs w:val="20"/>
    </w:rPr>
  </w:style>
  <w:style w:type="paragraph" w:styleId="EnvelopeAddress">
    <w:name w:val="envelope address"/>
    <w:basedOn w:val="Normal"/>
    <w:autoRedefine/>
    <w:uiPriority w:val="99"/>
    <w:unhideWhenUsed/>
    <w:qFormat/>
    <w:rsid w:val="00F3554F"/>
    <w:rPr>
      <w:rFonts w:eastAsiaTheme="majorEastAsia" w:cstheme="majorBidi"/>
      <w:color w:val="2C9C89"/>
    </w:rPr>
  </w:style>
  <w:style w:type="paragraph" w:customStyle="1" w:styleId="Notes">
    <w:name w:val="Notes"/>
    <w:basedOn w:val="EnvelopeAddress"/>
    <w:autoRedefine/>
    <w:qFormat/>
    <w:rsid w:val="00F3554F"/>
    <w:rPr>
      <w:color w:val="7F7F7F" w:themeColor="text1" w:themeTint="80"/>
    </w:rPr>
  </w:style>
  <w:style w:type="paragraph" w:styleId="BodyText2">
    <w:name w:val="Body Text 2"/>
    <w:basedOn w:val="Normal"/>
    <w:link w:val="BodyText2Char"/>
    <w:autoRedefine/>
    <w:uiPriority w:val="99"/>
    <w:qFormat/>
    <w:rsid w:val="005A5C22"/>
    <w:pPr>
      <w:numPr>
        <w:numId w:val="7"/>
      </w:numPr>
      <w:tabs>
        <w:tab w:val="left" w:pos="-2127"/>
        <w:tab w:val="left" w:pos="-1985"/>
        <w:tab w:val="left" w:pos="-1440"/>
        <w:tab w:val="left" w:pos="-709"/>
        <w:tab w:val="left" w:pos="-142"/>
      </w:tabs>
      <w:spacing w:before="180" w:after="120" w:line="276" w:lineRule="auto"/>
      <w:ind w:left="454" w:hanging="385"/>
    </w:pPr>
    <w:rPr>
      <w:b/>
      <w:sz w:val="19"/>
      <w:lang w:val="da-DK" w:eastAsia="da-DK"/>
    </w:rPr>
  </w:style>
  <w:style w:type="character" w:customStyle="1" w:styleId="BodyText2Char">
    <w:name w:val="Body Text 2 Char"/>
    <w:basedOn w:val="DefaultParagraphFont"/>
    <w:link w:val="BodyText2"/>
    <w:uiPriority w:val="99"/>
    <w:rsid w:val="005A5C22"/>
    <w:rPr>
      <w:rFonts w:ascii="Tahoma" w:eastAsia="Arial" w:hAnsi="Tahoma" w:cs="Times New Roman"/>
      <w:b/>
      <w:color w:val="000000" w:themeColor="text1"/>
      <w:sz w:val="19"/>
      <w:szCs w:val="20"/>
      <w:lang w:val="da-DK" w:eastAsia="da-DK"/>
    </w:rPr>
  </w:style>
  <w:style w:type="paragraph" w:customStyle="1" w:styleId="CM35">
    <w:name w:val="CM35"/>
    <w:basedOn w:val="Normal"/>
    <w:autoRedefine/>
    <w:qFormat/>
    <w:rsid w:val="007364D4"/>
    <w:pPr>
      <w:autoSpaceDE w:val="0"/>
      <w:autoSpaceDN w:val="0"/>
      <w:adjustRightInd w:val="0"/>
      <w:spacing w:line="240" w:lineRule="auto"/>
    </w:pPr>
  </w:style>
  <w:style w:type="paragraph" w:customStyle="1" w:styleId="NoteLevel2">
    <w:name w:val="Note Level 2"/>
    <w:basedOn w:val="Normal"/>
    <w:autoRedefine/>
    <w:uiPriority w:val="1"/>
    <w:qFormat/>
    <w:rsid w:val="007364D4"/>
    <w:pPr>
      <w:numPr>
        <w:numId w:val="9"/>
      </w:numPr>
      <w:outlineLvl w:val="1"/>
    </w:pPr>
  </w:style>
  <w:style w:type="paragraph" w:styleId="ListContinue2">
    <w:name w:val="List Continue 2"/>
    <w:basedOn w:val="Normal"/>
    <w:qFormat/>
    <w:rsid w:val="007364D4"/>
    <w:pPr>
      <w:numPr>
        <w:numId w:val="10"/>
      </w:numPr>
    </w:pPr>
  </w:style>
  <w:style w:type="paragraph" w:styleId="Header">
    <w:name w:val="header"/>
    <w:basedOn w:val="Normal"/>
    <w:link w:val="HeaderChar"/>
    <w:unhideWhenUsed/>
    <w:rsid w:val="00817E9E"/>
    <w:pPr>
      <w:tabs>
        <w:tab w:val="center" w:pos="4986"/>
        <w:tab w:val="right" w:pos="9972"/>
      </w:tabs>
      <w:spacing w:after="0" w:line="240" w:lineRule="auto"/>
    </w:pPr>
  </w:style>
  <w:style w:type="character" w:customStyle="1" w:styleId="HeaderChar">
    <w:name w:val="Header Char"/>
    <w:basedOn w:val="DefaultParagraphFont"/>
    <w:link w:val="Header"/>
    <w:rsid w:val="00817E9E"/>
    <w:rPr>
      <w:rFonts w:ascii="Tahoma" w:eastAsia="Arial" w:hAnsi="Tahoma" w:cs="Times New Roman"/>
      <w:noProof/>
      <w:color w:val="3B3838" w:themeColor="background2" w:themeShade="40"/>
      <w:sz w:val="20"/>
      <w:szCs w:val="20"/>
      <w:lang w:val="en-GB" w:eastAsia="en-US"/>
    </w:rPr>
  </w:style>
  <w:style w:type="character" w:styleId="PageNumber">
    <w:name w:val="page number"/>
    <w:basedOn w:val="DefaultParagraphFont"/>
    <w:uiPriority w:val="99"/>
    <w:semiHidden/>
    <w:unhideWhenUsed/>
    <w:rsid w:val="00817E9E"/>
  </w:style>
  <w:style w:type="table" w:styleId="TableGrid">
    <w:name w:val="Table Grid"/>
    <w:basedOn w:val="TableNormal"/>
    <w:uiPriority w:val="59"/>
    <w:rsid w:val="00817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2">
    <w:name w:val="Cuadrícula clara - Énfasis 12"/>
    <w:basedOn w:val="TableNormal"/>
    <w:uiPriority w:val="62"/>
    <w:rsid w:val="00817E9E"/>
    <w:rPr>
      <w:rFonts w:eastAsiaTheme="minorHAnsi"/>
      <w:sz w:val="22"/>
      <w:szCs w:val="22"/>
      <w:lang w:val="es-ES" w:eastAsia="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TableGrid1">
    <w:name w:val="Table Grid 1"/>
    <w:basedOn w:val="TableNormal"/>
    <w:uiPriority w:val="99"/>
    <w:unhideWhenUsed/>
    <w:rsid w:val="00817E9E"/>
    <w:pPr>
      <w:spacing w:after="200" w:line="360" w:lineRule="auto"/>
      <w:jc w:val="both"/>
    </w:pPr>
    <w:rPr>
      <w:rFonts w:ascii="Tahoma" w:hAnsi="Tahoma"/>
      <w:b/>
      <w:color w:val="3B3838" w:themeColor="background2" w:themeShade="40"/>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ColorfulList-Accent6">
    <w:name w:val="Colorful List Accent 6"/>
    <w:basedOn w:val="TableNormal"/>
    <w:uiPriority w:val="72"/>
    <w:rsid w:val="00817E9E"/>
    <w:rPr>
      <w:rFonts w:ascii="Tahoma" w:hAnsi="Tahoma"/>
      <w:color w:val="000000" w:themeColor="text1"/>
      <w:sz w:val="18"/>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paragraph" w:styleId="HTMLPreformatted">
    <w:name w:val="HTML Preformatted"/>
    <w:basedOn w:val="Normal"/>
    <w:link w:val="HTMLPreformattedChar"/>
    <w:uiPriority w:val="99"/>
    <w:unhideWhenUsed/>
    <w:rsid w:val="0081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auto"/>
      <w:lang w:val="it-IT" w:eastAsia="it-IT"/>
    </w:rPr>
  </w:style>
  <w:style w:type="character" w:customStyle="1" w:styleId="HTMLPreformattedChar">
    <w:name w:val="HTML Preformatted Char"/>
    <w:basedOn w:val="DefaultParagraphFont"/>
    <w:link w:val="HTMLPreformatted"/>
    <w:uiPriority w:val="99"/>
    <w:rsid w:val="00817E9E"/>
    <w:rPr>
      <w:rFonts w:ascii="Courier New" w:eastAsia="Times New Roman" w:hAnsi="Courier New" w:cs="Courier New"/>
      <w:noProof/>
      <w:sz w:val="20"/>
      <w:szCs w:val="20"/>
      <w:lang w:val="it-IT" w:eastAsia="it-IT"/>
    </w:rPr>
  </w:style>
  <w:style w:type="paragraph" w:styleId="NormalWeb">
    <w:name w:val="Normal (Web)"/>
    <w:basedOn w:val="Normal"/>
    <w:uiPriority w:val="99"/>
    <w:unhideWhenUsed/>
    <w:rsid w:val="00817E9E"/>
    <w:pPr>
      <w:spacing w:before="100" w:beforeAutospacing="1" w:after="100" w:afterAutospacing="1" w:line="240" w:lineRule="auto"/>
      <w:jc w:val="left"/>
    </w:pPr>
    <w:rPr>
      <w:rFonts w:ascii="Times New Roman" w:eastAsia="Times New Roman" w:hAnsi="Times New Roman"/>
      <w:color w:val="auto"/>
      <w:sz w:val="24"/>
      <w:szCs w:val="24"/>
      <w:lang w:val="it-IT" w:eastAsia="it-IT"/>
    </w:rPr>
  </w:style>
  <w:style w:type="character" w:customStyle="1" w:styleId="apple-converted-space">
    <w:name w:val="apple-converted-space"/>
    <w:basedOn w:val="DefaultParagraphFont"/>
    <w:rsid w:val="00817E9E"/>
  </w:style>
  <w:style w:type="paragraph" w:styleId="TOAHeading">
    <w:name w:val="toa heading"/>
    <w:basedOn w:val="Normal"/>
    <w:next w:val="Normal"/>
    <w:uiPriority w:val="99"/>
    <w:semiHidden/>
    <w:unhideWhenUsed/>
    <w:rsid w:val="00817E9E"/>
    <w:pPr>
      <w:spacing w:before="120"/>
    </w:pPr>
    <w:rPr>
      <w:rFonts w:asciiTheme="majorHAnsi" w:eastAsiaTheme="majorEastAsia" w:hAnsiTheme="majorHAnsi" w:cstheme="majorBidi"/>
      <w:b/>
      <w:bCs/>
      <w:sz w:val="24"/>
      <w:szCs w:val="24"/>
    </w:rPr>
  </w:style>
  <w:style w:type="paragraph" w:styleId="Index8">
    <w:name w:val="index 8"/>
    <w:basedOn w:val="Normal"/>
    <w:next w:val="Normal"/>
    <w:autoRedefine/>
    <w:uiPriority w:val="99"/>
    <w:semiHidden/>
    <w:unhideWhenUsed/>
    <w:rsid w:val="00817E9E"/>
    <w:pPr>
      <w:spacing w:after="0" w:line="240" w:lineRule="auto"/>
      <w:ind w:left="1440" w:hanging="180"/>
    </w:pPr>
  </w:style>
  <w:style w:type="paragraph" w:styleId="DocumentMap">
    <w:name w:val="Document Map"/>
    <w:basedOn w:val="Normal"/>
    <w:link w:val="DocumentMapChar"/>
    <w:uiPriority w:val="99"/>
    <w:semiHidden/>
    <w:unhideWhenUsed/>
    <w:rsid w:val="00817E9E"/>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17E9E"/>
    <w:rPr>
      <w:rFonts w:ascii="Lucida Grande" w:eastAsia="Arial" w:hAnsi="Lucida Grande" w:cs="Lucida Grande"/>
      <w:noProof/>
      <w:color w:val="3B3838" w:themeColor="background2" w:themeShade="40"/>
      <w:lang w:val="en-GB" w:eastAsia="en-US"/>
    </w:rPr>
  </w:style>
  <w:style w:type="paragraph" w:customStyle="1" w:styleId="BodyText21">
    <w:name w:val="Body Text 21"/>
    <w:basedOn w:val="Normal"/>
    <w:rsid w:val="00817E9E"/>
    <w:pPr>
      <w:spacing w:after="0" w:line="240" w:lineRule="auto"/>
    </w:pPr>
    <w:rPr>
      <w:rFonts w:ascii="Times New Roman" w:eastAsia="Times New Roman" w:hAnsi="Times New Roman"/>
      <w:color w:val="auto"/>
      <w:sz w:val="24"/>
      <w:lang w:val="fr-FR" w:eastAsia="fr-FR"/>
    </w:rPr>
  </w:style>
  <w:style w:type="paragraph" w:styleId="EndnoteText">
    <w:name w:val="endnote text"/>
    <w:basedOn w:val="Normal"/>
    <w:link w:val="EndnoteTextChar"/>
    <w:semiHidden/>
    <w:rsid w:val="00817E9E"/>
    <w:pPr>
      <w:spacing w:after="0" w:line="240" w:lineRule="auto"/>
      <w:jc w:val="left"/>
    </w:pPr>
    <w:rPr>
      <w:rFonts w:ascii="Times" w:eastAsia="Times" w:hAnsi="Times"/>
      <w:color w:val="auto"/>
      <w:sz w:val="24"/>
      <w:szCs w:val="24"/>
      <w:lang w:val="fr-FR" w:eastAsia="fr-FR"/>
    </w:rPr>
  </w:style>
  <w:style w:type="character" w:customStyle="1" w:styleId="EndnoteTextChar">
    <w:name w:val="Endnote Text Char"/>
    <w:basedOn w:val="DefaultParagraphFont"/>
    <w:link w:val="EndnoteText"/>
    <w:semiHidden/>
    <w:rsid w:val="00817E9E"/>
    <w:rPr>
      <w:rFonts w:ascii="Times" w:eastAsia="Times" w:hAnsi="Times" w:cs="Times New Roman"/>
      <w:noProof/>
      <w:lang w:val="fr-FR" w:eastAsia="fr-FR"/>
    </w:rPr>
  </w:style>
  <w:style w:type="character" w:styleId="EndnoteReference">
    <w:name w:val="endnote reference"/>
    <w:semiHidden/>
    <w:rsid w:val="00817E9E"/>
    <w:rPr>
      <w:vertAlign w:val="superscript"/>
    </w:rPr>
  </w:style>
  <w:style w:type="table" w:customStyle="1" w:styleId="PlainTable11">
    <w:name w:val="Plain Table 11"/>
    <w:basedOn w:val="TableNormal"/>
    <w:uiPriority w:val="41"/>
    <w:rsid w:val="00817E9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817E9E"/>
    <w:rPr>
      <w:sz w:val="16"/>
      <w:szCs w:val="16"/>
    </w:rPr>
  </w:style>
  <w:style w:type="paragraph" w:styleId="CommentText">
    <w:name w:val="annotation text"/>
    <w:basedOn w:val="Normal"/>
    <w:link w:val="CommentTextChar"/>
    <w:uiPriority w:val="99"/>
    <w:unhideWhenUsed/>
    <w:rsid w:val="00817E9E"/>
    <w:pPr>
      <w:spacing w:line="240" w:lineRule="auto"/>
      <w:jc w:val="left"/>
    </w:pPr>
    <w:rPr>
      <w:rFonts w:ascii="Verdana" w:eastAsiaTheme="minorHAnsi" w:hAnsi="Verdana" w:cstheme="minorBidi"/>
      <w:color w:val="auto"/>
    </w:rPr>
  </w:style>
  <w:style w:type="character" w:customStyle="1" w:styleId="CommentTextChar">
    <w:name w:val="Comment Text Char"/>
    <w:basedOn w:val="DefaultParagraphFont"/>
    <w:link w:val="CommentText"/>
    <w:uiPriority w:val="99"/>
    <w:rsid w:val="00817E9E"/>
    <w:rPr>
      <w:rFonts w:ascii="Verdana" w:eastAsiaTheme="minorHAnsi" w:hAnsi="Verdana"/>
      <w:noProof/>
      <w:sz w:val="20"/>
      <w:szCs w:val="20"/>
      <w:lang w:val="en-GB" w:eastAsia="en-US"/>
    </w:rPr>
  </w:style>
  <w:style w:type="paragraph" w:styleId="TOCHeading">
    <w:name w:val="TOC Heading"/>
    <w:basedOn w:val="Heading1"/>
    <w:next w:val="Normal"/>
    <w:uiPriority w:val="39"/>
    <w:unhideWhenUsed/>
    <w:qFormat/>
    <w:rsid w:val="00817E9E"/>
    <w:pPr>
      <w:ind w:right="567"/>
      <w:outlineLvl w:val="9"/>
    </w:pPr>
    <w:rPr>
      <w:rFonts w:asciiTheme="majorHAnsi" w:eastAsiaTheme="majorEastAsia" w:hAnsiTheme="majorHAnsi" w:cstheme="majorBidi"/>
      <w:color w:val="2D4F8E" w:themeColor="accent1" w:themeShade="B5"/>
      <w:szCs w:val="32"/>
    </w:rPr>
  </w:style>
  <w:style w:type="character" w:customStyle="1" w:styleId="apple-style-span">
    <w:name w:val="apple-style-span"/>
    <w:basedOn w:val="DefaultParagraphFont"/>
    <w:rsid w:val="00817E9E"/>
  </w:style>
  <w:style w:type="character" w:customStyle="1" w:styleId="st">
    <w:name w:val="st"/>
    <w:basedOn w:val="DefaultParagraphFont"/>
    <w:rsid w:val="00817E9E"/>
  </w:style>
  <w:style w:type="paragraph" w:styleId="CommentSubject">
    <w:name w:val="annotation subject"/>
    <w:basedOn w:val="CommentText"/>
    <w:next w:val="CommentText"/>
    <w:link w:val="CommentSubjectChar"/>
    <w:uiPriority w:val="99"/>
    <w:semiHidden/>
    <w:unhideWhenUsed/>
    <w:rsid w:val="00817E9E"/>
    <w:pPr>
      <w:jc w:val="both"/>
    </w:pPr>
    <w:rPr>
      <w:rFonts w:ascii="Tahoma" w:eastAsia="Arial" w:hAnsi="Tahoma" w:cs="Times New Roman"/>
      <w:b/>
      <w:bCs/>
      <w:color w:val="3B3838" w:themeColor="background2" w:themeShade="40"/>
    </w:rPr>
  </w:style>
  <w:style w:type="character" w:customStyle="1" w:styleId="CommentSubjectChar">
    <w:name w:val="Comment Subject Char"/>
    <w:basedOn w:val="CommentTextChar"/>
    <w:link w:val="CommentSubject"/>
    <w:uiPriority w:val="99"/>
    <w:semiHidden/>
    <w:rsid w:val="00817E9E"/>
    <w:rPr>
      <w:rFonts w:ascii="Tahoma" w:eastAsia="Arial" w:hAnsi="Tahoma" w:cs="Times New Roman"/>
      <w:b/>
      <w:bCs/>
      <w:noProof/>
      <w:color w:val="3B3838" w:themeColor="background2" w:themeShade="40"/>
      <w:sz w:val="20"/>
      <w:szCs w:val="20"/>
      <w:lang w:val="en-GB" w:eastAsia="en-US"/>
    </w:rPr>
  </w:style>
  <w:style w:type="paragraph" w:styleId="Revision">
    <w:name w:val="Revision"/>
    <w:hidden/>
    <w:uiPriority w:val="99"/>
    <w:semiHidden/>
    <w:rsid w:val="00353A2C"/>
    <w:rPr>
      <w:rFonts w:ascii="Tahoma" w:eastAsia="Arial" w:hAnsi="Tahoma" w:cs="Times New Roman"/>
      <w:color w:val="171717" w:themeColor="background2" w:themeShade="1A"/>
      <w:sz w:val="20"/>
      <w:szCs w:val="20"/>
      <w:lang w:val="en-GB" w:eastAsia="en-US"/>
    </w:rPr>
  </w:style>
  <w:style w:type="paragraph" w:styleId="ListBullet3">
    <w:name w:val="List Bullet 3"/>
    <w:basedOn w:val="Normal"/>
    <w:uiPriority w:val="99"/>
    <w:semiHidden/>
    <w:unhideWhenUsed/>
    <w:rsid w:val="009D7571"/>
    <w:pPr>
      <w:numPr>
        <w:numId w:val="15"/>
      </w:numPr>
      <w:ind w:left="641" w:hanging="357"/>
      <w:contextualSpacing/>
    </w:pPr>
  </w:style>
  <w:style w:type="paragraph" w:styleId="ListBullet4">
    <w:name w:val="List Bullet 4"/>
    <w:basedOn w:val="Normal"/>
    <w:autoRedefine/>
    <w:uiPriority w:val="99"/>
    <w:unhideWhenUsed/>
    <w:qFormat/>
    <w:rsid w:val="00487E7B"/>
    <w:pPr>
      <w:numPr>
        <w:numId w:val="16"/>
      </w:numPr>
      <w:spacing w:before="0" w:line="298" w:lineRule="auto"/>
    </w:pPr>
  </w:style>
  <w:style w:type="character" w:styleId="UnresolvedMention">
    <w:name w:val="Unresolved Mention"/>
    <w:basedOn w:val="DefaultParagraphFont"/>
    <w:uiPriority w:val="99"/>
    <w:rsid w:val="00A51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364741">
      <w:bodyDiv w:val="1"/>
      <w:marLeft w:val="0"/>
      <w:marRight w:val="0"/>
      <w:marTop w:val="0"/>
      <w:marBottom w:val="0"/>
      <w:divBdr>
        <w:top w:val="none" w:sz="0" w:space="0" w:color="auto"/>
        <w:left w:val="none" w:sz="0" w:space="0" w:color="auto"/>
        <w:bottom w:val="none" w:sz="0" w:space="0" w:color="auto"/>
        <w:right w:val="none" w:sz="0" w:space="0" w:color="auto"/>
      </w:divBdr>
    </w:div>
    <w:div w:id="331684152">
      <w:bodyDiv w:val="1"/>
      <w:marLeft w:val="0"/>
      <w:marRight w:val="0"/>
      <w:marTop w:val="0"/>
      <w:marBottom w:val="0"/>
      <w:divBdr>
        <w:top w:val="none" w:sz="0" w:space="0" w:color="auto"/>
        <w:left w:val="none" w:sz="0" w:space="0" w:color="auto"/>
        <w:bottom w:val="none" w:sz="0" w:space="0" w:color="auto"/>
        <w:right w:val="none" w:sz="0" w:space="0" w:color="auto"/>
      </w:divBdr>
    </w:div>
    <w:div w:id="343825868">
      <w:bodyDiv w:val="1"/>
      <w:marLeft w:val="0"/>
      <w:marRight w:val="0"/>
      <w:marTop w:val="0"/>
      <w:marBottom w:val="0"/>
      <w:divBdr>
        <w:top w:val="none" w:sz="0" w:space="0" w:color="auto"/>
        <w:left w:val="none" w:sz="0" w:space="0" w:color="auto"/>
        <w:bottom w:val="none" w:sz="0" w:space="0" w:color="auto"/>
        <w:right w:val="none" w:sz="0" w:space="0" w:color="auto"/>
      </w:divBdr>
    </w:div>
    <w:div w:id="354118971">
      <w:bodyDiv w:val="1"/>
      <w:marLeft w:val="0"/>
      <w:marRight w:val="0"/>
      <w:marTop w:val="0"/>
      <w:marBottom w:val="0"/>
      <w:divBdr>
        <w:top w:val="none" w:sz="0" w:space="0" w:color="auto"/>
        <w:left w:val="none" w:sz="0" w:space="0" w:color="auto"/>
        <w:bottom w:val="none" w:sz="0" w:space="0" w:color="auto"/>
        <w:right w:val="none" w:sz="0" w:space="0" w:color="auto"/>
      </w:divBdr>
      <w:divsChild>
        <w:div w:id="180121341">
          <w:marLeft w:val="0"/>
          <w:marRight w:val="0"/>
          <w:marTop w:val="0"/>
          <w:marBottom w:val="0"/>
          <w:divBdr>
            <w:top w:val="none" w:sz="0" w:space="0" w:color="auto"/>
            <w:left w:val="none" w:sz="0" w:space="0" w:color="auto"/>
            <w:bottom w:val="none" w:sz="0" w:space="0" w:color="auto"/>
            <w:right w:val="none" w:sz="0" w:space="0" w:color="auto"/>
          </w:divBdr>
          <w:divsChild>
            <w:div w:id="912472115">
              <w:marLeft w:val="0"/>
              <w:marRight w:val="0"/>
              <w:marTop w:val="0"/>
              <w:marBottom w:val="0"/>
              <w:divBdr>
                <w:top w:val="none" w:sz="0" w:space="0" w:color="auto"/>
                <w:left w:val="none" w:sz="0" w:space="0" w:color="auto"/>
                <w:bottom w:val="none" w:sz="0" w:space="0" w:color="auto"/>
                <w:right w:val="none" w:sz="0" w:space="0" w:color="auto"/>
              </w:divBdr>
              <w:divsChild>
                <w:div w:id="191929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360899">
      <w:bodyDiv w:val="1"/>
      <w:marLeft w:val="0"/>
      <w:marRight w:val="0"/>
      <w:marTop w:val="0"/>
      <w:marBottom w:val="0"/>
      <w:divBdr>
        <w:top w:val="none" w:sz="0" w:space="0" w:color="auto"/>
        <w:left w:val="none" w:sz="0" w:space="0" w:color="auto"/>
        <w:bottom w:val="none" w:sz="0" w:space="0" w:color="auto"/>
        <w:right w:val="none" w:sz="0" w:space="0" w:color="auto"/>
      </w:divBdr>
    </w:div>
    <w:div w:id="583953969">
      <w:bodyDiv w:val="1"/>
      <w:marLeft w:val="0"/>
      <w:marRight w:val="0"/>
      <w:marTop w:val="0"/>
      <w:marBottom w:val="0"/>
      <w:divBdr>
        <w:top w:val="none" w:sz="0" w:space="0" w:color="auto"/>
        <w:left w:val="none" w:sz="0" w:space="0" w:color="auto"/>
        <w:bottom w:val="none" w:sz="0" w:space="0" w:color="auto"/>
        <w:right w:val="none" w:sz="0" w:space="0" w:color="auto"/>
      </w:divBdr>
    </w:div>
    <w:div w:id="845437186">
      <w:bodyDiv w:val="1"/>
      <w:marLeft w:val="0"/>
      <w:marRight w:val="0"/>
      <w:marTop w:val="0"/>
      <w:marBottom w:val="0"/>
      <w:divBdr>
        <w:top w:val="none" w:sz="0" w:space="0" w:color="auto"/>
        <w:left w:val="none" w:sz="0" w:space="0" w:color="auto"/>
        <w:bottom w:val="none" w:sz="0" w:space="0" w:color="auto"/>
        <w:right w:val="none" w:sz="0" w:space="0" w:color="auto"/>
      </w:divBdr>
      <w:divsChild>
        <w:div w:id="1337075990">
          <w:marLeft w:val="0"/>
          <w:marRight w:val="0"/>
          <w:marTop w:val="0"/>
          <w:marBottom w:val="900"/>
          <w:divBdr>
            <w:top w:val="none" w:sz="0" w:space="0" w:color="auto"/>
            <w:left w:val="none" w:sz="0" w:space="0" w:color="auto"/>
            <w:bottom w:val="none" w:sz="0" w:space="0" w:color="auto"/>
            <w:right w:val="none" w:sz="0" w:space="0" w:color="auto"/>
          </w:divBdr>
          <w:divsChild>
            <w:div w:id="1809087545">
              <w:marLeft w:val="0"/>
              <w:marRight w:val="0"/>
              <w:marTop w:val="0"/>
              <w:marBottom w:val="0"/>
              <w:divBdr>
                <w:top w:val="none" w:sz="0" w:space="0" w:color="auto"/>
                <w:left w:val="none" w:sz="0" w:space="0" w:color="auto"/>
                <w:bottom w:val="none" w:sz="0" w:space="0" w:color="auto"/>
                <w:right w:val="none" w:sz="0" w:space="0" w:color="auto"/>
              </w:divBdr>
              <w:divsChild>
                <w:div w:id="2101365775">
                  <w:marLeft w:val="-150"/>
                  <w:marRight w:val="-150"/>
                  <w:marTop w:val="0"/>
                  <w:marBottom w:val="0"/>
                  <w:divBdr>
                    <w:top w:val="none" w:sz="0" w:space="0" w:color="auto"/>
                    <w:left w:val="none" w:sz="0" w:space="0" w:color="auto"/>
                    <w:bottom w:val="none" w:sz="0" w:space="0" w:color="auto"/>
                    <w:right w:val="none" w:sz="0" w:space="0" w:color="auto"/>
                  </w:divBdr>
                  <w:divsChild>
                    <w:div w:id="28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77150">
          <w:marLeft w:val="0"/>
          <w:marRight w:val="0"/>
          <w:marTop w:val="0"/>
          <w:marBottom w:val="0"/>
          <w:divBdr>
            <w:top w:val="none" w:sz="0" w:space="0" w:color="auto"/>
            <w:left w:val="none" w:sz="0" w:space="0" w:color="auto"/>
            <w:bottom w:val="none" w:sz="0" w:space="0" w:color="auto"/>
            <w:right w:val="none" w:sz="0" w:space="0" w:color="auto"/>
          </w:divBdr>
          <w:divsChild>
            <w:div w:id="95324552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009257623">
      <w:bodyDiv w:val="1"/>
      <w:marLeft w:val="0"/>
      <w:marRight w:val="0"/>
      <w:marTop w:val="0"/>
      <w:marBottom w:val="0"/>
      <w:divBdr>
        <w:top w:val="none" w:sz="0" w:space="0" w:color="auto"/>
        <w:left w:val="none" w:sz="0" w:space="0" w:color="auto"/>
        <w:bottom w:val="none" w:sz="0" w:space="0" w:color="auto"/>
        <w:right w:val="none" w:sz="0" w:space="0" w:color="auto"/>
      </w:divBdr>
    </w:div>
    <w:div w:id="1195576859">
      <w:bodyDiv w:val="1"/>
      <w:marLeft w:val="0"/>
      <w:marRight w:val="0"/>
      <w:marTop w:val="0"/>
      <w:marBottom w:val="0"/>
      <w:divBdr>
        <w:top w:val="none" w:sz="0" w:space="0" w:color="auto"/>
        <w:left w:val="none" w:sz="0" w:space="0" w:color="auto"/>
        <w:bottom w:val="none" w:sz="0" w:space="0" w:color="auto"/>
        <w:right w:val="none" w:sz="0" w:space="0" w:color="auto"/>
      </w:divBdr>
    </w:div>
    <w:div w:id="1358462845">
      <w:bodyDiv w:val="1"/>
      <w:marLeft w:val="0"/>
      <w:marRight w:val="0"/>
      <w:marTop w:val="0"/>
      <w:marBottom w:val="0"/>
      <w:divBdr>
        <w:top w:val="none" w:sz="0" w:space="0" w:color="auto"/>
        <w:left w:val="none" w:sz="0" w:space="0" w:color="auto"/>
        <w:bottom w:val="none" w:sz="0" w:space="0" w:color="auto"/>
        <w:right w:val="none" w:sz="0" w:space="0" w:color="auto"/>
      </w:divBdr>
    </w:div>
    <w:div w:id="1366447187">
      <w:bodyDiv w:val="1"/>
      <w:marLeft w:val="0"/>
      <w:marRight w:val="0"/>
      <w:marTop w:val="0"/>
      <w:marBottom w:val="0"/>
      <w:divBdr>
        <w:top w:val="none" w:sz="0" w:space="0" w:color="auto"/>
        <w:left w:val="none" w:sz="0" w:space="0" w:color="auto"/>
        <w:bottom w:val="none" w:sz="0" w:space="0" w:color="auto"/>
        <w:right w:val="none" w:sz="0" w:space="0" w:color="auto"/>
      </w:divBdr>
    </w:div>
    <w:div w:id="1391265854">
      <w:bodyDiv w:val="1"/>
      <w:marLeft w:val="0"/>
      <w:marRight w:val="0"/>
      <w:marTop w:val="0"/>
      <w:marBottom w:val="0"/>
      <w:divBdr>
        <w:top w:val="none" w:sz="0" w:space="0" w:color="auto"/>
        <w:left w:val="none" w:sz="0" w:space="0" w:color="auto"/>
        <w:bottom w:val="none" w:sz="0" w:space="0" w:color="auto"/>
        <w:right w:val="none" w:sz="0" w:space="0" w:color="auto"/>
      </w:divBdr>
    </w:div>
    <w:div w:id="1411542715">
      <w:bodyDiv w:val="1"/>
      <w:marLeft w:val="0"/>
      <w:marRight w:val="0"/>
      <w:marTop w:val="0"/>
      <w:marBottom w:val="0"/>
      <w:divBdr>
        <w:top w:val="none" w:sz="0" w:space="0" w:color="auto"/>
        <w:left w:val="none" w:sz="0" w:space="0" w:color="auto"/>
        <w:bottom w:val="none" w:sz="0" w:space="0" w:color="auto"/>
        <w:right w:val="none" w:sz="0" w:space="0" w:color="auto"/>
      </w:divBdr>
    </w:div>
    <w:div w:id="1590499124">
      <w:bodyDiv w:val="1"/>
      <w:marLeft w:val="0"/>
      <w:marRight w:val="0"/>
      <w:marTop w:val="0"/>
      <w:marBottom w:val="0"/>
      <w:divBdr>
        <w:top w:val="none" w:sz="0" w:space="0" w:color="auto"/>
        <w:left w:val="none" w:sz="0" w:space="0" w:color="auto"/>
        <w:bottom w:val="none" w:sz="0" w:space="0" w:color="auto"/>
        <w:right w:val="none" w:sz="0" w:space="0" w:color="auto"/>
      </w:divBdr>
    </w:div>
    <w:div w:id="1675644262">
      <w:bodyDiv w:val="1"/>
      <w:marLeft w:val="0"/>
      <w:marRight w:val="0"/>
      <w:marTop w:val="0"/>
      <w:marBottom w:val="0"/>
      <w:divBdr>
        <w:top w:val="none" w:sz="0" w:space="0" w:color="auto"/>
        <w:left w:val="none" w:sz="0" w:space="0" w:color="auto"/>
        <w:bottom w:val="none" w:sz="0" w:space="0" w:color="auto"/>
        <w:right w:val="none" w:sz="0" w:space="0" w:color="auto"/>
      </w:divBdr>
    </w:div>
    <w:div w:id="1813789248">
      <w:bodyDiv w:val="1"/>
      <w:marLeft w:val="0"/>
      <w:marRight w:val="0"/>
      <w:marTop w:val="0"/>
      <w:marBottom w:val="0"/>
      <w:divBdr>
        <w:top w:val="none" w:sz="0" w:space="0" w:color="auto"/>
        <w:left w:val="none" w:sz="0" w:space="0" w:color="auto"/>
        <w:bottom w:val="none" w:sz="0" w:space="0" w:color="auto"/>
        <w:right w:val="none" w:sz="0" w:space="0" w:color="auto"/>
      </w:divBdr>
    </w:div>
    <w:div w:id="1822307781">
      <w:bodyDiv w:val="1"/>
      <w:marLeft w:val="0"/>
      <w:marRight w:val="0"/>
      <w:marTop w:val="0"/>
      <w:marBottom w:val="0"/>
      <w:divBdr>
        <w:top w:val="none" w:sz="0" w:space="0" w:color="auto"/>
        <w:left w:val="none" w:sz="0" w:space="0" w:color="auto"/>
        <w:bottom w:val="none" w:sz="0" w:space="0" w:color="auto"/>
        <w:right w:val="none" w:sz="0" w:space="0" w:color="auto"/>
      </w:divBdr>
    </w:div>
    <w:div w:id="1942491548">
      <w:bodyDiv w:val="1"/>
      <w:marLeft w:val="0"/>
      <w:marRight w:val="0"/>
      <w:marTop w:val="0"/>
      <w:marBottom w:val="0"/>
      <w:divBdr>
        <w:top w:val="none" w:sz="0" w:space="0" w:color="auto"/>
        <w:left w:val="none" w:sz="0" w:space="0" w:color="auto"/>
        <w:bottom w:val="none" w:sz="0" w:space="0" w:color="auto"/>
        <w:right w:val="none" w:sz="0" w:space="0" w:color="auto"/>
      </w:divBdr>
      <w:divsChild>
        <w:div w:id="707097892">
          <w:marLeft w:val="0"/>
          <w:marRight w:val="0"/>
          <w:marTop w:val="0"/>
          <w:marBottom w:val="0"/>
          <w:divBdr>
            <w:top w:val="none" w:sz="0" w:space="0" w:color="auto"/>
            <w:left w:val="none" w:sz="0" w:space="0" w:color="auto"/>
            <w:bottom w:val="none" w:sz="0" w:space="0" w:color="auto"/>
            <w:right w:val="none" w:sz="0" w:space="0" w:color="auto"/>
          </w:divBdr>
        </w:div>
        <w:div w:id="38241351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nk.springer.com/book/10.1007/978-3-642-31626-5" TargetMode="External"/><Relationship Id="rId18" Type="http://schemas.openxmlformats.org/officeDocument/2006/relationships/hyperlink" Target="http://ec.europa.eu/research/bioeconomy/pdf/regional-biotech-report.pdf" TargetMode="External"/><Relationship Id="rId26" Type="http://schemas.openxmlformats.org/officeDocument/2006/relationships/hyperlink" Target="https://ideas.repec.org/p/jrp/jrpwrp/2009-058.html" TargetMode="External"/><Relationship Id="rId39" Type="http://schemas.openxmlformats.org/officeDocument/2006/relationships/theme" Target="theme/theme1.xml"/><Relationship Id="rId21" Type="http://schemas.openxmlformats.org/officeDocument/2006/relationships/hyperlink" Target="http://scholar.google.com/scholar_lookup?title=%E2%80%9CRegional%20innovation%20systems%3A%20The%20integration%20of%20local%20sticky%20and%20global%20ubiquitous%20knowledge%E2%80%9D&amp;author=B%20Asheim&amp;author=A%20Isaksen&amp;publication_year=2002&amp;journal=The%20Journal%20of%20Technology%20Transfer&amp;volume=27&amp;pages=77-86" TargetMode="External"/><Relationship Id="rId34" Type="http://schemas.openxmlformats.org/officeDocument/2006/relationships/hyperlink" Target="http://cor.europa.eu/en/activities/governance/Documents/vdb-opinion-mlg/cdr273-2011_fin_ac_en.pdf" TargetMode="External"/><Relationship Id="rId7" Type="http://schemas.openxmlformats.org/officeDocument/2006/relationships/endnotes" Target="endnotes.xml"/><Relationship Id="rId12" Type="http://schemas.openxmlformats.org/officeDocument/2006/relationships/hyperlink" Target="https://www.interregeurope.eu/policylearning/good-practices/item/162/traceability-and-big-data-for-achieving-european-agrofood-sector-smart-specialisation/" TargetMode="External"/><Relationship Id="rId17" Type="http://schemas.openxmlformats.org/officeDocument/2006/relationships/hyperlink" Target="http://www.clusterobservatory.eu/system/modules/com.gridnine.opencms.modules.eco/providers/getpdf.jsp?uid=100146" TargetMode="External"/><Relationship Id="rId25" Type="http://schemas.openxmlformats.org/officeDocument/2006/relationships/hyperlink" Target="http://scholar.google.com/scholar_lookup?title=%E2%80%9CSectoral%20systems%20of%20innovation%3A%20Technological%20regimes%2C%20Schumpeterian%20dynamics%20and%20spatial%20boundaries%E2%80%9D&amp;author=S%20Breschi&amp;author=F%20Malerba&amp;publication_year=1997&amp;citation_inbook_title=Systems%20of%20Innovation" TargetMode="External"/><Relationship Id="rId33" Type="http://schemas.openxmlformats.org/officeDocument/2006/relationships/hyperlink" Target="http://phg.sagepub.com/search?author1=Roel+Rutten&amp;sortspec=date&amp;submit=Submi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terprise-ireland.com/en/Research-Innovation/Companies/Collaborate-with-companies-research-institutes/Technology-Centres.html" TargetMode="External"/><Relationship Id="rId20" Type="http://schemas.openxmlformats.org/officeDocument/2006/relationships/hyperlink" Target="http://epc.sagepub.com/external-ref?access_num=10.1023/A:1013100704794&amp;link_type=DOI" TargetMode="External"/><Relationship Id="rId29" Type="http://schemas.openxmlformats.org/officeDocument/2006/relationships/hyperlink" Target="https://ideas.repec.org/s/taf/indin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Users/ninetta/Google%20Drive/BRIDGES/Policy%20learning/Good%20practices/Final%20GPs%20&amp;%20capitalisation%20report/Regions" TargetMode="External"/><Relationship Id="rId24" Type="http://schemas.openxmlformats.org/officeDocument/2006/relationships/hyperlink" Target="http://scholar.google.com/scholar_lookup?title=%E2%80%9CProximity%20and%20innovation%3A%20A%20critical%20assessment%E2%80%9D&amp;author=R%20Boschma&amp;publication_year=2005&amp;journal=Regional%20Studies&amp;volume=39&amp;pages=61-74" TargetMode="External"/><Relationship Id="rId32" Type="http://schemas.openxmlformats.org/officeDocument/2006/relationships/hyperlink" Target="http://www.oecdregionalwellbeing.org/region.html"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nterprise-ireland.com/en/Research-Innovation/Companies/C...research-institutes/Industry-Led-Research-Networks-Programme.html" TargetMode="External"/><Relationship Id="rId23" Type="http://schemas.openxmlformats.org/officeDocument/2006/relationships/hyperlink" Target="http://epc.sagepub.com/external-ref?access_num=000226292500005&amp;link_type=ISI" TargetMode="External"/><Relationship Id="rId28" Type="http://schemas.openxmlformats.org/officeDocument/2006/relationships/hyperlink" Target="https://ideas.repec.org/a/taf/indinn/v18y2011i1p69-88.html" TargetMode="External"/><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cholar.google.com/scholar_lookup?title=%E2%80%9CThe%20geography%20of%20innovation%3A%20Regional%20innovation%20systems%E2%80%9D&amp;author=B%20Asheim&amp;author=M%20Gertler&amp;publication_year=2005&amp;citation_inbook_title=The%20Oxford%20Handbook%20of%20Innovation" TargetMode="External"/><Relationship Id="rId31" Type="http://schemas.openxmlformats.org/officeDocument/2006/relationships/hyperlink" Target="http://www.tandfonline.com/toc/cres20/37/3"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link.springer.com/bookseries/3302" TargetMode="External"/><Relationship Id="rId22" Type="http://schemas.openxmlformats.org/officeDocument/2006/relationships/hyperlink" Target="http://epc.sagepub.com/external-ref?access_num=10.1080/0034340052000320887&amp;link_type=DOI" TargetMode="External"/><Relationship Id="rId27" Type="http://schemas.openxmlformats.org/officeDocument/2006/relationships/hyperlink" Target="https://ideas.repec.org/s/jrp/jrpwrp.html" TargetMode="External"/><Relationship Id="rId30" Type="http://schemas.openxmlformats.org/officeDocument/2006/relationships/hyperlink" Target="http://www.tandfonline.com/loi/cres20?open=37"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ideas.repec.org/p/jrp/jrpwrp/2009-058.html" TargetMode="External"/><Relationship Id="rId3" Type="http://schemas.openxmlformats.org/officeDocument/2006/relationships/hyperlink" Target="http://www.aka.fi/en/research-and-science-policy/centres-of-excellence/" TargetMode="External"/><Relationship Id="rId7" Type="http://schemas.openxmlformats.org/officeDocument/2006/relationships/hyperlink" Target="http://www.tandfonline.com/toc/cres20/37/3" TargetMode="External"/><Relationship Id="rId12" Type="http://schemas.openxmlformats.org/officeDocument/2006/relationships/hyperlink" Target="http://phg.sagepub.com/search?author1=Roel+Rutten&amp;sortspec=date&amp;submit=Submit" TargetMode="External"/><Relationship Id="rId2" Type="http://schemas.openxmlformats.org/officeDocument/2006/relationships/hyperlink" Target="https://www.researchgate.net/publication/228867861_Innovation_through_programming_The_finnish_centres_of_expertise_programme_as_an_instrument_of_networking_and_knowledge_building" TargetMode="External"/><Relationship Id="rId1" Type="http://schemas.openxmlformats.org/officeDocument/2006/relationships/hyperlink" Target="https://www.enterprise-ireland.com/en/research-innovation/companies/r-d-funding/competence-center-faqs" TargetMode="External"/><Relationship Id="rId6" Type="http://schemas.openxmlformats.org/officeDocument/2006/relationships/hyperlink" Target="http://www.tandfonline.com/loi/cres20?open=37" TargetMode="External"/><Relationship Id="rId11" Type="http://schemas.openxmlformats.org/officeDocument/2006/relationships/hyperlink" Target="https://ideas.repec.org/s/taf/indinn.html" TargetMode="External"/><Relationship Id="rId5" Type="http://schemas.openxmlformats.org/officeDocument/2006/relationships/hyperlink" Target="file:///Users/ninetta/Google%20Drive/BRIDGES/Policy%20learning/Good%20practices/Final%20GPs%20&amp;%20capitalisation%20report/Regions" TargetMode="External"/><Relationship Id="rId10" Type="http://schemas.openxmlformats.org/officeDocument/2006/relationships/hyperlink" Target="https://ideas.repec.org/a/taf/indinn/v18y2011i1p69-88.html" TargetMode="External"/><Relationship Id="rId4" Type="http://schemas.openxmlformats.org/officeDocument/2006/relationships/hyperlink" Target="http://www.aka.fi/en/research-and-science-policy/centres-of-excellence/coe-events/info-renewed-centre-of-excellence-programme-20182025/" TargetMode="External"/><Relationship Id="rId9" Type="http://schemas.openxmlformats.org/officeDocument/2006/relationships/hyperlink" Target="https://ideas.repec.org/s/jrp/jrpwrp.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interregeurope.eu/bridges/" TargetMode="External"/></Relationships>
</file>

<file path=word/theme/theme1.xml><?xml version="1.0" encoding="utf-8"?>
<a:theme xmlns:a="http://schemas.openxmlformats.org/drawingml/2006/main" name="Vapor Trail">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Vapor Trail">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apor Trail">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81B6287-5BA9-5B4A-9A99-B9860BAA6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12772</Words>
  <Characters>72801</Characters>
  <Application>Microsoft Office Word</Application>
  <DocSecurity>12</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Kainuun Etu Oy</Company>
  <LinksUpToDate>false</LinksUpToDate>
  <CharactersWithSpaces>85403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Ninetta Chaniotou</dc:creator>
  <cp:keywords/>
  <dc:description/>
  <cp:lastModifiedBy>Ninetta Chaniotou</cp:lastModifiedBy>
  <cp:revision>3</cp:revision>
  <cp:lastPrinted>2018-01-04T12:00:00Z</cp:lastPrinted>
  <dcterms:created xsi:type="dcterms:W3CDTF">2018-10-06T07:54:00Z</dcterms:created>
  <dcterms:modified xsi:type="dcterms:W3CDTF">2018-10-06T07:54:00Z</dcterms:modified>
</cp:coreProperties>
</file>