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3C5" w:rsidRDefault="003403C5" w:rsidP="003403C5">
      <w:pPr>
        <w:suppressAutoHyphens w:val="0"/>
        <w:rPr>
          <w:rFonts w:asciiTheme="minorHAnsi" w:hAnsiTheme="minorHAnsi" w:cstheme="minorHAnsi"/>
          <w:b/>
          <w:szCs w:val="22"/>
          <w:lang w:val="en-GB"/>
        </w:rPr>
      </w:pPr>
      <w:bookmarkStart w:id="0" w:name="_GoBack"/>
      <w:bookmarkEnd w:id="0"/>
    </w:p>
    <w:p w:rsidR="003403C5" w:rsidRDefault="003403C5" w:rsidP="003403C5">
      <w:pPr>
        <w:suppressAutoHyphens w:val="0"/>
        <w:rPr>
          <w:rFonts w:asciiTheme="minorHAnsi" w:hAnsiTheme="minorHAnsi" w:cstheme="minorHAnsi"/>
          <w:b/>
          <w:szCs w:val="22"/>
          <w:lang w:val="en-GB"/>
        </w:rPr>
      </w:pPr>
    </w:p>
    <w:p w:rsidR="003403C5" w:rsidRDefault="003403C5" w:rsidP="003403C5">
      <w:pPr>
        <w:spacing w:line="276" w:lineRule="auto"/>
        <w:jc w:val="both"/>
        <w:rPr>
          <w:rFonts w:asciiTheme="minorHAnsi" w:hAnsiTheme="minorHAnsi" w:cstheme="minorHAnsi"/>
          <w:b/>
          <w:sz w:val="36"/>
          <w:szCs w:val="36"/>
          <w:lang w:val="en-GB"/>
        </w:rPr>
      </w:pPr>
    </w:p>
    <w:p w:rsidR="003403C5" w:rsidRDefault="003403C5" w:rsidP="003403C5">
      <w:pPr>
        <w:spacing w:line="276" w:lineRule="auto"/>
        <w:jc w:val="both"/>
        <w:rPr>
          <w:rFonts w:asciiTheme="minorHAnsi" w:hAnsiTheme="minorHAnsi" w:cstheme="minorHAnsi"/>
          <w:b/>
          <w:sz w:val="36"/>
          <w:szCs w:val="36"/>
          <w:lang w:val="en-GB"/>
        </w:rPr>
      </w:pPr>
    </w:p>
    <w:p w:rsidR="003403C5" w:rsidRDefault="003403C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Green Angel Syndicate</w:t>
      </w:r>
    </w:p>
    <w:p w:rsidR="003403C5" w:rsidRDefault="003403C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Market Needs Review</w:t>
      </w:r>
      <w:r w:rsidR="00421DB5">
        <w:rPr>
          <w:rFonts w:asciiTheme="minorHAnsi" w:hAnsiTheme="minorHAnsi" w:cstheme="minorHAnsi"/>
          <w:b/>
          <w:sz w:val="36"/>
          <w:szCs w:val="36"/>
          <w:lang w:val="en-GB"/>
        </w:rPr>
        <w:t xml:space="preserve"> with respect to</w:t>
      </w:r>
    </w:p>
    <w:p w:rsidR="00421DB5" w:rsidRDefault="00421DB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Energy Efficiency in Public Buildings</w:t>
      </w:r>
    </w:p>
    <w:p w:rsidR="003403C5" w:rsidRPr="0084250C" w:rsidRDefault="003403C5" w:rsidP="003403C5">
      <w:pPr>
        <w:spacing w:line="480" w:lineRule="auto"/>
        <w:jc w:val="center"/>
        <w:rPr>
          <w:rFonts w:asciiTheme="minorHAnsi" w:hAnsiTheme="minorHAnsi" w:cstheme="minorHAnsi"/>
          <w:i/>
          <w:sz w:val="36"/>
          <w:szCs w:val="36"/>
          <w:lang w:val="en-GB"/>
        </w:rPr>
      </w:pPr>
      <w:r>
        <w:rPr>
          <w:rFonts w:asciiTheme="minorHAnsi" w:hAnsiTheme="minorHAnsi" w:cstheme="minorHAnsi"/>
          <w:i/>
          <w:sz w:val="36"/>
          <w:szCs w:val="36"/>
          <w:lang w:val="en-GB"/>
        </w:rPr>
        <w:t>on behalf of</w:t>
      </w:r>
    </w:p>
    <w:p w:rsidR="003403C5" w:rsidRDefault="003403C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Slovenian Energy A</w:t>
      </w:r>
      <w:r w:rsidRPr="0084250C">
        <w:rPr>
          <w:rFonts w:asciiTheme="minorHAnsi" w:hAnsiTheme="minorHAnsi" w:cstheme="minorHAnsi"/>
          <w:b/>
          <w:sz w:val="36"/>
          <w:szCs w:val="36"/>
          <w:lang w:val="en-GB"/>
        </w:rPr>
        <w:t>gency</w:t>
      </w:r>
      <w:r>
        <w:rPr>
          <w:rFonts w:asciiTheme="minorHAnsi" w:hAnsiTheme="minorHAnsi" w:cstheme="minorHAnsi"/>
          <w:b/>
          <w:sz w:val="36"/>
          <w:szCs w:val="36"/>
          <w:lang w:val="en-GB"/>
        </w:rPr>
        <w:t xml:space="preserve">, </w:t>
      </w:r>
      <w:r w:rsidRPr="0084250C">
        <w:rPr>
          <w:rFonts w:asciiTheme="minorHAnsi" w:hAnsiTheme="minorHAnsi" w:cstheme="minorHAnsi"/>
          <w:b/>
          <w:sz w:val="36"/>
          <w:szCs w:val="36"/>
          <w:lang w:val="en-GB"/>
        </w:rPr>
        <w:t>Spodnje Podravje</w:t>
      </w:r>
    </w:p>
    <w:p w:rsidR="003403C5" w:rsidRPr="0084250C" w:rsidRDefault="003403C5" w:rsidP="003403C5">
      <w:pPr>
        <w:spacing w:line="480" w:lineRule="auto"/>
        <w:jc w:val="center"/>
        <w:rPr>
          <w:rFonts w:asciiTheme="minorHAnsi" w:hAnsiTheme="minorHAnsi" w:cstheme="minorHAnsi"/>
          <w:i/>
          <w:sz w:val="36"/>
          <w:szCs w:val="36"/>
          <w:lang w:val="en-GB"/>
        </w:rPr>
      </w:pPr>
      <w:r>
        <w:rPr>
          <w:rFonts w:asciiTheme="minorHAnsi" w:hAnsiTheme="minorHAnsi" w:cstheme="minorHAnsi"/>
          <w:i/>
          <w:sz w:val="36"/>
          <w:szCs w:val="36"/>
          <w:lang w:val="en-GB"/>
        </w:rPr>
        <w:t>in support of</w:t>
      </w:r>
    </w:p>
    <w:p w:rsidR="003403C5" w:rsidRDefault="003403C5" w:rsidP="003403C5">
      <w:pPr>
        <w:spacing w:line="480" w:lineRule="auto"/>
        <w:jc w:val="center"/>
        <w:rPr>
          <w:rFonts w:asciiTheme="minorHAnsi" w:hAnsiTheme="minorHAnsi" w:cstheme="minorHAnsi"/>
          <w:b/>
          <w:sz w:val="36"/>
          <w:szCs w:val="36"/>
          <w:lang w:val="en-GB"/>
        </w:rPr>
      </w:pPr>
      <w:r w:rsidRPr="0084250C">
        <w:rPr>
          <w:rFonts w:asciiTheme="minorHAnsi" w:hAnsiTheme="minorHAnsi" w:cstheme="minorHAnsi"/>
          <w:b/>
          <w:sz w:val="36"/>
          <w:szCs w:val="36"/>
          <w:lang w:val="en-GB"/>
        </w:rPr>
        <w:t>Interreg Europe project ZEROCO2</w:t>
      </w:r>
    </w:p>
    <w:p w:rsidR="003403C5" w:rsidRDefault="003403C5" w:rsidP="003403C5">
      <w:pPr>
        <w:spacing w:line="480" w:lineRule="auto"/>
        <w:jc w:val="center"/>
        <w:rPr>
          <w:rFonts w:asciiTheme="minorHAnsi" w:hAnsiTheme="minorHAnsi" w:cstheme="minorHAnsi"/>
          <w:b/>
          <w:sz w:val="36"/>
          <w:szCs w:val="36"/>
          <w:lang w:val="en-GB"/>
        </w:rPr>
      </w:pPr>
    </w:p>
    <w:p w:rsidR="003403C5" w:rsidRPr="0084250C" w:rsidRDefault="003403C5" w:rsidP="003403C5">
      <w:pPr>
        <w:spacing w:line="480" w:lineRule="auto"/>
        <w:jc w:val="center"/>
        <w:rPr>
          <w:rFonts w:asciiTheme="minorHAnsi" w:hAnsiTheme="minorHAnsi" w:cstheme="minorHAnsi"/>
          <w:b/>
          <w:sz w:val="36"/>
          <w:szCs w:val="36"/>
          <w:lang w:val="en-GB"/>
        </w:rPr>
      </w:pPr>
      <w:r>
        <w:rPr>
          <w:rFonts w:asciiTheme="minorHAnsi" w:hAnsiTheme="minorHAnsi" w:cstheme="minorHAnsi"/>
          <w:b/>
          <w:sz w:val="36"/>
          <w:szCs w:val="36"/>
          <w:lang w:val="en-GB"/>
        </w:rPr>
        <w:t>3</w:t>
      </w:r>
      <w:r w:rsidRPr="003403C5">
        <w:rPr>
          <w:rFonts w:asciiTheme="minorHAnsi" w:hAnsiTheme="minorHAnsi" w:cstheme="minorHAnsi"/>
          <w:b/>
          <w:sz w:val="36"/>
          <w:szCs w:val="36"/>
          <w:vertAlign w:val="superscript"/>
          <w:lang w:val="en-GB"/>
        </w:rPr>
        <w:t>rd</w:t>
      </w:r>
      <w:r>
        <w:rPr>
          <w:rFonts w:asciiTheme="minorHAnsi" w:hAnsiTheme="minorHAnsi" w:cstheme="minorHAnsi"/>
          <w:b/>
          <w:sz w:val="36"/>
          <w:szCs w:val="36"/>
          <w:lang w:val="en-GB"/>
        </w:rPr>
        <w:t xml:space="preserve"> October 2017</w:t>
      </w:r>
    </w:p>
    <w:p w:rsidR="003403C5" w:rsidRDefault="003403C5" w:rsidP="003403C5">
      <w:pPr>
        <w:suppressAutoHyphens w:val="0"/>
        <w:spacing w:after="200" w:line="276" w:lineRule="auto"/>
        <w:contextualSpacing/>
        <w:jc w:val="both"/>
        <w:rPr>
          <w:rFonts w:ascii="Calibri" w:hAnsi="Calibri" w:cs="Calibri"/>
          <w:bCs/>
        </w:rPr>
      </w:pPr>
    </w:p>
    <w:p w:rsidR="003403C5" w:rsidRDefault="003403C5" w:rsidP="003403C5">
      <w:pPr>
        <w:suppressAutoHyphens w:val="0"/>
        <w:spacing w:after="200" w:line="276" w:lineRule="auto"/>
        <w:contextualSpacing/>
        <w:jc w:val="both"/>
        <w:rPr>
          <w:rFonts w:ascii="Calibri" w:hAnsi="Calibri" w:cs="Calibri"/>
          <w:bCs/>
        </w:rPr>
      </w:pP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Green Angel Syndicate</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24 East Claremont Street</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Edinburgh</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EH7 4JP</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UK</w:t>
      </w:r>
    </w:p>
    <w:p w:rsidR="003403C5" w:rsidRDefault="003403C5" w:rsidP="003403C5">
      <w:pPr>
        <w:suppressAutoHyphens w:val="0"/>
        <w:spacing w:after="200" w:line="276" w:lineRule="auto"/>
        <w:contextualSpacing/>
        <w:jc w:val="both"/>
        <w:rPr>
          <w:rFonts w:ascii="Calibri" w:hAnsi="Calibri" w:cs="Calibri"/>
          <w:bCs/>
        </w:rPr>
      </w:pP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Contact: Nick Lyth</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Tel: +44 (0) 7802 150053</w:t>
      </w:r>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 xml:space="preserve">Email: </w:t>
      </w:r>
      <w:hyperlink r:id="rId7" w:history="1">
        <w:r w:rsidRPr="000405E3">
          <w:rPr>
            <w:rStyle w:val="Hiperpovezava"/>
            <w:rFonts w:ascii="Calibri" w:hAnsi="Calibri" w:cs="Calibri"/>
            <w:bCs/>
          </w:rPr>
          <w:t>nick@greenangelsyndicate.com</w:t>
        </w:r>
      </w:hyperlink>
    </w:p>
    <w:p w:rsidR="003403C5" w:rsidRDefault="003403C5" w:rsidP="003403C5">
      <w:pPr>
        <w:suppressAutoHyphens w:val="0"/>
        <w:spacing w:after="200" w:line="276" w:lineRule="auto"/>
        <w:contextualSpacing/>
        <w:jc w:val="both"/>
        <w:rPr>
          <w:rFonts w:ascii="Calibri" w:hAnsi="Calibri" w:cs="Calibri"/>
          <w:bCs/>
        </w:rPr>
      </w:pPr>
      <w:r>
        <w:rPr>
          <w:rFonts w:ascii="Calibri" w:hAnsi="Calibri" w:cs="Calibri"/>
          <w:bCs/>
        </w:rPr>
        <w:t xml:space="preserve">Website: </w:t>
      </w:r>
      <w:hyperlink r:id="rId8" w:history="1">
        <w:r w:rsidRPr="000405E3">
          <w:rPr>
            <w:rStyle w:val="Hiperpovezava"/>
            <w:rFonts w:ascii="Calibri" w:hAnsi="Calibri" w:cs="Calibri"/>
            <w:bCs/>
          </w:rPr>
          <w:t>www.greenangelsyndicate.com</w:t>
        </w:r>
      </w:hyperlink>
      <w:r>
        <w:rPr>
          <w:rFonts w:ascii="Calibri" w:hAnsi="Calibri" w:cs="Calibri"/>
          <w:bCs/>
        </w:rPr>
        <w:t xml:space="preserve"> </w:t>
      </w:r>
    </w:p>
    <w:p w:rsidR="008859F5" w:rsidRDefault="00421DB5" w:rsidP="00421DB5">
      <w:pPr>
        <w:jc w:val="center"/>
        <w:rPr>
          <w:rFonts w:asciiTheme="minorHAnsi" w:hAnsiTheme="minorHAnsi" w:cstheme="minorHAnsi"/>
          <w:b/>
          <w:sz w:val="36"/>
          <w:szCs w:val="36"/>
          <w:lang w:val="en-GB"/>
        </w:rPr>
      </w:pPr>
      <w:r>
        <w:rPr>
          <w:rFonts w:asciiTheme="minorHAnsi" w:hAnsiTheme="minorHAnsi" w:cstheme="minorHAnsi"/>
          <w:b/>
          <w:sz w:val="36"/>
          <w:szCs w:val="36"/>
          <w:lang w:val="en-GB"/>
        </w:rPr>
        <w:lastRenderedPageBreak/>
        <w:t>Market Needs Review with respect to Energy Efficiency in Public Buildings</w:t>
      </w:r>
    </w:p>
    <w:p w:rsidR="00421DB5" w:rsidRDefault="00421DB5" w:rsidP="004D10E8">
      <w:pPr>
        <w:jc w:val="both"/>
        <w:rPr>
          <w:rFonts w:asciiTheme="minorHAnsi" w:hAnsiTheme="minorHAnsi" w:cstheme="minorHAnsi"/>
          <w:b/>
          <w:sz w:val="36"/>
          <w:szCs w:val="36"/>
          <w:lang w:val="en-GB"/>
        </w:rPr>
      </w:pPr>
    </w:p>
    <w:p w:rsidR="00421DB5" w:rsidRDefault="00421DB5" w:rsidP="004D10E8">
      <w:pPr>
        <w:jc w:val="both"/>
        <w:rPr>
          <w:rFonts w:asciiTheme="minorHAnsi" w:hAnsiTheme="minorHAnsi" w:cstheme="minorHAnsi"/>
          <w:b/>
          <w:sz w:val="28"/>
          <w:szCs w:val="28"/>
          <w:lang w:val="en-GB"/>
        </w:rPr>
      </w:pPr>
      <w:r>
        <w:rPr>
          <w:rFonts w:asciiTheme="minorHAnsi" w:hAnsiTheme="minorHAnsi" w:cstheme="minorHAnsi"/>
          <w:b/>
          <w:sz w:val="28"/>
          <w:szCs w:val="28"/>
          <w:lang w:val="en-GB"/>
        </w:rPr>
        <w:t>Introduction</w:t>
      </w:r>
    </w:p>
    <w:p w:rsidR="00421DB5" w:rsidRDefault="00421DB5" w:rsidP="004D10E8">
      <w:pPr>
        <w:jc w:val="both"/>
        <w:rPr>
          <w:rFonts w:asciiTheme="minorHAnsi" w:hAnsiTheme="minorHAnsi" w:cstheme="minorHAnsi"/>
          <w:sz w:val="24"/>
          <w:szCs w:val="24"/>
          <w:lang w:val="en-GB"/>
        </w:rPr>
      </w:pPr>
    </w:p>
    <w:p w:rsidR="00421DB5" w:rsidRDefault="00421DB5" w:rsidP="004D10E8">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following review has been produced as an outcome of a desk research exercise followed by a seminar in Ptuj designed to explore the current status and quality of energy efficiency projects in public buildings in the Ptuj region, and, in particular, the funding measures available to support them both from the public and private sectors.  The grounds for this review are therefore based on the visible data available on the </w:t>
      </w:r>
      <w:r w:rsidR="00022821">
        <w:rPr>
          <w:rFonts w:asciiTheme="minorHAnsi" w:hAnsiTheme="minorHAnsi" w:cstheme="minorHAnsi"/>
          <w:sz w:val="24"/>
          <w:szCs w:val="24"/>
          <w:lang w:val="en-GB"/>
        </w:rPr>
        <w:t>internet dealing with funding options for energy efficiency projects in public buildings, whose target is zero CO2 emissions; and the seminar in Ptuj itself.  Within the limitations of these review formats, this report is offered as a bridge towards understanding market needs in Slovenia with respect to energy efficiency in public buildings, and how best these can be addressed with improvements to public policy and funding measures.  The review has been concluded with the seminar, and so we introduce the report with an account of the seminar itself.</w:t>
      </w:r>
    </w:p>
    <w:p w:rsidR="00421DB5" w:rsidRPr="00421DB5" w:rsidRDefault="00421DB5" w:rsidP="004D10E8">
      <w:pPr>
        <w:jc w:val="both"/>
        <w:rPr>
          <w:rFonts w:asciiTheme="minorHAnsi" w:hAnsiTheme="minorHAnsi" w:cstheme="minorHAnsi"/>
          <w:sz w:val="24"/>
          <w:szCs w:val="24"/>
          <w:lang w:val="en-GB"/>
        </w:rPr>
      </w:pPr>
    </w:p>
    <w:p w:rsidR="00022821" w:rsidRPr="00022821" w:rsidRDefault="00022821" w:rsidP="004D10E8">
      <w:pPr>
        <w:jc w:val="both"/>
        <w:rPr>
          <w:rFonts w:asciiTheme="minorHAnsi" w:hAnsiTheme="minorHAnsi" w:cstheme="minorHAnsi"/>
          <w:b/>
          <w:sz w:val="28"/>
          <w:szCs w:val="28"/>
        </w:rPr>
      </w:pPr>
      <w:r>
        <w:rPr>
          <w:rFonts w:asciiTheme="minorHAnsi" w:hAnsiTheme="minorHAnsi" w:cstheme="minorHAnsi"/>
          <w:b/>
          <w:sz w:val="28"/>
          <w:szCs w:val="28"/>
        </w:rPr>
        <w:t>Seminar</w:t>
      </w:r>
    </w:p>
    <w:p w:rsidR="00022821" w:rsidRDefault="00022821" w:rsidP="004D10E8">
      <w:pPr>
        <w:jc w:val="both"/>
        <w:rPr>
          <w:rFonts w:asciiTheme="minorHAnsi" w:hAnsiTheme="minorHAnsi" w:cstheme="minorHAnsi"/>
          <w:b/>
          <w:sz w:val="24"/>
          <w:szCs w:val="24"/>
        </w:rPr>
      </w:pPr>
    </w:p>
    <w:p w:rsidR="008859F5" w:rsidRPr="008859F5" w:rsidRDefault="00AE3885" w:rsidP="004D10E8">
      <w:pPr>
        <w:jc w:val="both"/>
        <w:rPr>
          <w:rFonts w:asciiTheme="minorHAnsi" w:hAnsiTheme="minorHAnsi" w:cstheme="minorHAnsi"/>
          <w:sz w:val="24"/>
          <w:szCs w:val="24"/>
        </w:rPr>
      </w:pPr>
      <w:r>
        <w:rPr>
          <w:rFonts w:asciiTheme="minorHAnsi" w:hAnsiTheme="minorHAnsi" w:cstheme="minorHAnsi"/>
          <w:b/>
          <w:sz w:val="24"/>
          <w:szCs w:val="24"/>
        </w:rPr>
        <w:t xml:space="preserve">Place: </w:t>
      </w:r>
      <w:r>
        <w:rPr>
          <w:rFonts w:asciiTheme="minorHAnsi" w:hAnsiTheme="minorHAnsi" w:cstheme="minorHAnsi"/>
          <w:sz w:val="24"/>
          <w:szCs w:val="24"/>
        </w:rPr>
        <w:t>Ptuj</w:t>
      </w:r>
      <w:r w:rsidR="003005E3">
        <w:rPr>
          <w:rFonts w:asciiTheme="minorHAnsi" w:hAnsiTheme="minorHAnsi" w:cstheme="minorHAnsi"/>
          <w:sz w:val="24"/>
          <w:szCs w:val="24"/>
        </w:rPr>
        <w:t>, Slovenia</w:t>
      </w:r>
      <w:r w:rsidR="00310C27">
        <w:rPr>
          <w:rFonts w:asciiTheme="minorHAnsi" w:hAnsiTheme="minorHAnsi" w:cstheme="minorHAnsi"/>
          <w:sz w:val="24"/>
          <w:szCs w:val="24"/>
        </w:rPr>
        <w:t xml:space="preserve">      </w:t>
      </w:r>
      <w:r w:rsidR="008859F5">
        <w:rPr>
          <w:rFonts w:asciiTheme="minorHAnsi" w:hAnsiTheme="minorHAnsi" w:cstheme="minorHAnsi"/>
          <w:b/>
          <w:sz w:val="24"/>
          <w:szCs w:val="24"/>
        </w:rPr>
        <w:t xml:space="preserve">Date: </w:t>
      </w:r>
      <w:r>
        <w:rPr>
          <w:rFonts w:asciiTheme="minorHAnsi" w:hAnsiTheme="minorHAnsi" w:cstheme="minorHAnsi"/>
          <w:sz w:val="24"/>
          <w:szCs w:val="24"/>
        </w:rPr>
        <w:t>20</w:t>
      </w:r>
      <w:r w:rsidRPr="00AE3885">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2017</w:t>
      </w:r>
    </w:p>
    <w:p w:rsidR="008859F5" w:rsidRDefault="008859F5" w:rsidP="004D10E8">
      <w:pPr>
        <w:jc w:val="both"/>
        <w:rPr>
          <w:rFonts w:asciiTheme="minorHAnsi" w:hAnsiTheme="minorHAnsi" w:cstheme="minorHAnsi"/>
          <w:b/>
          <w:sz w:val="24"/>
          <w:szCs w:val="24"/>
        </w:rPr>
      </w:pPr>
    </w:p>
    <w:p w:rsidR="008859F5" w:rsidRDefault="003005E3" w:rsidP="004D10E8">
      <w:pPr>
        <w:jc w:val="both"/>
        <w:rPr>
          <w:rFonts w:asciiTheme="minorHAnsi" w:hAnsiTheme="minorHAnsi" w:cstheme="minorHAnsi"/>
          <w:b/>
          <w:sz w:val="24"/>
          <w:szCs w:val="24"/>
        </w:rPr>
      </w:pPr>
      <w:r>
        <w:rPr>
          <w:rFonts w:asciiTheme="minorHAnsi" w:hAnsiTheme="minorHAnsi" w:cstheme="minorHAnsi"/>
          <w:b/>
          <w:sz w:val="24"/>
          <w:szCs w:val="24"/>
        </w:rPr>
        <w:t xml:space="preserve">In attendance: </w:t>
      </w:r>
    </w:p>
    <w:p w:rsidR="00954B23" w:rsidRDefault="00954B23" w:rsidP="004D10E8">
      <w:pPr>
        <w:jc w:val="both"/>
        <w:rPr>
          <w:rFonts w:asciiTheme="minorHAnsi" w:hAnsiTheme="minorHAnsi" w:cstheme="minorHAnsi"/>
          <w:sz w:val="24"/>
          <w:szCs w:val="24"/>
        </w:rPr>
      </w:pPr>
      <w:r>
        <w:rPr>
          <w:rFonts w:asciiTheme="minorHAnsi" w:hAnsiTheme="minorHAnsi" w:cstheme="minorHAnsi"/>
          <w:sz w:val="24"/>
          <w:szCs w:val="24"/>
        </w:rPr>
        <w:t>Tea Potocni</w:t>
      </w:r>
      <w:r w:rsidR="003005E3" w:rsidRPr="008608DC">
        <w:rPr>
          <w:rFonts w:asciiTheme="minorHAnsi" w:hAnsiTheme="minorHAnsi" w:cstheme="minorHAnsi"/>
          <w:sz w:val="24"/>
          <w:szCs w:val="24"/>
        </w:rPr>
        <w:t>k</w:t>
      </w:r>
      <w:r>
        <w:rPr>
          <w:rFonts w:asciiTheme="minorHAnsi" w:hAnsiTheme="minorHAnsi" w:cstheme="minorHAnsi"/>
          <w:sz w:val="24"/>
          <w:szCs w:val="24"/>
        </w:rPr>
        <w:t xml:space="preserve">, </w:t>
      </w:r>
      <w:r w:rsidRPr="00954B23">
        <w:rPr>
          <w:rFonts w:asciiTheme="minorHAnsi" w:hAnsiTheme="minorHAnsi" w:cstheme="minorHAnsi"/>
          <w:sz w:val="24"/>
          <w:szCs w:val="24"/>
          <w:lang w:val="en-GB"/>
        </w:rPr>
        <w:t>LEA Spodnje Podravje</w:t>
      </w:r>
    </w:p>
    <w:p w:rsidR="00954B23" w:rsidRPr="00954B23" w:rsidRDefault="00954B23" w:rsidP="00954B23">
      <w:pPr>
        <w:jc w:val="both"/>
        <w:rPr>
          <w:rFonts w:asciiTheme="minorHAnsi" w:hAnsiTheme="minorHAnsi" w:cstheme="minorHAnsi"/>
          <w:sz w:val="24"/>
          <w:szCs w:val="24"/>
          <w:lang w:val="en-GB"/>
        </w:rPr>
      </w:pPr>
      <w:r w:rsidRPr="00954B23">
        <w:rPr>
          <w:rFonts w:asciiTheme="minorHAnsi" w:hAnsiTheme="minorHAnsi" w:cstheme="minorHAnsi"/>
          <w:sz w:val="24"/>
          <w:szCs w:val="24"/>
          <w:lang w:val="en-GB"/>
        </w:rPr>
        <w:t>Janez Petek, LEA Spodnje Podravje</w:t>
      </w:r>
    </w:p>
    <w:p w:rsidR="00760306" w:rsidRPr="00760306" w:rsidRDefault="00760306" w:rsidP="00760306">
      <w:pPr>
        <w:suppressAutoHyphens w:val="0"/>
        <w:rPr>
          <w:rFonts w:ascii="Calibri" w:eastAsia="Calibri" w:hAnsi="Calibri" w:cs="Calibri"/>
          <w:szCs w:val="22"/>
          <w:lang w:val="en-GB" w:eastAsia="en-GB"/>
        </w:rPr>
      </w:pPr>
      <w:r w:rsidRPr="00760306">
        <w:rPr>
          <w:rFonts w:ascii="Times New Roman" w:eastAsia="Calibri" w:hAnsi="Times New Roman"/>
          <w:szCs w:val="22"/>
          <w:lang w:val="en-GB" w:eastAsia="en-GB"/>
        </w:rPr>
        <w:t>Š</w:t>
      </w:r>
      <w:r w:rsidRPr="00760306">
        <w:rPr>
          <w:rFonts w:ascii="Calibri" w:eastAsia="Calibri" w:hAnsi="Calibri" w:cs="Calibri"/>
          <w:szCs w:val="22"/>
          <w:lang w:val="en-GB" w:eastAsia="en-GB"/>
        </w:rPr>
        <w:t xml:space="preserve">tefan </w:t>
      </w:r>
      <w:r w:rsidRPr="00760306">
        <w:rPr>
          <w:rFonts w:ascii="Times New Roman" w:eastAsia="Calibri" w:hAnsi="Times New Roman"/>
          <w:szCs w:val="22"/>
          <w:lang w:val="en-GB" w:eastAsia="en-GB"/>
        </w:rPr>
        <w:t>Č</w:t>
      </w:r>
      <w:r>
        <w:rPr>
          <w:rFonts w:ascii="Calibri" w:eastAsia="Calibri" w:hAnsi="Calibri" w:cs="Calibri"/>
          <w:szCs w:val="22"/>
          <w:lang w:val="en-GB" w:eastAsia="en-GB"/>
        </w:rPr>
        <w:t xml:space="preserve">elan, PhD, </w:t>
      </w:r>
      <w:r w:rsidRPr="00760306">
        <w:rPr>
          <w:rFonts w:ascii="Calibri" w:eastAsia="Calibri" w:hAnsi="Calibri" w:cs="Calibri"/>
          <w:szCs w:val="22"/>
          <w:lang w:val="en-GB" w:eastAsia="en-GB"/>
        </w:rPr>
        <w:t>Director of ZRS Bistra Ptuj - Scienti</w:t>
      </w:r>
      <w:r>
        <w:rPr>
          <w:rFonts w:ascii="Calibri" w:eastAsia="Calibri" w:hAnsi="Calibri" w:cs="Calibri"/>
          <w:szCs w:val="22"/>
          <w:lang w:val="en-GB" w:eastAsia="en-GB"/>
        </w:rPr>
        <w:t>fic research centre Bistra Ptuj</w:t>
      </w:r>
    </w:p>
    <w:p w:rsidR="00760306" w:rsidRPr="00760306" w:rsidRDefault="00760306" w:rsidP="00760306">
      <w:pPr>
        <w:suppressAutoHyphens w:val="0"/>
        <w:rPr>
          <w:rFonts w:ascii="Calibri" w:eastAsia="Calibri" w:hAnsi="Calibri" w:cs="Calibri"/>
          <w:szCs w:val="22"/>
          <w:lang w:val="en-GB" w:eastAsia="en-GB"/>
        </w:rPr>
      </w:pPr>
      <w:r w:rsidRPr="00760306">
        <w:rPr>
          <w:rFonts w:ascii="Calibri" w:eastAsia="Calibri" w:hAnsi="Calibri" w:cs="Calibri"/>
          <w:szCs w:val="22"/>
          <w:lang w:val="en-GB" w:eastAsia="en-GB"/>
        </w:rPr>
        <w:t>Jasmina, LEA Pomurje</w:t>
      </w:r>
    </w:p>
    <w:p w:rsidR="00760306" w:rsidRPr="00760306" w:rsidRDefault="00760306" w:rsidP="00760306">
      <w:pPr>
        <w:suppressAutoHyphens w:val="0"/>
        <w:rPr>
          <w:rFonts w:ascii="Calibri" w:eastAsia="Calibri" w:hAnsi="Calibri" w:cs="Calibri"/>
          <w:szCs w:val="22"/>
          <w:lang w:val="en-GB" w:eastAsia="en-GB"/>
        </w:rPr>
      </w:pPr>
      <w:r>
        <w:rPr>
          <w:rFonts w:ascii="Calibri" w:eastAsia="Calibri" w:hAnsi="Calibri" w:cs="Calibri"/>
          <w:szCs w:val="22"/>
          <w:lang w:val="en-GB" w:eastAsia="en-GB"/>
        </w:rPr>
        <w:t>Petra, ENERGAP (</w:t>
      </w:r>
      <w:r w:rsidRPr="00760306">
        <w:rPr>
          <w:rFonts w:ascii="Calibri" w:eastAsia="Calibri" w:hAnsi="Calibri" w:cs="Calibri"/>
          <w:szCs w:val="22"/>
          <w:lang w:val="en-GB" w:eastAsia="en-GB"/>
        </w:rPr>
        <w:t>Energy agency for Podravje)</w:t>
      </w:r>
    </w:p>
    <w:p w:rsidR="00760306" w:rsidRPr="00760306" w:rsidRDefault="00760306" w:rsidP="00760306">
      <w:pPr>
        <w:suppressAutoHyphens w:val="0"/>
        <w:rPr>
          <w:rFonts w:ascii="Calibri" w:eastAsia="Calibri" w:hAnsi="Calibri" w:cs="Calibri"/>
          <w:szCs w:val="22"/>
          <w:lang w:val="en-GB" w:eastAsia="en-GB"/>
        </w:rPr>
      </w:pPr>
      <w:r w:rsidRPr="00760306">
        <w:rPr>
          <w:rFonts w:ascii="Calibri" w:eastAsia="Calibri" w:hAnsi="Calibri" w:cs="Calibri"/>
          <w:szCs w:val="22"/>
          <w:lang w:val="en-GB" w:eastAsia="en-GB"/>
        </w:rPr>
        <w:t>Franc</w:t>
      </w:r>
      <w:r>
        <w:rPr>
          <w:rFonts w:ascii="Calibri" w:eastAsia="Calibri" w:hAnsi="Calibri" w:cs="Calibri"/>
          <w:szCs w:val="22"/>
          <w:lang w:val="en-GB" w:eastAsia="en-GB"/>
        </w:rPr>
        <w:t>,</w:t>
      </w:r>
      <w:r w:rsidRPr="00760306">
        <w:rPr>
          <w:rFonts w:ascii="Calibri" w:eastAsia="Calibri" w:hAnsi="Calibri" w:cs="Calibri"/>
          <w:szCs w:val="22"/>
          <w:lang w:val="en-GB" w:eastAsia="en-GB"/>
        </w:rPr>
        <w:t xml:space="preserve"> </w:t>
      </w:r>
      <w:r>
        <w:rPr>
          <w:rFonts w:ascii="Calibri" w:eastAsia="Calibri" w:hAnsi="Calibri" w:cs="Calibri"/>
          <w:szCs w:val="22"/>
          <w:lang w:val="en-GB" w:eastAsia="en-GB"/>
        </w:rPr>
        <w:t>Komunalno podjetje Ptuj</w:t>
      </w:r>
    </w:p>
    <w:p w:rsidR="00760306" w:rsidRPr="00760306" w:rsidRDefault="00760306" w:rsidP="00760306">
      <w:pPr>
        <w:suppressAutoHyphens w:val="0"/>
        <w:rPr>
          <w:rFonts w:ascii="Calibri" w:eastAsia="Calibri" w:hAnsi="Calibri" w:cs="Calibri"/>
          <w:szCs w:val="22"/>
          <w:lang w:val="en-GB" w:eastAsia="en-GB"/>
        </w:rPr>
      </w:pPr>
      <w:r w:rsidRPr="00760306">
        <w:rPr>
          <w:rFonts w:ascii="Calibri" w:eastAsia="Calibri" w:hAnsi="Calibri" w:cs="Calibri"/>
          <w:szCs w:val="22"/>
          <w:lang w:val="en-GB" w:eastAsia="en-GB"/>
        </w:rPr>
        <w:t>Andrej</w:t>
      </w:r>
      <w:r>
        <w:rPr>
          <w:rFonts w:ascii="Calibri" w:eastAsia="Calibri" w:hAnsi="Calibri" w:cs="Calibri"/>
          <w:szCs w:val="22"/>
          <w:lang w:val="en-GB" w:eastAsia="en-GB"/>
        </w:rPr>
        <w:t>,</w:t>
      </w:r>
      <w:r w:rsidRPr="00760306">
        <w:rPr>
          <w:rFonts w:ascii="Calibri" w:eastAsia="Calibri" w:hAnsi="Calibri" w:cs="Calibri"/>
          <w:szCs w:val="22"/>
          <w:lang w:val="en-GB" w:eastAsia="en-GB"/>
        </w:rPr>
        <w:t xml:space="preserve"> </w:t>
      </w:r>
      <w:r>
        <w:rPr>
          <w:rFonts w:ascii="Calibri" w:eastAsia="Calibri" w:hAnsi="Calibri" w:cs="Calibri"/>
          <w:szCs w:val="22"/>
          <w:lang w:val="en-GB" w:eastAsia="en-GB"/>
        </w:rPr>
        <w:t>ZRS Bistra Ptuj</w:t>
      </w:r>
    </w:p>
    <w:p w:rsidR="00954B23" w:rsidRPr="00954B23" w:rsidRDefault="00954B23" w:rsidP="00954B23">
      <w:pPr>
        <w:jc w:val="both"/>
        <w:rPr>
          <w:rFonts w:asciiTheme="minorHAnsi" w:hAnsiTheme="minorHAnsi" w:cstheme="minorHAnsi"/>
          <w:sz w:val="24"/>
          <w:szCs w:val="24"/>
          <w:lang w:val="en-GB"/>
        </w:rPr>
      </w:pPr>
      <w:r w:rsidRPr="00954B23">
        <w:rPr>
          <w:rFonts w:asciiTheme="minorHAnsi" w:hAnsiTheme="minorHAnsi" w:cstheme="minorHAnsi"/>
          <w:sz w:val="24"/>
          <w:szCs w:val="24"/>
          <w:lang w:val="en-GB"/>
        </w:rPr>
        <w:t>Roman, LEA Spodnje Podravje</w:t>
      </w:r>
    </w:p>
    <w:p w:rsidR="00954B23" w:rsidRDefault="00954B23" w:rsidP="00954B23">
      <w:pPr>
        <w:jc w:val="both"/>
        <w:rPr>
          <w:rFonts w:asciiTheme="minorHAnsi" w:hAnsiTheme="minorHAnsi" w:cstheme="minorHAnsi"/>
          <w:sz w:val="24"/>
          <w:szCs w:val="24"/>
          <w:lang w:val="en-GB"/>
        </w:rPr>
      </w:pPr>
      <w:r w:rsidRPr="00954B23">
        <w:rPr>
          <w:rFonts w:asciiTheme="minorHAnsi" w:hAnsiTheme="minorHAnsi" w:cstheme="minorHAnsi"/>
          <w:sz w:val="24"/>
          <w:szCs w:val="24"/>
          <w:lang w:val="en-GB"/>
        </w:rPr>
        <w:t>Irena, LEA Spodnje Podravje</w:t>
      </w:r>
      <w:r w:rsidR="00760306">
        <w:rPr>
          <w:rFonts w:asciiTheme="minorHAnsi" w:hAnsiTheme="minorHAnsi" w:cstheme="minorHAnsi"/>
          <w:sz w:val="24"/>
          <w:szCs w:val="24"/>
          <w:lang w:val="en-GB"/>
        </w:rPr>
        <w:t xml:space="preserve"> </w:t>
      </w:r>
    </w:p>
    <w:p w:rsidR="00760306" w:rsidRPr="00954B23" w:rsidRDefault="00760306" w:rsidP="00760306">
      <w:pPr>
        <w:jc w:val="both"/>
        <w:rPr>
          <w:rFonts w:asciiTheme="minorHAnsi" w:hAnsiTheme="minorHAnsi" w:cstheme="minorHAnsi"/>
          <w:sz w:val="24"/>
          <w:szCs w:val="24"/>
          <w:lang w:val="en-GB"/>
        </w:rPr>
      </w:pPr>
      <w:r w:rsidRPr="00954B23">
        <w:rPr>
          <w:rFonts w:asciiTheme="minorHAnsi" w:hAnsiTheme="minorHAnsi" w:cstheme="minorHAnsi"/>
          <w:sz w:val="24"/>
          <w:szCs w:val="24"/>
          <w:lang w:val="en-GB"/>
        </w:rPr>
        <w:t xml:space="preserve">Jan (student), </w:t>
      </w:r>
    </w:p>
    <w:p w:rsidR="00760306" w:rsidRDefault="00760306" w:rsidP="00954B23">
      <w:pPr>
        <w:jc w:val="both"/>
        <w:rPr>
          <w:rFonts w:asciiTheme="minorHAnsi" w:hAnsiTheme="minorHAnsi" w:cstheme="minorHAnsi"/>
          <w:sz w:val="24"/>
          <w:szCs w:val="24"/>
          <w:lang w:val="en-GB"/>
        </w:rPr>
      </w:pPr>
      <w:r>
        <w:rPr>
          <w:rFonts w:asciiTheme="minorHAnsi" w:hAnsiTheme="minorHAnsi" w:cstheme="minorHAnsi"/>
          <w:sz w:val="24"/>
          <w:szCs w:val="24"/>
          <w:lang w:val="en-GB"/>
        </w:rPr>
        <w:t>Nick Lyth, Green Angel Syndicate</w:t>
      </w:r>
    </w:p>
    <w:p w:rsidR="00760306" w:rsidRPr="00954B23" w:rsidRDefault="00760306" w:rsidP="00954B23">
      <w:pPr>
        <w:jc w:val="both"/>
        <w:rPr>
          <w:rFonts w:asciiTheme="minorHAnsi" w:hAnsiTheme="minorHAnsi" w:cstheme="minorHAnsi"/>
          <w:sz w:val="24"/>
          <w:szCs w:val="24"/>
          <w:lang w:val="en-GB"/>
        </w:rPr>
      </w:pPr>
      <w:r>
        <w:rPr>
          <w:rFonts w:asciiTheme="minorHAnsi" w:hAnsiTheme="minorHAnsi" w:cstheme="minorHAnsi"/>
          <w:sz w:val="24"/>
          <w:szCs w:val="24"/>
          <w:lang w:val="en-GB"/>
        </w:rPr>
        <w:t>Steve Taylor, Green Angel Syndicate</w:t>
      </w:r>
    </w:p>
    <w:p w:rsidR="003005E3" w:rsidRPr="008608DC" w:rsidRDefault="003005E3" w:rsidP="004D10E8">
      <w:pPr>
        <w:jc w:val="both"/>
        <w:rPr>
          <w:rFonts w:asciiTheme="minorHAnsi" w:hAnsiTheme="minorHAnsi" w:cstheme="minorHAnsi"/>
          <w:sz w:val="24"/>
          <w:szCs w:val="24"/>
        </w:rPr>
      </w:pPr>
    </w:p>
    <w:p w:rsidR="00AE3885" w:rsidRDefault="00AE3885" w:rsidP="004D10E8">
      <w:pPr>
        <w:jc w:val="both"/>
        <w:rPr>
          <w:rFonts w:asciiTheme="minorHAnsi" w:hAnsiTheme="minorHAnsi" w:cstheme="minorHAnsi"/>
          <w:b/>
          <w:sz w:val="24"/>
          <w:szCs w:val="24"/>
        </w:rPr>
      </w:pPr>
    </w:p>
    <w:p w:rsidR="00AE3885" w:rsidRPr="008608DC" w:rsidRDefault="00421DB5" w:rsidP="004D10E8">
      <w:pPr>
        <w:jc w:val="both"/>
        <w:rPr>
          <w:rFonts w:asciiTheme="minorHAnsi" w:hAnsiTheme="minorHAnsi" w:cstheme="minorHAnsi"/>
          <w:b/>
          <w:sz w:val="28"/>
          <w:szCs w:val="28"/>
        </w:rPr>
      </w:pPr>
      <w:r>
        <w:rPr>
          <w:rFonts w:asciiTheme="minorHAnsi" w:hAnsiTheme="minorHAnsi" w:cstheme="minorHAnsi"/>
          <w:b/>
          <w:sz w:val="28"/>
          <w:szCs w:val="28"/>
        </w:rPr>
        <w:t>Purpose of the Seminar</w:t>
      </w:r>
    </w:p>
    <w:p w:rsidR="00AE3885" w:rsidRDefault="00AE3885" w:rsidP="004D10E8">
      <w:pPr>
        <w:jc w:val="both"/>
        <w:rPr>
          <w:rFonts w:asciiTheme="minorHAnsi" w:hAnsiTheme="minorHAnsi" w:cstheme="minorHAnsi"/>
          <w:b/>
          <w:sz w:val="24"/>
          <w:szCs w:val="24"/>
        </w:rPr>
      </w:pPr>
    </w:p>
    <w:p w:rsidR="003005E3" w:rsidRDefault="003005E3" w:rsidP="004D10E8">
      <w:pPr>
        <w:jc w:val="both"/>
        <w:rPr>
          <w:rFonts w:asciiTheme="minorHAnsi" w:hAnsiTheme="minorHAnsi" w:cstheme="minorHAnsi"/>
          <w:sz w:val="24"/>
          <w:szCs w:val="24"/>
        </w:rPr>
      </w:pPr>
      <w:r>
        <w:rPr>
          <w:rFonts w:asciiTheme="minorHAnsi" w:hAnsiTheme="minorHAnsi" w:cstheme="minorHAnsi"/>
          <w:sz w:val="24"/>
          <w:szCs w:val="24"/>
        </w:rPr>
        <w:t>The purpose of the seminar wa</w:t>
      </w:r>
      <w:r w:rsidR="00982724">
        <w:rPr>
          <w:rFonts w:asciiTheme="minorHAnsi" w:hAnsiTheme="minorHAnsi" w:cstheme="minorHAnsi"/>
          <w:sz w:val="24"/>
          <w:szCs w:val="24"/>
        </w:rPr>
        <w:t xml:space="preserve">s to discuss the impact of financial instruments available in Slovenia for energy efficiency measures within public buildings.  It </w:t>
      </w:r>
      <w:r>
        <w:rPr>
          <w:rFonts w:asciiTheme="minorHAnsi" w:hAnsiTheme="minorHAnsi" w:cstheme="minorHAnsi"/>
          <w:sz w:val="24"/>
          <w:szCs w:val="24"/>
        </w:rPr>
        <w:t>contributes to the ZEROCO2</w:t>
      </w:r>
      <w:r w:rsidR="00982724">
        <w:rPr>
          <w:rFonts w:asciiTheme="minorHAnsi" w:hAnsiTheme="minorHAnsi" w:cstheme="minorHAnsi"/>
          <w:sz w:val="24"/>
          <w:szCs w:val="24"/>
        </w:rPr>
        <w:t xml:space="preserve"> project, in which Ptuj is a partner, designed to improve the policy measures in such a way as to promote zero carbon emissions from energy use in public buildings.  </w:t>
      </w:r>
    </w:p>
    <w:p w:rsidR="003005E3" w:rsidRDefault="003005E3" w:rsidP="004D10E8">
      <w:pPr>
        <w:jc w:val="both"/>
        <w:rPr>
          <w:rFonts w:asciiTheme="minorHAnsi" w:hAnsiTheme="minorHAnsi" w:cstheme="minorHAnsi"/>
          <w:sz w:val="24"/>
          <w:szCs w:val="24"/>
        </w:rPr>
      </w:pPr>
    </w:p>
    <w:p w:rsidR="003005E3" w:rsidRDefault="00982724" w:rsidP="004D10E8">
      <w:pPr>
        <w:jc w:val="both"/>
        <w:rPr>
          <w:rFonts w:asciiTheme="minorHAnsi" w:hAnsiTheme="minorHAnsi" w:cstheme="minorHAnsi"/>
          <w:sz w:val="24"/>
          <w:szCs w:val="24"/>
        </w:rPr>
      </w:pPr>
      <w:r>
        <w:rPr>
          <w:rFonts w:asciiTheme="minorHAnsi" w:hAnsiTheme="minorHAnsi" w:cstheme="minorHAnsi"/>
          <w:sz w:val="24"/>
          <w:szCs w:val="24"/>
        </w:rPr>
        <w:t xml:space="preserve">This requires practical improvements in the infrastructure and systems for public buildings’ energy consumption, </w:t>
      </w:r>
      <w:r w:rsidR="00951BC4">
        <w:rPr>
          <w:rFonts w:asciiTheme="minorHAnsi" w:hAnsiTheme="minorHAnsi" w:cstheme="minorHAnsi"/>
          <w:sz w:val="24"/>
          <w:szCs w:val="24"/>
        </w:rPr>
        <w:t>using</w:t>
      </w:r>
      <w:r>
        <w:rPr>
          <w:rFonts w:asciiTheme="minorHAnsi" w:hAnsiTheme="minorHAnsi" w:cstheme="minorHAnsi"/>
          <w:sz w:val="24"/>
          <w:szCs w:val="24"/>
        </w:rPr>
        <w:t xml:space="preserve"> technologies both </w:t>
      </w:r>
      <w:r w:rsidR="00951BC4">
        <w:rPr>
          <w:rFonts w:asciiTheme="minorHAnsi" w:hAnsiTheme="minorHAnsi" w:cstheme="minorHAnsi"/>
          <w:sz w:val="24"/>
          <w:szCs w:val="24"/>
        </w:rPr>
        <w:t>existing</w:t>
      </w:r>
      <w:r>
        <w:rPr>
          <w:rFonts w:asciiTheme="minorHAnsi" w:hAnsiTheme="minorHAnsi" w:cstheme="minorHAnsi"/>
          <w:sz w:val="24"/>
          <w:szCs w:val="24"/>
        </w:rPr>
        <w:t xml:space="preserve"> and </w:t>
      </w:r>
      <w:r w:rsidR="00951BC4">
        <w:rPr>
          <w:rFonts w:asciiTheme="minorHAnsi" w:hAnsiTheme="minorHAnsi" w:cstheme="minorHAnsi"/>
          <w:sz w:val="24"/>
          <w:szCs w:val="24"/>
        </w:rPr>
        <w:t>new</w:t>
      </w:r>
      <w:r>
        <w:rPr>
          <w:rFonts w:asciiTheme="minorHAnsi" w:hAnsiTheme="minorHAnsi" w:cstheme="minorHAnsi"/>
          <w:sz w:val="24"/>
          <w:szCs w:val="24"/>
        </w:rPr>
        <w:t xml:space="preserve">.  But these depend on a policy framework supported by investment.  </w:t>
      </w:r>
    </w:p>
    <w:p w:rsidR="003005E3" w:rsidRDefault="003005E3" w:rsidP="004D10E8">
      <w:pPr>
        <w:jc w:val="both"/>
        <w:rPr>
          <w:rFonts w:asciiTheme="minorHAnsi" w:hAnsiTheme="minorHAnsi" w:cstheme="minorHAnsi"/>
          <w:sz w:val="24"/>
          <w:szCs w:val="24"/>
        </w:rPr>
      </w:pPr>
    </w:p>
    <w:p w:rsidR="003005E3" w:rsidRDefault="003005E3" w:rsidP="004D10E8">
      <w:pPr>
        <w:jc w:val="both"/>
        <w:rPr>
          <w:rFonts w:asciiTheme="minorHAnsi" w:hAnsiTheme="minorHAnsi" w:cstheme="minorHAnsi"/>
          <w:sz w:val="24"/>
          <w:szCs w:val="24"/>
        </w:rPr>
      </w:pPr>
      <w:r>
        <w:rPr>
          <w:rFonts w:asciiTheme="minorHAnsi" w:hAnsiTheme="minorHAnsi" w:cstheme="minorHAnsi"/>
          <w:sz w:val="24"/>
          <w:szCs w:val="24"/>
        </w:rPr>
        <w:t>The purpose of the seminar wa</w:t>
      </w:r>
      <w:r w:rsidR="00982724">
        <w:rPr>
          <w:rFonts w:asciiTheme="minorHAnsi" w:hAnsiTheme="minorHAnsi" w:cstheme="minorHAnsi"/>
          <w:sz w:val="24"/>
          <w:szCs w:val="24"/>
        </w:rPr>
        <w:t xml:space="preserve">s to discuss how policy is supported by investments, the sources of that investment, whether public or private, and the effectiveness in achieving a result as a consequence.  </w:t>
      </w:r>
    </w:p>
    <w:p w:rsidR="00982724" w:rsidRPr="00630CC0" w:rsidRDefault="00982724" w:rsidP="004D10E8">
      <w:pPr>
        <w:jc w:val="both"/>
        <w:rPr>
          <w:rFonts w:asciiTheme="minorHAnsi" w:hAnsiTheme="minorHAnsi" w:cstheme="minorHAnsi"/>
          <w:sz w:val="24"/>
          <w:szCs w:val="24"/>
        </w:rPr>
      </w:pPr>
    </w:p>
    <w:p w:rsidR="00AE3885" w:rsidRDefault="008608DC" w:rsidP="004D10E8">
      <w:pPr>
        <w:jc w:val="both"/>
        <w:rPr>
          <w:rFonts w:asciiTheme="minorHAnsi" w:hAnsiTheme="minorHAnsi" w:cstheme="minorHAnsi"/>
          <w:b/>
          <w:sz w:val="28"/>
          <w:szCs w:val="28"/>
        </w:rPr>
      </w:pPr>
      <w:r w:rsidRPr="008608DC">
        <w:rPr>
          <w:rFonts w:asciiTheme="minorHAnsi" w:hAnsiTheme="minorHAnsi" w:cstheme="minorHAnsi"/>
          <w:b/>
          <w:sz w:val="28"/>
          <w:szCs w:val="28"/>
        </w:rPr>
        <w:t xml:space="preserve">Current Funding </w:t>
      </w:r>
      <w:r w:rsidR="008E461E" w:rsidRPr="008608DC">
        <w:rPr>
          <w:rFonts w:asciiTheme="minorHAnsi" w:hAnsiTheme="minorHAnsi" w:cstheme="minorHAnsi"/>
          <w:b/>
          <w:sz w:val="28"/>
          <w:szCs w:val="28"/>
        </w:rPr>
        <w:t>Opportunities</w:t>
      </w:r>
    </w:p>
    <w:p w:rsidR="00310C27" w:rsidRPr="008608DC" w:rsidRDefault="00310C27" w:rsidP="004D10E8">
      <w:pPr>
        <w:jc w:val="both"/>
        <w:rPr>
          <w:rFonts w:asciiTheme="minorHAnsi" w:hAnsiTheme="minorHAnsi" w:cstheme="minorHAnsi"/>
          <w:b/>
          <w:sz w:val="28"/>
          <w:szCs w:val="28"/>
        </w:rPr>
      </w:pPr>
    </w:p>
    <w:p w:rsidR="00954B23" w:rsidRDefault="00954B23" w:rsidP="00336FF6">
      <w:pPr>
        <w:spacing w:after="240"/>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The main </w:t>
      </w:r>
      <w:r w:rsidR="008E461E">
        <w:rPr>
          <w:rFonts w:asciiTheme="minorHAnsi" w:hAnsiTheme="minorHAnsi" w:cstheme="minorHAnsi"/>
          <w:sz w:val="24"/>
          <w:szCs w:val="24"/>
          <w:lang w:eastAsia="en-GB"/>
        </w:rPr>
        <w:t>funding</w:t>
      </w:r>
      <w:r>
        <w:rPr>
          <w:rFonts w:asciiTheme="minorHAnsi" w:hAnsiTheme="minorHAnsi" w:cstheme="minorHAnsi"/>
          <w:sz w:val="24"/>
          <w:szCs w:val="24"/>
          <w:lang w:eastAsia="en-GB"/>
        </w:rPr>
        <w:t xml:space="preserve"> </w:t>
      </w:r>
      <w:r w:rsidR="008E461E">
        <w:rPr>
          <w:rFonts w:asciiTheme="minorHAnsi" w:hAnsiTheme="minorHAnsi" w:cstheme="minorHAnsi"/>
          <w:sz w:val="24"/>
          <w:szCs w:val="24"/>
          <w:lang w:eastAsia="en-GB"/>
        </w:rPr>
        <w:t>opportunities</w:t>
      </w:r>
      <w:r>
        <w:rPr>
          <w:rFonts w:asciiTheme="minorHAnsi" w:hAnsiTheme="minorHAnsi" w:cstheme="minorHAnsi"/>
          <w:sz w:val="24"/>
          <w:szCs w:val="24"/>
          <w:lang w:eastAsia="en-GB"/>
        </w:rPr>
        <w:t xml:space="preserve"> were identified as the Cohesion Funds and the Slovenia Eco Fund.</w:t>
      </w:r>
      <w:r w:rsidR="00D0452E">
        <w:rPr>
          <w:rFonts w:asciiTheme="minorHAnsi" w:hAnsiTheme="minorHAnsi" w:cstheme="minorHAnsi"/>
          <w:sz w:val="24"/>
          <w:szCs w:val="24"/>
          <w:lang w:eastAsia="en-GB"/>
        </w:rPr>
        <w:t xml:space="preserve"> However there are some other </w:t>
      </w:r>
      <w:r w:rsidR="008E461E">
        <w:rPr>
          <w:rFonts w:asciiTheme="minorHAnsi" w:hAnsiTheme="minorHAnsi" w:cstheme="minorHAnsi"/>
          <w:sz w:val="24"/>
          <w:szCs w:val="24"/>
          <w:lang w:eastAsia="en-GB"/>
        </w:rPr>
        <w:t>funding</w:t>
      </w:r>
      <w:r w:rsidR="00D0452E">
        <w:rPr>
          <w:rFonts w:asciiTheme="minorHAnsi" w:hAnsiTheme="minorHAnsi" w:cstheme="minorHAnsi"/>
          <w:sz w:val="24"/>
          <w:szCs w:val="24"/>
          <w:lang w:eastAsia="en-GB"/>
        </w:rPr>
        <w:t xml:space="preserve"> opportunities as </w:t>
      </w:r>
      <w:r w:rsidR="008E461E">
        <w:rPr>
          <w:rFonts w:asciiTheme="minorHAnsi" w:hAnsiTheme="minorHAnsi" w:cstheme="minorHAnsi"/>
          <w:sz w:val="24"/>
          <w:szCs w:val="24"/>
          <w:lang w:eastAsia="en-GB"/>
        </w:rPr>
        <w:t>identified</w:t>
      </w:r>
      <w:r w:rsidR="00D0452E">
        <w:rPr>
          <w:rFonts w:asciiTheme="minorHAnsi" w:hAnsiTheme="minorHAnsi" w:cstheme="minorHAnsi"/>
          <w:sz w:val="24"/>
          <w:szCs w:val="24"/>
          <w:lang w:eastAsia="en-GB"/>
        </w:rPr>
        <w:t xml:space="preserve"> in the appendix which have been less frequently used in this region.</w:t>
      </w:r>
    </w:p>
    <w:p w:rsidR="00996D6E" w:rsidRPr="00996D6E" w:rsidRDefault="00996D6E" w:rsidP="00996D6E">
      <w:pPr>
        <w:spacing w:after="240"/>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The </w:t>
      </w:r>
      <w:r w:rsidRPr="00996D6E">
        <w:rPr>
          <w:rFonts w:asciiTheme="minorHAnsi" w:hAnsiTheme="minorHAnsi" w:cstheme="minorHAnsi"/>
          <w:sz w:val="24"/>
          <w:szCs w:val="24"/>
          <w:lang w:val="en-GB" w:eastAsia="en-GB"/>
        </w:rPr>
        <w:t>EEA and Norway grants</w:t>
      </w:r>
      <w:r>
        <w:rPr>
          <w:rFonts w:asciiTheme="minorHAnsi" w:hAnsiTheme="minorHAnsi" w:cstheme="minorHAnsi"/>
          <w:sz w:val="24"/>
          <w:szCs w:val="24"/>
          <w:lang w:val="en-GB" w:eastAsia="en-GB"/>
        </w:rPr>
        <w:t xml:space="preserve">, which have been available in recent years, have now </w:t>
      </w:r>
      <w:r w:rsidRPr="00996D6E">
        <w:rPr>
          <w:rFonts w:asciiTheme="minorHAnsi" w:hAnsiTheme="minorHAnsi" w:cstheme="minorHAnsi"/>
          <w:sz w:val="24"/>
          <w:szCs w:val="24"/>
          <w:lang w:val="en-GB" w:eastAsia="en-GB"/>
        </w:rPr>
        <w:t>closed.</w:t>
      </w:r>
      <w:r>
        <w:rPr>
          <w:rFonts w:asciiTheme="minorHAnsi" w:hAnsiTheme="minorHAnsi" w:cstheme="minorHAnsi"/>
          <w:sz w:val="24"/>
          <w:szCs w:val="24"/>
          <w:lang w:val="en-GB" w:eastAsia="en-GB"/>
        </w:rPr>
        <w:t xml:space="preserve"> It is not known whether they will reopen</w:t>
      </w:r>
    </w:p>
    <w:p w:rsidR="00996D6E" w:rsidRPr="00996D6E" w:rsidRDefault="00996D6E" w:rsidP="00996D6E">
      <w:pPr>
        <w:spacing w:after="240"/>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The </w:t>
      </w:r>
      <w:r w:rsidRPr="00996D6E">
        <w:rPr>
          <w:rFonts w:asciiTheme="minorHAnsi" w:hAnsiTheme="minorHAnsi" w:cstheme="minorHAnsi"/>
          <w:sz w:val="24"/>
          <w:szCs w:val="24"/>
          <w:lang w:val="en-GB" w:eastAsia="en-GB"/>
        </w:rPr>
        <w:t>Investmen</w:t>
      </w:r>
      <w:r>
        <w:rPr>
          <w:rFonts w:asciiTheme="minorHAnsi" w:hAnsiTheme="minorHAnsi" w:cstheme="minorHAnsi"/>
          <w:sz w:val="24"/>
          <w:szCs w:val="24"/>
          <w:lang w:val="en-GB" w:eastAsia="en-GB"/>
        </w:rPr>
        <w:t xml:space="preserve">t Plan for Europe (the Juncker Plan) targets SMEs and is unlikely to support projects addressing public </w:t>
      </w:r>
      <w:r w:rsidR="008E461E">
        <w:rPr>
          <w:rFonts w:asciiTheme="minorHAnsi" w:hAnsiTheme="minorHAnsi" w:cstheme="minorHAnsi"/>
          <w:sz w:val="24"/>
          <w:szCs w:val="24"/>
          <w:lang w:val="en-GB" w:eastAsia="en-GB"/>
        </w:rPr>
        <w:t>buildings</w:t>
      </w:r>
      <w:r>
        <w:rPr>
          <w:rFonts w:asciiTheme="minorHAnsi" w:hAnsiTheme="minorHAnsi" w:cstheme="minorHAnsi"/>
          <w:sz w:val="24"/>
          <w:szCs w:val="24"/>
          <w:lang w:val="en-GB" w:eastAsia="en-GB"/>
        </w:rPr>
        <w:t>.</w:t>
      </w:r>
    </w:p>
    <w:p w:rsidR="00996D6E" w:rsidRPr="00996D6E" w:rsidRDefault="00764BCA" w:rsidP="00336FF6">
      <w:pPr>
        <w:spacing w:after="240"/>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The Energy provi</w:t>
      </w:r>
      <w:r w:rsidR="00996D6E">
        <w:rPr>
          <w:rFonts w:asciiTheme="minorHAnsi" w:hAnsiTheme="minorHAnsi" w:cstheme="minorHAnsi"/>
          <w:sz w:val="24"/>
          <w:szCs w:val="24"/>
          <w:lang w:val="en-GB" w:eastAsia="en-GB"/>
        </w:rPr>
        <w:t xml:space="preserve">der, </w:t>
      </w:r>
      <w:r w:rsidR="00996D6E" w:rsidRPr="00996D6E">
        <w:rPr>
          <w:rFonts w:asciiTheme="minorHAnsi" w:hAnsiTheme="minorHAnsi" w:cstheme="minorHAnsi"/>
          <w:sz w:val="24"/>
          <w:szCs w:val="24"/>
          <w:lang w:val="en-GB" w:eastAsia="en-GB"/>
        </w:rPr>
        <w:t>Borzen will finance renewable energy installation</w:t>
      </w:r>
      <w:r w:rsidR="00996D6E">
        <w:rPr>
          <w:rFonts w:asciiTheme="minorHAnsi" w:hAnsiTheme="minorHAnsi" w:cstheme="minorHAnsi"/>
          <w:sz w:val="24"/>
          <w:szCs w:val="24"/>
          <w:lang w:val="en-GB" w:eastAsia="en-GB"/>
        </w:rPr>
        <w:t>s</w:t>
      </w:r>
      <w:r w:rsidR="00996D6E" w:rsidRPr="00996D6E">
        <w:rPr>
          <w:rFonts w:asciiTheme="minorHAnsi" w:hAnsiTheme="minorHAnsi" w:cstheme="minorHAnsi"/>
          <w:sz w:val="24"/>
          <w:szCs w:val="24"/>
          <w:lang w:val="en-GB" w:eastAsia="en-GB"/>
        </w:rPr>
        <w:t xml:space="preserve"> </w:t>
      </w:r>
      <w:r w:rsidR="00996D6E">
        <w:rPr>
          <w:rFonts w:asciiTheme="minorHAnsi" w:hAnsiTheme="minorHAnsi" w:cstheme="minorHAnsi"/>
          <w:sz w:val="24"/>
          <w:szCs w:val="24"/>
          <w:lang w:val="en-GB" w:eastAsia="en-GB"/>
        </w:rPr>
        <w:t>through provision of Feed In Tariffs (FITs)</w:t>
      </w:r>
      <w:r w:rsidR="00996D6E" w:rsidRPr="00996D6E">
        <w:rPr>
          <w:rFonts w:asciiTheme="minorHAnsi" w:hAnsiTheme="minorHAnsi" w:cstheme="minorHAnsi"/>
          <w:sz w:val="24"/>
          <w:szCs w:val="24"/>
          <w:lang w:val="en-GB" w:eastAsia="en-GB"/>
        </w:rPr>
        <w:t>.</w:t>
      </w:r>
      <w:r w:rsidR="00996D6E">
        <w:rPr>
          <w:rFonts w:asciiTheme="minorHAnsi" w:hAnsiTheme="minorHAnsi" w:cstheme="minorHAnsi"/>
          <w:sz w:val="24"/>
          <w:szCs w:val="24"/>
          <w:lang w:val="en-GB" w:eastAsia="en-GB"/>
        </w:rPr>
        <w:t xml:space="preserve"> </w:t>
      </w:r>
      <w:r w:rsidR="008E461E">
        <w:rPr>
          <w:rFonts w:asciiTheme="minorHAnsi" w:hAnsiTheme="minorHAnsi" w:cstheme="minorHAnsi"/>
          <w:sz w:val="24"/>
          <w:szCs w:val="24"/>
          <w:lang w:val="en-GB" w:eastAsia="en-GB"/>
        </w:rPr>
        <w:t xml:space="preserve">This is a renewal of a programme which was delivered up until September 2017. </w:t>
      </w:r>
      <w:r w:rsidR="00996D6E">
        <w:rPr>
          <w:rFonts w:asciiTheme="minorHAnsi" w:hAnsiTheme="minorHAnsi" w:cstheme="minorHAnsi"/>
          <w:sz w:val="24"/>
          <w:szCs w:val="24"/>
          <w:lang w:val="en-GB" w:eastAsia="en-GB"/>
        </w:rPr>
        <w:t>They wi</w:t>
      </w:r>
      <w:r w:rsidR="00996D6E" w:rsidRPr="00996D6E">
        <w:rPr>
          <w:rFonts w:asciiTheme="minorHAnsi" w:hAnsiTheme="minorHAnsi" w:cstheme="minorHAnsi"/>
          <w:sz w:val="24"/>
          <w:szCs w:val="24"/>
          <w:lang w:val="en-GB" w:eastAsia="en-GB"/>
        </w:rPr>
        <w:t xml:space="preserve">ll finance small scale projects promoting </w:t>
      </w:r>
      <w:r w:rsidR="00996D6E">
        <w:rPr>
          <w:rFonts w:asciiTheme="minorHAnsi" w:hAnsiTheme="minorHAnsi" w:cstheme="minorHAnsi"/>
          <w:sz w:val="24"/>
          <w:szCs w:val="24"/>
          <w:lang w:val="en-GB" w:eastAsia="en-GB"/>
        </w:rPr>
        <w:t xml:space="preserve">new renewable </w:t>
      </w:r>
      <w:r w:rsidR="00996D6E" w:rsidRPr="00996D6E">
        <w:rPr>
          <w:rFonts w:asciiTheme="minorHAnsi" w:hAnsiTheme="minorHAnsi" w:cstheme="minorHAnsi"/>
          <w:sz w:val="24"/>
          <w:szCs w:val="24"/>
          <w:lang w:val="en-GB" w:eastAsia="en-GB"/>
        </w:rPr>
        <w:t xml:space="preserve">energy </w:t>
      </w:r>
      <w:r w:rsidR="00996D6E">
        <w:rPr>
          <w:rFonts w:asciiTheme="minorHAnsi" w:hAnsiTheme="minorHAnsi" w:cstheme="minorHAnsi"/>
          <w:sz w:val="24"/>
          <w:szCs w:val="24"/>
          <w:lang w:val="en-GB" w:eastAsia="en-GB"/>
        </w:rPr>
        <w:t>installations</w:t>
      </w:r>
      <w:r w:rsidR="00996D6E" w:rsidRPr="00996D6E">
        <w:rPr>
          <w:rFonts w:asciiTheme="minorHAnsi" w:hAnsiTheme="minorHAnsi" w:cstheme="minorHAnsi"/>
          <w:sz w:val="24"/>
          <w:szCs w:val="24"/>
          <w:lang w:val="en-GB" w:eastAsia="en-GB"/>
        </w:rPr>
        <w:t xml:space="preserve">.  The FIT’s are negotiated on an individual tender basis.  They are not stable, not fixed, </w:t>
      </w:r>
      <w:r w:rsidR="00996D6E">
        <w:rPr>
          <w:rFonts w:asciiTheme="minorHAnsi" w:hAnsiTheme="minorHAnsi" w:cstheme="minorHAnsi"/>
          <w:sz w:val="24"/>
          <w:szCs w:val="24"/>
          <w:lang w:val="en-GB" w:eastAsia="en-GB"/>
        </w:rPr>
        <w:t xml:space="preserve">and </w:t>
      </w:r>
      <w:r w:rsidR="00996D6E" w:rsidRPr="00996D6E">
        <w:rPr>
          <w:rFonts w:asciiTheme="minorHAnsi" w:hAnsiTheme="minorHAnsi" w:cstheme="minorHAnsi"/>
          <w:sz w:val="24"/>
          <w:szCs w:val="24"/>
          <w:lang w:val="en-GB" w:eastAsia="en-GB"/>
        </w:rPr>
        <w:t>not known in advance.  The</w:t>
      </w:r>
      <w:r w:rsidR="00996D6E">
        <w:rPr>
          <w:rFonts w:asciiTheme="minorHAnsi" w:hAnsiTheme="minorHAnsi" w:cstheme="minorHAnsi"/>
          <w:sz w:val="24"/>
          <w:szCs w:val="24"/>
          <w:lang w:val="en-GB" w:eastAsia="en-GB"/>
        </w:rPr>
        <w:t xml:space="preserve">y are </w:t>
      </w:r>
      <w:r w:rsidR="008E461E">
        <w:rPr>
          <w:rFonts w:asciiTheme="minorHAnsi" w:hAnsiTheme="minorHAnsi" w:cstheme="minorHAnsi"/>
          <w:sz w:val="24"/>
          <w:szCs w:val="24"/>
          <w:lang w:val="en-GB" w:eastAsia="en-GB"/>
        </w:rPr>
        <w:t>likely</w:t>
      </w:r>
      <w:r w:rsidR="00996D6E">
        <w:rPr>
          <w:rFonts w:asciiTheme="minorHAnsi" w:hAnsiTheme="minorHAnsi" w:cstheme="minorHAnsi"/>
          <w:sz w:val="24"/>
          <w:szCs w:val="24"/>
          <w:lang w:val="en-GB" w:eastAsia="en-GB"/>
        </w:rPr>
        <w:t xml:space="preserve"> to reflect the</w:t>
      </w:r>
      <w:r w:rsidR="00996D6E" w:rsidRPr="00996D6E">
        <w:rPr>
          <w:rFonts w:asciiTheme="minorHAnsi" w:hAnsiTheme="minorHAnsi" w:cstheme="minorHAnsi"/>
          <w:sz w:val="24"/>
          <w:szCs w:val="24"/>
          <w:lang w:val="en-GB" w:eastAsia="en-GB"/>
        </w:rPr>
        <w:t xml:space="preserve"> price of technology decreas</w:t>
      </w:r>
      <w:r w:rsidR="00996D6E">
        <w:rPr>
          <w:rFonts w:asciiTheme="minorHAnsi" w:hAnsiTheme="minorHAnsi" w:cstheme="minorHAnsi"/>
          <w:sz w:val="24"/>
          <w:szCs w:val="24"/>
          <w:lang w:val="en-GB" w:eastAsia="en-GB"/>
        </w:rPr>
        <w:t>ing</w:t>
      </w:r>
      <w:r w:rsidR="00996D6E" w:rsidRPr="00996D6E">
        <w:rPr>
          <w:rFonts w:asciiTheme="minorHAnsi" w:hAnsiTheme="minorHAnsi" w:cstheme="minorHAnsi"/>
          <w:sz w:val="24"/>
          <w:szCs w:val="24"/>
          <w:lang w:val="en-GB" w:eastAsia="en-GB"/>
        </w:rPr>
        <w:t>.</w:t>
      </w:r>
    </w:p>
    <w:p w:rsidR="00D0452E" w:rsidRDefault="00D0452E" w:rsidP="00336FF6">
      <w:pPr>
        <w:spacing w:after="240"/>
        <w:jc w:val="both"/>
        <w:rPr>
          <w:rFonts w:asciiTheme="minorHAnsi" w:hAnsiTheme="minorHAnsi" w:cstheme="minorHAnsi"/>
          <w:sz w:val="24"/>
          <w:szCs w:val="24"/>
          <w:lang w:val="en-GB" w:eastAsia="en-GB"/>
        </w:rPr>
      </w:pPr>
      <w:r>
        <w:rPr>
          <w:rFonts w:asciiTheme="minorHAnsi" w:hAnsiTheme="minorHAnsi" w:cstheme="minorHAnsi"/>
          <w:sz w:val="24"/>
          <w:szCs w:val="24"/>
          <w:lang w:eastAsia="en-GB"/>
        </w:rPr>
        <w:t xml:space="preserve">The Cohesion Funds had previously offered </w:t>
      </w:r>
      <w:r w:rsidR="008E461E">
        <w:rPr>
          <w:rFonts w:asciiTheme="minorHAnsi" w:hAnsiTheme="minorHAnsi" w:cstheme="minorHAnsi"/>
          <w:sz w:val="24"/>
          <w:szCs w:val="24"/>
          <w:lang w:eastAsia="en-GB"/>
        </w:rPr>
        <w:t>grants</w:t>
      </w:r>
      <w:r>
        <w:rPr>
          <w:rFonts w:asciiTheme="minorHAnsi" w:hAnsiTheme="minorHAnsi" w:cstheme="minorHAnsi"/>
          <w:sz w:val="24"/>
          <w:szCs w:val="24"/>
          <w:lang w:eastAsia="en-GB"/>
        </w:rPr>
        <w:t xml:space="preserve"> covering 85% of costs, leaving the project promoter to just find 15% of costs. In order to make </w:t>
      </w:r>
      <w:r w:rsidR="008E461E">
        <w:rPr>
          <w:rFonts w:asciiTheme="minorHAnsi" w:hAnsiTheme="minorHAnsi" w:cstheme="minorHAnsi"/>
          <w:sz w:val="24"/>
          <w:szCs w:val="24"/>
          <w:lang w:eastAsia="en-GB"/>
        </w:rPr>
        <w:t>the</w:t>
      </w:r>
      <w:r>
        <w:rPr>
          <w:rFonts w:asciiTheme="minorHAnsi" w:hAnsiTheme="minorHAnsi" w:cstheme="minorHAnsi"/>
          <w:sz w:val="24"/>
          <w:szCs w:val="24"/>
          <w:lang w:eastAsia="en-GB"/>
        </w:rPr>
        <w:t xml:space="preserve"> fund </w:t>
      </w:r>
      <w:r w:rsidR="00996D6E">
        <w:rPr>
          <w:rFonts w:asciiTheme="minorHAnsi" w:hAnsiTheme="minorHAnsi" w:cstheme="minorHAnsi"/>
          <w:sz w:val="24"/>
          <w:szCs w:val="24"/>
          <w:lang w:eastAsia="en-GB"/>
        </w:rPr>
        <w:t xml:space="preserve">more widely available a new intervention rate has been </w:t>
      </w:r>
      <w:r w:rsidR="008E461E">
        <w:rPr>
          <w:rFonts w:asciiTheme="minorHAnsi" w:hAnsiTheme="minorHAnsi" w:cstheme="minorHAnsi"/>
          <w:sz w:val="24"/>
          <w:szCs w:val="24"/>
          <w:lang w:eastAsia="en-GB"/>
        </w:rPr>
        <w:t>introduced</w:t>
      </w:r>
      <w:r w:rsidR="00996D6E">
        <w:rPr>
          <w:rFonts w:asciiTheme="minorHAnsi" w:hAnsiTheme="minorHAnsi" w:cstheme="minorHAnsi"/>
          <w:sz w:val="24"/>
          <w:szCs w:val="24"/>
          <w:lang w:eastAsia="en-GB"/>
        </w:rPr>
        <w:t xml:space="preserve"> where the fund provides smaller direct </w:t>
      </w:r>
      <w:r w:rsidR="008E461E">
        <w:rPr>
          <w:rFonts w:asciiTheme="minorHAnsi" w:hAnsiTheme="minorHAnsi" w:cstheme="minorHAnsi"/>
          <w:sz w:val="24"/>
          <w:szCs w:val="24"/>
          <w:lang w:eastAsia="en-GB"/>
        </w:rPr>
        <w:t>grants</w:t>
      </w:r>
      <w:r w:rsidR="00996D6E">
        <w:rPr>
          <w:rFonts w:asciiTheme="minorHAnsi" w:hAnsiTheme="minorHAnsi" w:cstheme="minorHAnsi"/>
          <w:sz w:val="24"/>
          <w:szCs w:val="24"/>
          <w:lang w:eastAsia="en-GB"/>
        </w:rPr>
        <w:t xml:space="preserve">. For </w:t>
      </w:r>
      <w:r w:rsidR="00996D6E">
        <w:rPr>
          <w:rFonts w:asciiTheme="minorHAnsi" w:hAnsiTheme="minorHAnsi" w:cstheme="minorHAnsi"/>
          <w:sz w:val="24"/>
          <w:szCs w:val="24"/>
          <w:lang w:val="en-GB" w:eastAsia="en-GB"/>
        </w:rPr>
        <w:t>new</w:t>
      </w:r>
      <w:r w:rsidR="00996D6E" w:rsidRPr="00996D6E">
        <w:rPr>
          <w:rFonts w:asciiTheme="minorHAnsi" w:hAnsiTheme="minorHAnsi" w:cstheme="minorHAnsi"/>
          <w:sz w:val="24"/>
          <w:szCs w:val="24"/>
          <w:lang w:val="en-GB" w:eastAsia="en-GB"/>
        </w:rPr>
        <w:t xml:space="preserve"> renovation </w:t>
      </w:r>
      <w:r w:rsidR="00996D6E">
        <w:rPr>
          <w:rFonts w:asciiTheme="minorHAnsi" w:hAnsiTheme="minorHAnsi" w:cstheme="minorHAnsi"/>
          <w:sz w:val="24"/>
          <w:szCs w:val="24"/>
          <w:lang w:val="en-GB" w:eastAsia="en-GB"/>
        </w:rPr>
        <w:t>projects</w:t>
      </w:r>
      <w:r w:rsidR="00996D6E" w:rsidRPr="00996D6E">
        <w:rPr>
          <w:rFonts w:asciiTheme="minorHAnsi" w:hAnsiTheme="minorHAnsi" w:cstheme="minorHAnsi"/>
          <w:sz w:val="24"/>
          <w:szCs w:val="24"/>
          <w:lang w:val="en-GB" w:eastAsia="en-GB"/>
        </w:rPr>
        <w:t xml:space="preserve">, the financing is </w:t>
      </w:r>
      <w:r w:rsidR="00610C2A">
        <w:rPr>
          <w:rFonts w:asciiTheme="minorHAnsi" w:hAnsiTheme="minorHAnsi" w:cstheme="minorHAnsi"/>
          <w:sz w:val="24"/>
          <w:szCs w:val="24"/>
          <w:lang w:val="en-GB" w:eastAsia="en-GB"/>
        </w:rPr>
        <w:t>achieved through a</w:t>
      </w:r>
      <w:r w:rsidR="00996D6E" w:rsidRPr="00996D6E">
        <w:rPr>
          <w:rFonts w:asciiTheme="minorHAnsi" w:hAnsiTheme="minorHAnsi" w:cstheme="minorHAnsi"/>
          <w:sz w:val="24"/>
          <w:szCs w:val="24"/>
          <w:lang w:val="en-GB" w:eastAsia="en-GB"/>
        </w:rPr>
        <w:t xml:space="preserve"> PPP</w:t>
      </w:r>
      <w:r w:rsidR="00610C2A">
        <w:rPr>
          <w:rFonts w:asciiTheme="minorHAnsi" w:hAnsiTheme="minorHAnsi" w:cstheme="minorHAnsi"/>
          <w:sz w:val="24"/>
          <w:szCs w:val="24"/>
          <w:lang w:val="en-GB" w:eastAsia="en-GB"/>
        </w:rPr>
        <w:t xml:space="preserve"> model</w:t>
      </w:r>
      <w:r w:rsidR="00996D6E" w:rsidRPr="00996D6E">
        <w:rPr>
          <w:rFonts w:asciiTheme="minorHAnsi" w:hAnsiTheme="minorHAnsi" w:cstheme="minorHAnsi"/>
          <w:sz w:val="24"/>
          <w:szCs w:val="24"/>
          <w:lang w:val="en-GB" w:eastAsia="en-GB"/>
        </w:rPr>
        <w:t xml:space="preserve">, </w:t>
      </w:r>
      <w:r w:rsidR="00610C2A">
        <w:rPr>
          <w:rFonts w:asciiTheme="minorHAnsi" w:hAnsiTheme="minorHAnsi" w:cstheme="minorHAnsi"/>
          <w:sz w:val="24"/>
          <w:szCs w:val="24"/>
          <w:lang w:val="en-GB" w:eastAsia="en-GB"/>
        </w:rPr>
        <w:t>intended to be funded through 40% C</w:t>
      </w:r>
      <w:r w:rsidR="00996D6E" w:rsidRPr="00996D6E">
        <w:rPr>
          <w:rFonts w:asciiTheme="minorHAnsi" w:hAnsiTheme="minorHAnsi" w:cstheme="minorHAnsi"/>
          <w:sz w:val="24"/>
          <w:szCs w:val="24"/>
          <w:lang w:val="en-GB" w:eastAsia="en-GB"/>
        </w:rPr>
        <w:t>ohesion</w:t>
      </w:r>
      <w:r w:rsidR="00610C2A">
        <w:rPr>
          <w:rFonts w:asciiTheme="minorHAnsi" w:hAnsiTheme="minorHAnsi" w:cstheme="minorHAnsi"/>
          <w:sz w:val="24"/>
          <w:szCs w:val="24"/>
          <w:lang w:val="en-GB" w:eastAsia="en-GB"/>
        </w:rPr>
        <w:t xml:space="preserve"> Fund</w:t>
      </w:r>
      <w:r w:rsidR="00996D6E" w:rsidRPr="00996D6E">
        <w:rPr>
          <w:rFonts w:asciiTheme="minorHAnsi" w:hAnsiTheme="minorHAnsi" w:cstheme="minorHAnsi"/>
          <w:sz w:val="24"/>
          <w:szCs w:val="24"/>
          <w:lang w:val="en-GB" w:eastAsia="en-GB"/>
        </w:rPr>
        <w:t xml:space="preserve">, 9% public, </w:t>
      </w:r>
      <w:r w:rsidR="008E461E" w:rsidRPr="00996D6E">
        <w:rPr>
          <w:rFonts w:asciiTheme="minorHAnsi" w:hAnsiTheme="minorHAnsi" w:cstheme="minorHAnsi"/>
          <w:sz w:val="24"/>
          <w:szCs w:val="24"/>
          <w:lang w:val="en-GB" w:eastAsia="en-GB"/>
        </w:rPr>
        <w:t>and 51</w:t>
      </w:r>
      <w:r w:rsidR="00996D6E" w:rsidRPr="00996D6E">
        <w:rPr>
          <w:rFonts w:asciiTheme="minorHAnsi" w:hAnsiTheme="minorHAnsi" w:cstheme="minorHAnsi"/>
          <w:sz w:val="24"/>
          <w:szCs w:val="24"/>
          <w:lang w:val="en-GB" w:eastAsia="en-GB"/>
        </w:rPr>
        <w:t xml:space="preserve">% private entity.  The problems are that the municipalities don’t want to have private capital in </w:t>
      </w:r>
      <w:r w:rsidR="00610C2A">
        <w:rPr>
          <w:rFonts w:asciiTheme="minorHAnsi" w:hAnsiTheme="minorHAnsi" w:cstheme="minorHAnsi"/>
          <w:sz w:val="24"/>
          <w:szCs w:val="24"/>
          <w:lang w:val="en-GB" w:eastAsia="en-GB"/>
        </w:rPr>
        <w:t xml:space="preserve">the </w:t>
      </w:r>
      <w:r w:rsidR="00996D6E" w:rsidRPr="00996D6E">
        <w:rPr>
          <w:rFonts w:asciiTheme="minorHAnsi" w:hAnsiTheme="minorHAnsi" w:cstheme="minorHAnsi"/>
          <w:sz w:val="24"/>
          <w:szCs w:val="24"/>
          <w:lang w:val="en-GB" w:eastAsia="en-GB"/>
        </w:rPr>
        <w:t xml:space="preserve">management of buildings; the bigger energy consumers have already innovated; the private period is too long, </w:t>
      </w:r>
      <w:r w:rsidR="00610C2A">
        <w:rPr>
          <w:rFonts w:asciiTheme="minorHAnsi" w:hAnsiTheme="minorHAnsi" w:cstheme="minorHAnsi"/>
          <w:sz w:val="24"/>
          <w:szCs w:val="24"/>
          <w:lang w:val="en-GB" w:eastAsia="en-GB"/>
        </w:rPr>
        <w:t xml:space="preserve">and </w:t>
      </w:r>
      <w:r w:rsidR="00996D6E" w:rsidRPr="00996D6E">
        <w:rPr>
          <w:rFonts w:asciiTheme="minorHAnsi" w:hAnsiTheme="minorHAnsi" w:cstheme="minorHAnsi"/>
          <w:sz w:val="24"/>
          <w:szCs w:val="24"/>
          <w:lang w:val="en-GB" w:eastAsia="en-GB"/>
        </w:rPr>
        <w:t xml:space="preserve">there are only two </w:t>
      </w:r>
      <w:r w:rsidR="00610C2A">
        <w:rPr>
          <w:rFonts w:asciiTheme="minorHAnsi" w:hAnsiTheme="minorHAnsi" w:cstheme="minorHAnsi"/>
          <w:sz w:val="24"/>
          <w:szCs w:val="24"/>
          <w:lang w:val="en-GB" w:eastAsia="en-GB"/>
        </w:rPr>
        <w:t>ESCO</w:t>
      </w:r>
      <w:r w:rsidR="00996D6E" w:rsidRPr="00996D6E">
        <w:rPr>
          <w:rFonts w:asciiTheme="minorHAnsi" w:hAnsiTheme="minorHAnsi" w:cstheme="minorHAnsi"/>
          <w:sz w:val="24"/>
          <w:szCs w:val="24"/>
          <w:lang w:val="en-GB" w:eastAsia="en-GB"/>
        </w:rPr>
        <w:t xml:space="preserve">’s in Slovenia – the market is too small.  </w:t>
      </w:r>
      <w:r w:rsidR="00610C2A">
        <w:rPr>
          <w:rFonts w:asciiTheme="minorHAnsi" w:hAnsiTheme="minorHAnsi" w:cstheme="minorHAnsi"/>
          <w:sz w:val="24"/>
          <w:szCs w:val="24"/>
          <w:lang w:val="en-GB" w:eastAsia="en-GB"/>
        </w:rPr>
        <w:t>This may lead to</w:t>
      </w:r>
      <w:r w:rsidR="00996D6E" w:rsidRPr="00996D6E">
        <w:rPr>
          <w:rFonts w:asciiTheme="minorHAnsi" w:hAnsiTheme="minorHAnsi" w:cstheme="minorHAnsi"/>
          <w:sz w:val="24"/>
          <w:szCs w:val="24"/>
          <w:lang w:val="en-GB" w:eastAsia="en-GB"/>
        </w:rPr>
        <w:t xml:space="preserve"> difficulties </w:t>
      </w:r>
      <w:r w:rsidR="00610C2A">
        <w:rPr>
          <w:rFonts w:asciiTheme="minorHAnsi" w:hAnsiTheme="minorHAnsi" w:cstheme="minorHAnsi"/>
          <w:sz w:val="24"/>
          <w:szCs w:val="24"/>
          <w:lang w:val="en-GB" w:eastAsia="en-GB"/>
        </w:rPr>
        <w:t xml:space="preserve">in </w:t>
      </w:r>
      <w:r w:rsidR="00996D6E" w:rsidRPr="00996D6E">
        <w:rPr>
          <w:rFonts w:asciiTheme="minorHAnsi" w:hAnsiTheme="minorHAnsi" w:cstheme="minorHAnsi"/>
          <w:sz w:val="24"/>
          <w:szCs w:val="24"/>
          <w:lang w:val="en-GB" w:eastAsia="en-GB"/>
        </w:rPr>
        <w:t xml:space="preserve">how to spend the cohesion fund money.  </w:t>
      </w:r>
      <w:r w:rsidR="00610C2A">
        <w:rPr>
          <w:rFonts w:asciiTheme="minorHAnsi" w:hAnsiTheme="minorHAnsi" w:cstheme="minorHAnsi"/>
          <w:sz w:val="24"/>
          <w:szCs w:val="24"/>
          <w:lang w:val="en-GB" w:eastAsia="en-GB"/>
        </w:rPr>
        <w:t xml:space="preserve">And </w:t>
      </w:r>
      <w:r w:rsidR="008E461E">
        <w:rPr>
          <w:rFonts w:asciiTheme="minorHAnsi" w:hAnsiTheme="minorHAnsi" w:cstheme="minorHAnsi"/>
          <w:sz w:val="24"/>
          <w:szCs w:val="24"/>
          <w:lang w:val="en-GB" w:eastAsia="en-GB"/>
        </w:rPr>
        <w:t>because</w:t>
      </w:r>
      <w:r w:rsidR="00996D6E" w:rsidRPr="00996D6E">
        <w:rPr>
          <w:rFonts w:asciiTheme="minorHAnsi" w:hAnsiTheme="minorHAnsi" w:cstheme="minorHAnsi"/>
          <w:sz w:val="24"/>
          <w:szCs w:val="24"/>
          <w:lang w:val="en-GB" w:eastAsia="en-GB"/>
        </w:rPr>
        <w:t xml:space="preserve"> buildings </w:t>
      </w:r>
      <w:r w:rsidR="00610C2A">
        <w:rPr>
          <w:rFonts w:asciiTheme="minorHAnsi" w:hAnsiTheme="minorHAnsi" w:cstheme="minorHAnsi"/>
          <w:sz w:val="24"/>
          <w:szCs w:val="24"/>
          <w:lang w:val="en-GB" w:eastAsia="en-GB"/>
        </w:rPr>
        <w:t>tend to be</w:t>
      </w:r>
      <w:r w:rsidR="00996D6E" w:rsidRPr="00996D6E">
        <w:rPr>
          <w:rFonts w:asciiTheme="minorHAnsi" w:hAnsiTheme="minorHAnsi" w:cstheme="minorHAnsi"/>
          <w:sz w:val="24"/>
          <w:szCs w:val="24"/>
          <w:lang w:val="en-GB" w:eastAsia="en-GB"/>
        </w:rPr>
        <w:t xml:space="preserve"> small</w:t>
      </w:r>
      <w:r w:rsidR="00610C2A">
        <w:rPr>
          <w:rFonts w:asciiTheme="minorHAnsi" w:hAnsiTheme="minorHAnsi" w:cstheme="minorHAnsi"/>
          <w:sz w:val="24"/>
          <w:szCs w:val="24"/>
          <w:lang w:val="en-GB" w:eastAsia="en-GB"/>
        </w:rPr>
        <w:t>,</w:t>
      </w:r>
      <w:r w:rsidR="00996D6E" w:rsidRPr="00996D6E">
        <w:rPr>
          <w:rFonts w:asciiTheme="minorHAnsi" w:hAnsiTheme="minorHAnsi" w:cstheme="minorHAnsi"/>
          <w:sz w:val="24"/>
          <w:szCs w:val="24"/>
          <w:lang w:val="en-GB" w:eastAsia="en-GB"/>
        </w:rPr>
        <w:t xml:space="preserve"> </w:t>
      </w:r>
      <w:r w:rsidR="00610C2A">
        <w:rPr>
          <w:rFonts w:asciiTheme="minorHAnsi" w:hAnsiTheme="minorHAnsi" w:cstheme="minorHAnsi"/>
          <w:sz w:val="24"/>
          <w:szCs w:val="24"/>
          <w:lang w:val="en-GB" w:eastAsia="en-GB"/>
        </w:rPr>
        <w:t>c</w:t>
      </w:r>
      <w:r w:rsidR="00996D6E" w:rsidRPr="00996D6E">
        <w:rPr>
          <w:rFonts w:asciiTheme="minorHAnsi" w:hAnsiTheme="minorHAnsi" w:cstheme="minorHAnsi"/>
          <w:sz w:val="24"/>
          <w:szCs w:val="24"/>
          <w:lang w:val="en-GB" w:eastAsia="en-GB"/>
        </w:rPr>
        <w:t>ritical mass is difficult to achieve</w:t>
      </w:r>
      <w:r w:rsidR="00610C2A">
        <w:rPr>
          <w:rFonts w:asciiTheme="minorHAnsi" w:hAnsiTheme="minorHAnsi" w:cstheme="minorHAnsi"/>
          <w:sz w:val="24"/>
          <w:szCs w:val="24"/>
          <w:lang w:val="en-GB" w:eastAsia="en-GB"/>
        </w:rPr>
        <w:t xml:space="preserve">. This has led to linking of projects or creating larger scale projects </w:t>
      </w:r>
      <w:r w:rsidR="008E461E">
        <w:rPr>
          <w:rFonts w:asciiTheme="minorHAnsi" w:hAnsiTheme="minorHAnsi" w:cstheme="minorHAnsi"/>
          <w:sz w:val="24"/>
          <w:szCs w:val="24"/>
          <w:lang w:val="en-GB" w:eastAsia="en-GB"/>
        </w:rPr>
        <w:t>through</w:t>
      </w:r>
      <w:r w:rsidR="00610C2A">
        <w:rPr>
          <w:rFonts w:asciiTheme="minorHAnsi" w:hAnsiTheme="minorHAnsi" w:cstheme="minorHAnsi"/>
          <w:sz w:val="24"/>
          <w:szCs w:val="24"/>
          <w:lang w:val="en-GB" w:eastAsia="en-GB"/>
        </w:rPr>
        <w:t xml:space="preserve"> </w:t>
      </w:r>
      <w:r w:rsidR="008E461E">
        <w:rPr>
          <w:rFonts w:asciiTheme="minorHAnsi" w:hAnsiTheme="minorHAnsi" w:cstheme="minorHAnsi"/>
          <w:sz w:val="24"/>
          <w:szCs w:val="24"/>
          <w:lang w:val="en-GB" w:eastAsia="en-GB"/>
        </w:rPr>
        <w:t>targeting</w:t>
      </w:r>
      <w:r w:rsidR="00610C2A">
        <w:rPr>
          <w:rFonts w:asciiTheme="minorHAnsi" w:hAnsiTheme="minorHAnsi" w:cstheme="minorHAnsi"/>
          <w:sz w:val="24"/>
          <w:szCs w:val="24"/>
          <w:lang w:val="en-GB" w:eastAsia="en-GB"/>
        </w:rPr>
        <w:t xml:space="preserve"> several buildings at once.</w:t>
      </w:r>
    </w:p>
    <w:p w:rsidR="00764BCA" w:rsidRDefault="00764BCA" w:rsidP="00764BCA">
      <w:pPr>
        <w:spacing w:after="240"/>
        <w:jc w:val="both"/>
        <w:rPr>
          <w:rFonts w:asciiTheme="minorHAnsi" w:hAnsiTheme="minorHAnsi" w:cstheme="minorHAnsi"/>
          <w:sz w:val="24"/>
          <w:szCs w:val="24"/>
          <w:lang w:eastAsia="en-GB"/>
        </w:rPr>
      </w:pPr>
      <w:r w:rsidRPr="00764BCA">
        <w:rPr>
          <w:rFonts w:asciiTheme="minorHAnsi" w:hAnsiTheme="minorHAnsi" w:cstheme="minorHAnsi"/>
          <w:sz w:val="24"/>
          <w:szCs w:val="24"/>
          <w:lang w:eastAsia="en-GB"/>
        </w:rPr>
        <w:t xml:space="preserve">There is a view that </w:t>
      </w:r>
      <w:r>
        <w:rPr>
          <w:rFonts w:asciiTheme="minorHAnsi" w:hAnsiTheme="minorHAnsi" w:cstheme="minorHAnsi"/>
          <w:sz w:val="24"/>
          <w:szCs w:val="24"/>
          <w:lang w:eastAsia="en-GB"/>
        </w:rPr>
        <w:t xml:space="preserve">the </w:t>
      </w:r>
      <w:r w:rsidRPr="00764BCA">
        <w:rPr>
          <w:rFonts w:asciiTheme="minorHAnsi" w:hAnsiTheme="minorHAnsi" w:cstheme="minorHAnsi"/>
          <w:sz w:val="24"/>
          <w:szCs w:val="24"/>
          <w:lang w:eastAsia="en-GB"/>
        </w:rPr>
        <w:t>switch from 85% to 40%</w:t>
      </w:r>
      <w:r>
        <w:rPr>
          <w:rFonts w:asciiTheme="minorHAnsi" w:hAnsiTheme="minorHAnsi" w:cstheme="minorHAnsi"/>
          <w:sz w:val="24"/>
          <w:szCs w:val="24"/>
          <w:lang w:eastAsia="en-GB"/>
        </w:rPr>
        <w:t xml:space="preserve"> has not been successful. Although in </w:t>
      </w:r>
      <w:r w:rsidR="008E461E">
        <w:rPr>
          <w:rFonts w:asciiTheme="minorHAnsi" w:hAnsiTheme="minorHAnsi" w:cstheme="minorHAnsi"/>
          <w:sz w:val="24"/>
          <w:szCs w:val="24"/>
          <w:lang w:eastAsia="en-GB"/>
        </w:rPr>
        <w:t>principle</w:t>
      </w:r>
      <w:r>
        <w:rPr>
          <w:rFonts w:asciiTheme="minorHAnsi" w:hAnsiTheme="minorHAnsi" w:cstheme="minorHAnsi"/>
          <w:sz w:val="24"/>
          <w:szCs w:val="24"/>
          <w:lang w:eastAsia="en-GB"/>
        </w:rPr>
        <w:t xml:space="preserve">, it </w:t>
      </w:r>
      <w:r w:rsidRPr="00764BCA">
        <w:rPr>
          <w:rFonts w:asciiTheme="minorHAnsi" w:hAnsiTheme="minorHAnsi" w:cstheme="minorHAnsi"/>
          <w:sz w:val="24"/>
          <w:szCs w:val="24"/>
          <w:lang w:eastAsia="en-GB"/>
        </w:rPr>
        <w:t>make</w:t>
      </w:r>
      <w:r>
        <w:rPr>
          <w:rFonts w:asciiTheme="minorHAnsi" w:hAnsiTheme="minorHAnsi" w:cstheme="minorHAnsi"/>
          <w:sz w:val="24"/>
          <w:szCs w:val="24"/>
          <w:lang w:eastAsia="en-GB"/>
        </w:rPr>
        <w:t>s the money go further, success is limited because</w:t>
      </w:r>
      <w:r w:rsidRPr="00764BCA">
        <w:rPr>
          <w:rFonts w:asciiTheme="minorHAnsi" w:hAnsiTheme="minorHAnsi" w:cstheme="minorHAnsi"/>
          <w:sz w:val="24"/>
          <w:szCs w:val="24"/>
          <w:lang w:eastAsia="en-GB"/>
        </w:rPr>
        <w:t xml:space="preserve"> the </w:t>
      </w:r>
      <w:r>
        <w:rPr>
          <w:rFonts w:asciiTheme="minorHAnsi" w:hAnsiTheme="minorHAnsi" w:cstheme="minorHAnsi"/>
          <w:sz w:val="24"/>
          <w:szCs w:val="24"/>
          <w:lang w:eastAsia="en-GB"/>
        </w:rPr>
        <w:t>expected ESCO</w:t>
      </w:r>
      <w:r w:rsidRPr="00764BCA">
        <w:rPr>
          <w:rFonts w:asciiTheme="minorHAnsi" w:hAnsiTheme="minorHAnsi" w:cstheme="minorHAnsi"/>
          <w:sz w:val="24"/>
          <w:szCs w:val="24"/>
          <w:lang w:eastAsia="en-GB"/>
        </w:rPr>
        <w:t xml:space="preserve"> money has not developed, </w:t>
      </w:r>
      <w:r w:rsidR="00530B45">
        <w:rPr>
          <w:rFonts w:asciiTheme="minorHAnsi" w:hAnsiTheme="minorHAnsi" w:cstheme="minorHAnsi"/>
          <w:sz w:val="24"/>
          <w:szCs w:val="24"/>
          <w:lang w:eastAsia="en-GB"/>
        </w:rPr>
        <w:t xml:space="preserve">payback periods tend to be long </w:t>
      </w:r>
      <w:r w:rsidRPr="00764BCA">
        <w:rPr>
          <w:rFonts w:asciiTheme="minorHAnsi" w:hAnsiTheme="minorHAnsi" w:cstheme="minorHAnsi"/>
          <w:sz w:val="24"/>
          <w:szCs w:val="24"/>
          <w:lang w:eastAsia="en-GB"/>
        </w:rPr>
        <w:t xml:space="preserve">and the public sector </w:t>
      </w:r>
      <w:r>
        <w:rPr>
          <w:rFonts w:asciiTheme="minorHAnsi" w:hAnsiTheme="minorHAnsi" w:cstheme="minorHAnsi"/>
          <w:sz w:val="24"/>
          <w:szCs w:val="24"/>
          <w:lang w:eastAsia="en-GB"/>
        </w:rPr>
        <w:t>appears to be uncomfortable with</w:t>
      </w:r>
      <w:r w:rsidRPr="00764BCA">
        <w:rPr>
          <w:rFonts w:asciiTheme="minorHAnsi" w:hAnsiTheme="minorHAnsi" w:cstheme="minorHAnsi"/>
          <w:sz w:val="24"/>
          <w:szCs w:val="24"/>
          <w:lang w:eastAsia="en-GB"/>
        </w:rPr>
        <w:t xml:space="preserve"> private money.  </w:t>
      </w:r>
      <w:r w:rsidR="00C32D65">
        <w:rPr>
          <w:rFonts w:asciiTheme="minorHAnsi" w:hAnsiTheme="minorHAnsi" w:cstheme="minorHAnsi"/>
          <w:sz w:val="24"/>
          <w:szCs w:val="24"/>
          <w:lang w:eastAsia="en-GB"/>
        </w:rPr>
        <w:t xml:space="preserve">The consequence is that the projects cannot </w:t>
      </w:r>
      <w:r w:rsidR="00C32D65">
        <w:rPr>
          <w:rFonts w:asciiTheme="minorHAnsi" w:hAnsiTheme="minorHAnsi" w:cstheme="minorHAnsi"/>
          <w:sz w:val="24"/>
          <w:szCs w:val="24"/>
          <w:lang w:eastAsia="en-GB"/>
        </w:rPr>
        <w:lastRenderedPageBreak/>
        <w:t>find the 51% private funding, the public sector cannot afford to fund the projects at a grant rate of 40%, so the available funding is not being used.  This funding is not competitive, it is distributed on a first-come, first-served basis.  But without the demand, the money is not being drawn down.  This demonstrates a policy failure, the unintended consequence of the change in intervention grant funding structure.</w:t>
      </w:r>
    </w:p>
    <w:p w:rsidR="008E461E" w:rsidRPr="00310C27" w:rsidRDefault="008E461E" w:rsidP="00764BCA">
      <w:pPr>
        <w:spacing w:after="240"/>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T</w:t>
      </w:r>
      <w:r w:rsidRPr="008E461E">
        <w:rPr>
          <w:rFonts w:asciiTheme="minorHAnsi" w:hAnsiTheme="minorHAnsi" w:cstheme="minorHAnsi"/>
          <w:sz w:val="24"/>
          <w:szCs w:val="24"/>
          <w:lang w:val="en-GB" w:eastAsia="en-GB"/>
        </w:rPr>
        <w:t xml:space="preserve">he </w:t>
      </w:r>
      <w:r>
        <w:rPr>
          <w:rFonts w:asciiTheme="minorHAnsi" w:hAnsiTheme="minorHAnsi" w:cstheme="minorHAnsi"/>
          <w:sz w:val="24"/>
          <w:szCs w:val="24"/>
          <w:lang w:val="en-GB" w:eastAsia="en-GB"/>
        </w:rPr>
        <w:t xml:space="preserve">Eco Fund is helpful but also has difficulties. The </w:t>
      </w:r>
      <w:r w:rsidRPr="008E461E">
        <w:rPr>
          <w:rFonts w:asciiTheme="minorHAnsi" w:hAnsiTheme="minorHAnsi" w:cstheme="minorHAnsi"/>
          <w:sz w:val="24"/>
          <w:szCs w:val="24"/>
          <w:lang w:val="en-GB" w:eastAsia="en-GB"/>
        </w:rPr>
        <w:t>admin</w:t>
      </w:r>
      <w:r>
        <w:rPr>
          <w:rFonts w:asciiTheme="minorHAnsi" w:hAnsiTheme="minorHAnsi" w:cstheme="minorHAnsi"/>
          <w:sz w:val="24"/>
          <w:szCs w:val="24"/>
          <w:lang w:val="en-GB" w:eastAsia="en-GB"/>
        </w:rPr>
        <w:t xml:space="preserve">istration processes </w:t>
      </w:r>
      <w:r w:rsidRPr="008E461E">
        <w:rPr>
          <w:rFonts w:asciiTheme="minorHAnsi" w:hAnsiTheme="minorHAnsi" w:cstheme="minorHAnsi"/>
          <w:sz w:val="24"/>
          <w:szCs w:val="24"/>
          <w:lang w:val="en-GB" w:eastAsia="en-GB"/>
        </w:rPr>
        <w:t>f</w:t>
      </w:r>
      <w:r>
        <w:rPr>
          <w:rFonts w:asciiTheme="minorHAnsi" w:hAnsiTheme="minorHAnsi" w:cstheme="minorHAnsi"/>
          <w:sz w:val="24"/>
          <w:szCs w:val="24"/>
          <w:lang w:val="en-GB" w:eastAsia="en-GB"/>
        </w:rPr>
        <w:t>or</w:t>
      </w:r>
      <w:r w:rsidRPr="008E461E">
        <w:rPr>
          <w:rFonts w:asciiTheme="minorHAnsi" w:hAnsiTheme="minorHAnsi" w:cstheme="minorHAnsi"/>
          <w:sz w:val="24"/>
          <w:szCs w:val="24"/>
          <w:lang w:val="en-GB" w:eastAsia="en-GB"/>
        </w:rPr>
        <w:t xml:space="preserve"> an application are long</w:t>
      </w:r>
      <w:r>
        <w:rPr>
          <w:rFonts w:asciiTheme="minorHAnsi" w:hAnsiTheme="minorHAnsi" w:cstheme="minorHAnsi"/>
          <w:sz w:val="24"/>
          <w:szCs w:val="24"/>
          <w:lang w:val="en-GB" w:eastAsia="en-GB"/>
        </w:rPr>
        <w:t>, time consuming</w:t>
      </w:r>
      <w:r w:rsidRPr="008E461E">
        <w:rPr>
          <w:rFonts w:asciiTheme="minorHAnsi" w:hAnsiTheme="minorHAnsi" w:cstheme="minorHAnsi"/>
          <w:sz w:val="24"/>
          <w:szCs w:val="24"/>
          <w:lang w:val="en-GB" w:eastAsia="en-GB"/>
        </w:rPr>
        <w:t xml:space="preserve"> and </w:t>
      </w:r>
      <w:r>
        <w:rPr>
          <w:rFonts w:asciiTheme="minorHAnsi" w:hAnsiTheme="minorHAnsi" w:cstheme="minorHAnsi"/>
          <w:sz w:val="24"/>
          <w:szCs w:val="24"/>
          <w:lang w:val="en-GB" w:eastAsia="en-GB"/>
        </w:rPr>
        <w:t>difficult</w:t>
      </w:r>
      <w:r w:rsidRPr="008E461E">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The</w:t>
      </w:r>
      <w:r w:rsidRPr="008E461E">
        <w:rPr>
          <w:rFonts w:asciiTheme="minorHAnsi" w:hAnsiTheme="minorHAnsi" w:cstheme="minorHAnsi"/>
          <w:sz w:val="24"/>
          <w:szCs w:val="24"/>
          <w:lang w:val="en-GB" w:eastAsia="en-GB"/>
        </w:rPr>
        <w:t xml:space="preserve"> Eco fund </w:t>
      </w:r>
      <w:r>
        <w:rPr>
          <w:rFonts w:asciiTheme="minorHAnsi" w:hAnsiTheme="minorHAnsi" w:cstheme="minorHAnsi"/>
          <w:sz w:val="24"/>
          <w:szCs w:val="24"/>
          <w:lang w:val="en-GB" w:eastAsia="en-GB"/>
        </w:rPr>
        <w:t xml:space="preserve">however, </w:t>
      </w:r>
      <w:r w:rsidRPr="008E461E">
        <w:rPr>
          <w:rFonts w:asciiTheme="minorHAnsi" w:hAnsiTheme="minorHAnsi" w:cstheme="minorHAnsi"/>
          <w:sz w:val="24"/>
          <w:szCs w:val="24"/>
          <w:lang w:val="en-GB" w:eastAsia="en-GB"/>
        </w:rPr>
        <w:t xml:space="preserve">is </w:t>
      </w:r>
      <w:r>
        <w:rPr>
          <w:rFonts w:asciiTheme="minorHAnsi" w:hAnsiTheme="minorHAnsi" w:cstheme="minorHAnsi"/>
          <w:sz w:val="24"/>
          <w:szCs w:val="24"/>
          <w:lang w:val="en-GB" w:eastAsia="en-GB"/>
        </w:rPr>
        <w:t>a key source</w:t>
      </w:r>
      <w:r w:rsidRPr="008E461E">
        <w:rPr>
          <w:rFonts w:asciiTheme="minorHAnsi" w:hAnsiTheme="minorHAnsi" w:cstheme="minorHAnsi"/>
          <w:sz w:val="24"/>
          <w:szCs w:val="24"/>
          <w:lang w:val="en-GB" w:eastAsia="en-GB"/>
        </w:rPr>
        <w:t xml:space="preserve"> source for individual buildings, but many people don’t apply because the process is so hard.  </w:t>
      </w:r>
      <w:r>
        <w:rPr>
          <w:rFonts w:asciiTheme="minorHAnsi" w:hAnsiTheme="minorHAnsi" w:cstheme="minorHAnsi"/>
          <w:sz w:val="24"/>
          <w:szCs w:val="24"/>
          <w:lang w:val="en-GB" w:eastAsia="en-GB"/>
        </w:rPr>
        <w:t>This suggests that</w:t>
      </w:r>
      <w:r w:rsidRPr="008E461E">
        <w:rPr>
          <w:rFonts w:asciiTheme="minorHAnsi" w:hAnsiTheme="minorHAnsi" w:cstheme="minorHAnsi"/>
          <w:sz w:val="24"/>
          <w:szCs w:val="24"/>
          <w:lang w:val="en-GB" w:eastAsia="en-GB"/>
        </w:rPr>
        <w:t xml:space="preserve"> Eco Fund is probably under spent.  </w:t>
      </w:r>
      <w:r w:rsidR="00C32D65">
        <w:rPr>
          <w:rFonts w:asciiTheme="minorHAnsi" w:hAnsiTheme="minorHAnsi" w:cstheme="minorHAnsi"/>
          <w:sz w:val="24"/>
          <w:szCs w:val="24"/>
          <w:lang w:val="en-GB" w:eastAsia="en-GB"/>
        </w:rPr>
        <w:t xml:space="preserve">It is principally designed for the private residential sector.  </w:t>
      </w:r>
      <w:r>
        <w:rPr>
          <w:rFonts w:asciiTheme="minorHAnsi" w:hAnsiTheme="minorHAnsi" w:cstheme="minorHAnsi"/>
          <w:sz w:val="24"/>
          <w:szCs w:val="24"/>
          <w:lang w:val="en-GB" w:eastAsia="en-GB"/>
        </w:rPr>
        <w:t>It</w:t>
      </w:r>
      <w:r w:rsidRPr="008E461E">
        <w:rPr>
          <w:rFonts w:asciiTheme="minorHAnsi" w:hAnsiTheme="minorHAnsi" w:cstheme="minorHAnsi"/>
          <w:sz w:val="24"/>
          <w:szCs w:val="24"/>
          <w:lang w:val="en-GB" w:eastAsia="en-GB"/>
        </w:rPr>
        <w:t xml:space="preserve"> only </w:t>
      </w:r>
      <w:r>
        <w:rPr>
          <w:rFonts w:asciiTheme="minorHAnsi" w:hAnsiTheme="minorHAnsi" w:cstheme="minorHAnsi"/>
          <w:sz w:val="24"/>
          <w:szCs w:val="24"/>
          <w:lang w:val="en-GB" w:eastAsia="en-GB"/>
        </w:rPr>
        <w:t>provides loans for the public sector</w:t>
      </w:r>
      <w:r w:rsidRPr="008E461E">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and with an intervention rate of</w:t>
      </w:r>
      <w:r w:rsidRPr="008E461E">
        <w:rPr>
          <w:rFonts w:asciiTheme="minorHAnsi" w:hAnsiTheme="minorHAnsi" w:cstheme="minorHAnsi"/>
          <w:sz w:val="24"/>
          <w:szCs w:val="24"/>
          <w:lang w:val="en-GB" w:eastAsia="en-GB"/>
        </w:rPr>
        <w:t xml:space="preserve"> only 20% - a lot of paper</w:t>
      </w:r>
      <w:r w:rsidR="0089425D">
        <w:rPr>
          <w:rFonts w:asciiTheme="minorHAnsi" w:hAnsiTheme="minorHAnsi" w:cstheme="minorHAnsi"/>
          <w:sz w:val="24"/>
          <w:szCs w:val="24"/>
          <w:lang w:val="en-GB" w:eastAsia="en-GB"/>
        </w:rPr>
        <w:t>work is required</w:t>
      </w:r>
      <w:r w:rsidRPr="008E461E">
        <w:rPr>
          <w:rFonts w:asciiTheme="minorHAnsi" w:hAnsiTheme="minorHAnsi" w:cstheme="minorHAnsi"/>
          <w:sz w:val="24"/>
          <w:szCs w:val="24"/>
          <w:lang w:val="en-GB" w:eastAsia="en-GB"/>
        </w:rPr>
        <w:t xml:space="preserve"> to get </w:t>
      </w:r>
      <w:r w:rsidR="0089425D">
        <w:rPr>
          <w:rFonts w:asciiTheme="minorHAnsi" w:hAnsiTheme="minorHAnsi" w:cstheme="minorHAnsi"/>
          <w:sz w:val="24"/>
          <w:szCs w:val="24"/>
          <w:lang w:val="en-GB" w:eastAsia="en-GB"/>
        </w:rPr>
        <w:t>a mere</w:t>
      </w:r>
      <w:r w:rsidRPr="008E461E">
        <w:rPr>
          <w:rFonts w:asciiTheme="minorHAnsi" w:hAnsiTheme="minorHAnsi" w:cstheme="minorHAnsi"/>
          <w:sz w:val="24"/>
          <w:szCs w:val="24"/>
          <w:lang w:val="en-GB" w:eastAsia="en-GB"/>
        </w:rPr>
        <w:t xml:space="preserve"> 20%. </w:t>
      </w:r>
      <w:r w:rsidR="0089425D">
        <w:rPr>
          <w:rFonts w:asciiTheme="minorHAnsi" w:hAnsiTheme="minorHAnsi" w:cstheme="minorHAnsi"/>
          <w:sz w:val="24"/>
          <w:szCs w:val="24"/>
          <w:lang w:val="en-GB" w:eastAsia="en-GB"/>
        </w:rPr>
        <w:t>However, the fund c</w:t>
      </w:r>
      <w:r w:rsidRPr="008E461E">
        <w:rPr>
          <w:rFonts w:asciiTheme="minorHAnsi" w:hAnsiTheme="minorHAnsi" w:cstheme="minorHAnsi"/>
          <w:sz w:val="24"/>
          <w:szCs w:val="24"/>
          <w:lang w:val="en-GB" w:eastAsia="en-GB"/>
        </w:rPr>
        <w:t xml:space="preserve">ould do with more promotion </w:t>
      </w:r>
      <w:r w:rsidR="0089425D">
        <w:rPr>
          <w:rFonts w:asciiTheme="minorHAnsi" w:hAnsiTheme="minorHAnsi" w:cstheme="minorHAnsi"/>
          <w:sz w:val="24"/>
          <w:szCs w:val="24"/>
          <w:lang w:val="en-GB" w:eastAsia="en-GB"/>
        </w:rPr>
        <w:t>to help increase interest</w:t>
      </w:r>
      <w:r w:rsidRPr="008E461E">
        <w:rPr>
          <w:rFonts w:asciiTheme="minorHAnsi" w:hAnsiTheme="minorHAnsi" w:cstheme="minorHAnsi"/>
          <w:sz w:val="24"/>
          <w:szCs w:val="24"/>
          <w:lang w:val="en-GB" w:eastAsia="en-GB"/>
        </w:rPr>
        <w:t>.</w:t>
      </w:r>
    </w:p>
    <w:p w:rsidR="008608DC" w:rsidRPr="00996D6E" w:rsidRDefault="00996D6E" w:rsidP="00336FF6">
      <w:pPr>
        <w:spacing w:after="240"/>
        <w:jc w:val="both"/>
        <w:rPr>
          <w:rFonts w:asciiTheme="minorHAnsi" w:hAnsiTheme="minorHAnsi" w:cstheme="minorHAnsi"/>
          <w:b/>
          <w:sz w:val="28"/>
          <w:szCs w:val="28"/>
          <w:lang w:eastAsia="en-GB"/>
        </w:rPr>
      </w:pPr>
      <w:r w:rsidRPr="00996D6E">
        <w:rPr>
          <w:rFonts w:asciiTheme="minorHAnsi" w:hAnsiTheme="minorHAnsi" w:cstheme="minorHAnsi"/>
          <w:b/>
          <w:sz w:val="28"/>
          <w:szCs w:val="28"/>
          <w:lang w:eastAsia="en-GB"/>
        </w:rPr>
        <w:t>Policy Background</w:t>
      </w:r>
    </w:p>
    <w:p w:rsidR="00336FF6" w:rsidRPr="000A760F" w:rsidRDefault="00336FF6" w:rsidP="00336FF6">
      <w:pPr>
        <w:spacing w:after="240"/>
        <w:jc w:val="both"/>
        <w:rPr>
          <w:rFonts w:asciiTheme="minorHAnsi" w:hAnsiTheme="minorHAnsi" w:cstheme="minorHAnsi"/>
          <w:sz w:val="24"/>
          <w:szCs w:val="24"/>
          <w:lang w:eastAsia="en-GB"/>
        </w:rPr>
      </w:pPr>
      <w:r w:rsidRPr="000A760F">
        <w:rPr>
          <w:rFonts w:asciiTheme="minorHAnsi" w:hAnsiTheme="minorHAnsi" w:cstheme="minorHAnsi"/>
          <w:sz w:val="24"/>
          <w:szCs w:val="24"/>
          <w:lang w:eastAsia="en-GB"/>
        </w:rPr>
        <w:t>On the basis of national as well as the EU legislation, the Government of the Republic of Slovenia adopted the Long-Term Strategy for Mobilising Investments in the Energy Renovation of Buildings on 29th October 2015.</w:t>
      </w:r>
    </w:p>
    <w:p w:rsidR="00336FF6" w:rsidRPr="000A760F" w:rsidRDefault="00336FF6" w:rsidP="00336FF6">
      <w:pPr>
        <w:jc w:val="both"/>
        <w:rPr>
          <w:rFonts w:asciiTheme="minorHAnsi" w:hAnsiTheme="minorHAnsi" w:cstheme="minorHAnsi"/>
          <w:sz w:val="24"/>
          <w:szCs w:val="24"/>
          <w:lang w:eastAsia="en-GB"/>
        </w:rPr>
      </w:pPr>
      <w:r w:rsidRPr="000A760F">
        <w:rPr>
          <w:rFonts w:asciiTheme="minorHAnsi" w:hAnsiTheme="minorHAnsi" w:cstheme="minorHAnsi"/>
          <w:sz w:val="24"/>
          <w:szCs w:val="24"/>
          <w:lang w:eastAsia="en-GB"/>
        </w:rPr>
        <w:t xml:space="preserve">The expected result </w:t>
      </w:r>
      <w:r>
        <w:rPr>
          <w:rFonts w:asciiTheme="minorHAnsi" w:hAnsiTheme="minorHAnsi" w:cstheme="minorHAnsi"/>
          <w:sz w:val="24"/>
          <w:szCs w:val="24"/>
          <w:lang w:eastAsia="en-GB"/>
        </w:rPr>
        <w:t xml:space="preserve">in the public sector </w:t>
      </w:r>
      <w:r w:rsidRPr="000A760F">
        <w:rPr>
          <w:rFonts w:asciiTheme="minorHAnsi" w:hAnsiTheme="minorHAnsi" w:cstheme="minorHAnsi"/>
          <w:sz w:val="24"/>
          <w:szCs w:val="24"/>
          <w:lang w:eastAsia="en-GB"/>
        </w:rPr>
        <w:t xml:space="preserve">is the renovation of 1.8 million m2 of floor area in public buildings (including the mandatory annual renovation of 3% of public buildings owned by </w:t>
      </w:r>
      <w:r>
        <w:rPr>
          <w:rFonts w:asciiTheme="minorHAnsi" w:hAnsiTheme="minorHAnsi" w:cstheme="minorHAnsi"/>
          <w:sz w:val="24"/>
          <w:szCs w:val="24"/>
          <w:lang w:eastAsia="en-GB"/>
        </w:rPr>
        <w:t>the admin</w:t>
      </w:r>
      <w:r w:rsidRPr="000A760F">
        <w:rPr>
          <w:rFonts w:asciiTheme="minorHAnsi" w:hAnsiTheme="minorHAnsi" w:cstheme="minorHAnsi"/>
          <w:sz w:val="24"/>
          <w:szCs w:val="24"/>
          <w:lang w:eastAsia="en-GB"/>
        </w:rPr>
        <w:t xml:space="preserve"> sector), the renovation of 1.3 million m2 of floor area in public buildings in the wider public sector in the period 2014–2023.</w:t>
      </w:r>
    </w:p>
    <w:p w:rsidR="00336FF6" w:rsidRPr="000A760F" w:rsidRDefault="00336FF6" w:rsidP="00336FF6">
      <w:pPr>
        <w:jc w:val="both"/>
        <w:rPr>
          <w:rFonts w:asciiTheme="minorHAnsi" w:hAnsiTheme="minorHAnsi" w:cstheme="minorHAnsi"/>
          <w:sz w:val="24"/>
          <w:szCs w:val="24"/>
          <w:lang w:eastAsia="en-GB"/>
        </w:rPr>
      </w:pPr>
      <w:r w:rsidRPr="000A760F">
        <w:rPr>
          <w:rFonts w:asciiTheme="minorHAnsi" w:hAnsiTheme="minorHAnsi" w:cstheme="minorHAnsi"/>
          <w:sz w:val="24"/>
          <w:szCs w:val="24"/>
          <w:lang w:eastAsia="en-GB"/>
        </w:rPr>
        <w:t> </w:t>
      </w:r>
    </w:p>
    <w:p w:rsidR="00336FF6" w:rsidRPr="000A760F" w:rsidRDefault="00336FF6" w:rsidP="00336FF6">
      <w:pPr>
        <w:jc w:val="both"/>
        <w:rPr>
          <w:rFonts w:asciiTheme="minorHAnsi" w:hAnsiTheme="minorHAnsi" w:cstheme="minorHAnsi"/>
          <w:sz w:val="24"/>
          <w:szCs w:val="24"/>
          <w:lang w:eastAsia="en-GB"/>
        </w:rPr>
      </w:pPr>
      <w:r w:rsidRPr="000A760F">
        <w:rPr>
          <w:rFonts w:asciiTheme="minorHAnsi" w:hAnsiTheme="minorHAnsi" w:cstheme="minorHAnsi"/>
          <w:sz w:val="24"/>
          <w:szCs w:val="24"/>
          <w:lang w:eastAsia="en-GB"/>
        </w:rPr>
        <w:t>For the purposes of the renovation, the strategy also includes an overview of the national building stock and the system of measures and criteria for the promotion and implementation of acceptable ways to approach the renovation of different building types.</w:t>
      </w:r>
    </w:p>
    <w:p w:rsidR="00336FF6" w:rsidRPr="000A760F" w:rsidRDefault="00336FF6" w:rsidP="00336FF6">
      <w:pPr>
        <w:jc w:val="both"/>
        <w:rPr>
          <w:rFonts w:asciiTheme="minorHAnsi" w:hAnsiTheme="minorHAnsi" w:cstheme="minorHAnsi"/>
          <w:sz w:val="24"/>
          <w:szCs w:val="24"/>
          <w:lang w:eastAsia="en-GB"/>
        </w:rPr>
      </w:pPr>
      <w:r w:rsidRPr="000A760F">
        <w:rPr>
          <w:rFonts w:asciiTheme="minorHAnsi" w:hAnsiTheme="minorHAnsi" w:cstheme="minorHAnsi"/>
          <w:sz w:val="24"/>
          <w:szCs w:val="24"/>
          <w:lang w:eastAsia="en-GB"/>
        </w:rPr>
        <w:t> </w:t>
      </w:r>
    </w:p>
    <w:p w:rsidR="00336FF6" w:rsidRPr="000A760F" w:rsidRDefault="00336FF6" w:rsidP="00336FF6">
      <w:pPr>
        <w:jc w:val="both"/>
        <w:rPr>
          <w:rFonts w:asciiTheme="minorHAnsi" w:hAnsiTheme="minorHAnsi" w:cstheme="minorHAnsi"/>
          <w:sz w:val="24"/>
          <w:szCs w:val="24"/>
          <w:lang w:eastAsia="en-GB"/>
        </w:rPr>
      </w:pPr>
      <w:r w:rsidRPr="000A760F">
        <w:rPr>
          <w:rFonts w:asciiTheme="minorHAnsi" w:hAnsiTheme="minorHAnsi" w:cstheme="minorHAnsi"/>
          <w:sz w:val="24"/>
          <w:szCs w:val="24"/>
          <w:lang w:eastAsia="en-GB"/>
        </w:rPr>
        <w:t xml:space="preserve">Due to the provisions of the EU acquis which oblige Member States to the annual renovation of a certain percentage of public buildings, a particular emphasis has been given to the buildings owned by the </w:t>
      </w:r>
      <w:r>
        <w:rPr>
          <w:rFonts w:asciiTheme="minorHAnsi" w:hAnsiTheme="minorHAnsi" w:cstheme="minorHAnsi"/>
          <w:sz w:val="24"/>
          <w:szCs w:val="24"/>
          <w:lang w:eastAsia="en-GB"/>
        </w:rPr>
        <w:t>admin</w:t>
      </w:r>
      <w:r w:rsidRPr="000A760F">
        <w:rPr>
          <w:rFonts w:asciiTheme="minorHAnsi" w:hAnsiTheme="minorHAnsi" w:cstheme="minorHAnsi"/>
          <w:sz w:val="24"/>
          <w:szCs w:val="24"/>
          <w:lang w:eastAsia="en-GB"/>
        </w:rPr>
        <w:t xml:space="preserve"> and wider public sectors.</w:t>
      </w:r>
    </w:p>
    <w:p w:rsidR="00336FF6" w:rsidRPr="000A760F" w:rsidRDefault="00336FF6" w:rsidP="00336FF6">
      <w:pPr>
        <w:jc w:val="both"/>
        <w:rPr>
          <w:rFonts w:asciiTheme="minorHAnsi" w:hAnsiTheme="minorHAnsi" w:cstheme="minorHAnsi"/>
          <w:sz w:val="24"/>
          <w:szCs w:val="24"/>
          <w:lang w:eastAsia="en-GB"/>
        </w:rPr>
      </w:pPr>
      <w:r w:rsidRPr="000A760F">
        <w:rPr>
          <w:rFonts w:asciiTheme="minorHAnsi" w:hAnsiTheme="minorHAnsi" w:cstheme="minorHAnsi"/>
          <w:sz w:val="24"/>
          <w:szCs w:val="24"/>
          <w:lang w:eastAsia="en-GB"/>
        </w:rPr>
        <w:t> </w:t>
      </w:r>
    </w:p>
    <w:p w:rsidR="00336FF6" w:rsidRDefault="00336FF6" w:rsidP="00336FF6">
      <w:pPr>
        <w:jc w:val="both"/>
        <w:rPr>
          <w:rFonts w:asciiTheme="minorHAnsi" w:hAnsiTheme="minorHAnsi" w:cstheme="minorHAnsi"/>
          <w:sz w:val="24"/>
          <w:szCs w:val="24"/>
          <w:lang w:eastAsia="en-GB"/>
        </w:rPr>
      </w:pPr>
      <w:r w:rsidRPr="000A760F">
        <w:rPr>
          <w:rFonts w:asciiTheme="minorHAnsi" w:hAnsiTheme="minorHAnsi" w:cstheme="minorHAnsi"/>
          <w:sz w:val="24"/>
          <w:szCs w:val="24"/>
          <w:lang w:eastAsia="en-GB"/>
        </w:rPr>
        <w:t>The public building energy renovation project will be implemented on the basis of an energy performance contracting model.</w:t>
      </w:r>
      <w:r>
        <w:rPr>
          <w:rFonts w:asciiTheme="minorHAnsi" w:hAnsiTheme="minorHAnsi" w:cstheme="minorHAnsi"/>
          <w:sz w:val="24"/>
          <w:szCs w:val="24"/>
          <w:lang w:eastAsia="en-GB"/>
        </w:rPr>
        <w:t xml:space="preserve">  </w:t>
      </w:r>
      <w:r w:rsidRPr="000A760F">
        <w:rPr>
          <w:rFonts w:asciiTheme="minorHAnsi" w:hAnsiTheme="minorHAnsi" w:cstheme="minorHAnsi"/>
          <w:sz w:val="24"/>
          <w:szCs w:val="24"/>
          <w:lang w:eastAsia="en-GB"/>
        </w:rPr>
        <w:t>Energy performance contracting allows the investment of energy service company's private funds in the renovation. For the energy renovation of public buildings, €115 million in grants and €50 million in repayable cohesion funds will be provided in the period 2016–2023. The cohesion funds will be combined with financial investments from dedicated funds and programmes of international financial institutions in grants and repayable funds.</w:t>
      </w:r>
    </w:p>
    <w:p w:rsidR="00996D6E" w:rsidRDefault="00996D6E" w:rsidP="00336FF6">
      <w:pPr>
        <w:jc w:val="both"/>
        <w:rPr>
          <w:rFonts w:asciiTheme="minorHAnsi" w:hAnsiTheme="minorHAnsi" w:cstheme="minorHAnsi"/>
          <w:sz w:val="24"/>
          <w:szCs w:val="24"/>
          <w:lang w:eastAsia="en-GB"/>
        </w:rPr>
      </w:pPr>
    </w:p>
    <w:p w:rsidR="00E40D06" w:rsidRDefault="00E40D06">
      <w:pPr>
        <w:suppressAutoHyphens w:val="0"/>
        <w:rPr>
          <w:rFonts w:asciiTheme="minorHAnsi" w:hAnsiTheme="minorHAnsi" w:cstheme="minorHAnsi"/>
          <w:b/>
          <w:sz w:val="28"/>
          <w:szCs w:val="28"/>
          <w:lang w:eastAsia="en-GB"/>
        </w:rPr>
      </w:pPr>
      <w:r>
        <w:rPr>
          <w:rFonts w:asciiTheme="minorHAnsi" w:hAnsiTheme="minorHAnsi" w:cstheme="minorHAnsi"/>
          <w:b/>
          <w:sz w:val="28"/>
          <w:szCs w:val="28"/>
          <w:lang w:eastAsia="en-GB"/>
        </w:rPr>
        <w:br w:type="page"/>
      </w:r>
    </w:p>
    <w:p w:rsidR="00996D6E" w:rsidRPr="00996D6E" w:rsidRDefault="007E2F19" w:rsidP="00336FF6">
      <w:pPr>
        <w:jc w:val="both"/>
        <w:rPr>
          <w:rFonts w:asciiTheme="minorHAnsi" w:hAnsiTheme="minorHAnsi" w:cstheme="minorHAnsi"/>
          <w:b/>
          <w:sz w:val="28"/>
          <w:szCs w:val="28"/>
          <w:lang w:eastAsia="en-GB"/>
        </w:rPr>
      </w:pPr>
      <w:r>
        <w:rPr>
          <w:rFonts w:asciiTheme="minorHAnsi" w:hAnsiTheme="minorHAnsi" w:cstheme="minorHAnsi"/>
          <w:b/>
          <w:sz w:val="28"/>
          <w:szCs w:val="28"/>
          <w:lang w:eastAsia="en-GB"/>
        </w:rPr>
        <w:lastRenderedPageBreak/>
        <w:t>Current Local Invest</w:t>
      </w:r>
      <w:r w:rsidR="00996D6E" w:rsidRPr="00996D6E">
        <w:rPr>
          <w:rFonts w:asciiTheme="minorHAnsi" w:hAnsiTheme="minorHAnsi" w:cstheme="minorHAnsi"/>
          <w:b/>
          <w:sz w:val="28"/>
          <w:szCs w:val="28"/>
          <w:lang w:eastAsia="en-GB"/>
        </w:rPr>
        <w:t>m</w:t>
      </w:r>
      <w:r>
        <w:rPr>
          <w:rFonts w:asciiTheme="minorHAnsi" w:hAnsiTheme="minorHAnsi" w:cstheme="minorHAnsi"/>
          <w:b/>
          <w:sz w:val="28"/>
          <w:szCs w:val="28"/>
          <w:lang w:eastAsia="en-GB"/>
        </w:rPr>
        <w:t>e</w:t>
      </w:r>
      <w:r w:rsidR="00996D6E" w:rsidRPr="00996D6E">
        <w:rPr>
          <w:rFonts w:asciiTheme="minorHAnsi" w:hAnsiTheme="minorHAnsi" w:cstheme="minorHAnsi"/>
          <w:b/>
          <w:sz w:val="28"/>
          <w:szCs w:val="28"/>
          <w:lang w:eastAsia="en-GB"/>
        </w:rPr>
        <w:t>nt projects</w:t>
      </w:r>
    </w:p>
    <w:p w:rsidR="00996D6E" w:rsidRDefault="00996D6E" w:rsidP="00336FF6">
      <w:pPr>
        <w:jc w:val="both"/>
        <w:rPr>
          <w:rFonts w:asciiTheme="minorHAnsi" w:hAnsiTheme="minorHAnsi" w:cstheme="minorHAnsi"/>
          <w:sz w:val="24"/>
          <w:szCs w:val="24"/>
          <w:lang w:eastAsia="en-GB"/>
        </w:rPr>
      </w:pPr>
    </w:p>
    <w:p w:rsidR="00336FF6" w:rsidRDefault="00996D6E" w:rsidP="004D10E8">
      <w:pPr>
        <w:jc w:val="both"/>
        <w:rPr>
          <w:rFonts w:asciiTheme="minorHAnsi" w:hAnsiTheme="minorHAnsi" w:cstheme="minorHAnsi"/>
          <w:sz w:val="24"/>
          <w:szCs w:val="24"/>
        </w:rPr>
      </w:pPr>
      <w:r>
        <w:rPr>
          <w:rFonts w:asciiTheme="minorHAnsi" w:hAnsiTheme="minorHAnsi" w:cstheme="minorHAnsi"/>
          <w:sz w:val="24"/>
          <w:szCs w:val="24"/>
        </w:rPr>
        <w:t xml:space="preserve">The following projects, of interest </w:t>
      </w:r>
      <w:r w:rsidR="008E461E">
        <w:rPr>
          <w:rFonts w:asciiTheme="minorHAnsi" w:hAnsiTheme="minorHAnsi" w:cstheme="minorHAnsi"/>
          <w:sz w:val="24"/>
          <w:szCs w:val="24"/>
        </w:rPr>
        <w:t>to</w:t>
      </w:r>
      <w:r>
        <w:rPr>
          <w:rFonts w:asciiTheme="minorHAnsi" w:hAnsiTheme="minorHAnsi" w:cstheme="minorHAnsi"/>
          <w:sz w:val="24"/>
          <w:szCs w:val="24"/>
        </w:rPr>
        <w:t xml:space="preserve"> the local Stakeholders Group, are currently underway.</w:t>
      </w:r>
    </w:p>
    <w:p w:rsidR="00996D6E" w:rsidRDefault="00996D6E" w:rsidP="004D10E8">
      <w:pPr>
        <w:jc w:val="both"/>
        <w:rPr>
          <w:rFonts w:asciiTheme="minorHAnsi" w:hAnsiTheme="minorHAnsi" w:cstheme="minorHAnsi"/>
          <w:i/>
          <w:sz w:val="24"/>
          <w:szCs w:val="24"/>
        </w:rPr>
      </w:pPr>
    </w:p>
    <w:p w:rsidR="00C75678" w:rsidRDefault="00C75678" w:rsidP="00C75678">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Pr="00C75678">
        <w:rPr>
          <w:rFonts w:asciiTheme="minorHAnsi" w:hAnsiTheme="minorHAnsi" w:cstheme="minorHAnsi"/>
          <w:sz w:val="24"/>
          <w:szCs w:val="24"/>
          <w:lang w:val="en-GB"/>
        </w:rPr>
        <w:t>L</w:t>
      </w:r>
      <w:r>
        <w:rPr>
          <w:rFonts w:asciiTheme="minorHAnsi" w:hAnsiTheme="minorHAnsi" w:cstheme="minorHAnsi"/>
          <w:sz w:val="24"/>
          <w:szCs w:val="24"/>
          <w:lang w:val="en-GB"/>
        </w:rPr>
        <w:t xml:space="preserve">ocal </w:t>
      </w:r>
      <w:r w:rsidRPr="00C75678">
        <w:rPr>
          <w:rFonts w:asciiTheme="minorHAnsi" w:hAnsiTheme="minorHAnsi" w:cstheme="minorHAnsi"/>
          <w:sz w:val="24"/>
          <w:szCs w:val="24"/>
          <w:lang w:val="en-GB"/>
        </w:rPr>
        <w:t>E</w:t>
      </w:r>
      <w:r w:rsidR="00530B45">
        <w:rPr>
          <w:rFonts w:asciiTheme="minorHAnsi" w:hAnsiTheme="minorHAnsi" w:cstheme="minorHAnsi"/>
          <w:sz w:val="24"/>
          <w:szCs w:val="24"/>
          <w:lang w:val="en-GB"/>
        </w:rPr>
        <w:t>ner</w:t>
      </w:r>
      <w:r>
        <w:rPr>
          <w:rFonts w:asciiTheme="minorHAnsi" w:hAnsiTheme="minorHAnsi" w:cstheme="minorHAnsi"/>
          <w:sz w:val="24"/>
          <w:szCs w:val="24"/>
          <w:lang w:val="en-GB"/>
        </w:rPr>
        <w:t xml:space="preserve">gy </w:t>
      </w:r>
      <w:r w:rsidRPr="00C75678">
        <w:rPr>
          <w:rFonts w:asciiTheme="minorHAnsi" w:hAnsiTheme="minorHAnsi" w:cstheme="minorHAnsi"/>
          <w:sz w:val="24"/>
          <w:szCs w:val="24"/>
          <w:lang w:val="en-GB"/>
        </w:rPr>
        <w:t>A</w:t>
      </w:r>
      <w:r>
        <w:rPr>
          <w:rFonts w:asciiTheme="minorHAnsi" w:hAnsiTheme="minorHAnsi" w:cstheme="minorHAnsi"/>
          <w:sz w:val="24"/>
          <w:szCs w:val="24"/>
          <w:lang w:val="en-GB"/>
        </w:rPr>
        <w:t>gency</w:t>
      </w:r>
      <w:r w:rsidRPr="00C75678">
        <w:rPr>
          <w:rFonts w:asciiTheme="minorHAnsi" w:hAnsiTheme="minorHAnsi" w:cstheme="minorHAnsi"/>
          <w:sz w:val="24"/>
          <w:szCs w:val="24"/>
          <w:lang w:val="en-GB"/>
        </w:rPr>
        <w:t xml:space="preserve"> Spodnje Podravje </w:t>
      </w:r>
      <w:r w:rsidR="00630CC0">
        <w:rPr>
          <w:rFonts w:asciiTheme="minorHAnsi" w:hAnsiTheme="minorHAnsi" w:cstheme="minorHAnsi"/>
          <w:sz w:val="24"/>
          <w:szCs w:val="24"/>
          <w:lang w:val="en-GB"/>
        </w:rPr>
        <w:t>has</w:t>
      </w:r>
      <w:r>
        <w:rPr>
          <w:rFonts w:asciiTheme="minorHAnsi" w:hAnsiTheme="minorHAnsi" w:cstheme="minorHAnsi"/>
          <w:sz w:val="24"/>
          <w:szCs w:val="24"/>
          <w:lang w:val="en-GB"/>
        </w:rPr>
        <w:t xml:space="preserve"> a </w:t>
      </w:r>
      <w:r w:rsidRPr="00C75678">
        <w:rPr>
          <w:rFonts w:asciiTheme="minorHAnsi" w:hAnsiTheme="minorHAnsi" w:cstheme="minorHAnsi"/>
          <w:sz w:val="24"/>
          <w:szCs w:val="24"/>
          <w:lang w:val="en-GB"/>
        </w:rPr>
        <w:t>Project list</w:t>
      </w:r>
      <w:r>
        <w:rPr>
          <w:rFonts w:asciiTheme="minorHAnsi" w:hAnsiTheme="minorHAnsi" w:cstheme="minorHAnsi"/>
          <w:sz w:val="24"/>
          <w:szCs w:val="24"/>
          <w:lang w:val="en-GB"/>
        </w:rPr>
        <w:t xml:space="preserve"> </w:t>
      </w:r>
      <w:r w:rsidR="008E461E">
        <w:rPr>
          <w:rFonts w:asciiTheme="minorHAnsi" w:hAnsiTheme="minorHAnsi" w:cstheme="minorHAnsi"/>
          <w:sz w:val="24"/>
          <w:szCs w:val="24"/>
          <w:lang w:val="en-GB"/>
        </w:rPr>
        <w:t>including</w:t>
      </w:r>
      <w:r w:rsidRPr="00C75678">
        <w:rPr>
          <w:rFonts w:asciiTheme="minorHAnsi" w:hAnsiTheme="minorHAnsi" w:cstheme="minorHAnsi"/>
          <w:sz w:val="24"/>
          <w:szCs w:val="24"/>
          <w:lang w:val="en-GB"/>
        </w:rPr>
        <w:t xml:space="preserve">: </w:t>
      </w:r>
    </w:p>
    <w:p w:rsidR="00C32D65" w:rsidRDefault="00C32D65" w:rsidP="00C75678">
      <w:pPr>
        <w:jc w:val="both"/>
        <w:rPr>
          <w:rFonts w:asciiTheme="minorHAnsi" w:hAnsiTheme="minorHAnsi" w:cstheme="minorHAnsi"/>
          <w:sz w:val="24"/>
          <w:szCs w:val="24"/>
          <w:lang w:val="en-GB"/>
        </w:rPr>
      </w:pPr>
    </w:p>
    <w:p w:rsidR="00C75678" w:rsidRPr="00C32D65" w:rsidRDefault="00C75678" w:rsidP="00C32D65">
      <w:pPr>
        <w:pStyle w:val="Odstavekseznama"/>
        <w:numPr>
          <w:ilvl w:val="0"/>
          <w:numId w:val="17"/>
        </w:numPr>
        <w:jc w:val="both"/>
        <w:rPr>
          <w:rFonts w:asciiTheme="minorHAnsi" w:hAnsiTheme="minorHAnsi" w:cstheme="minorHAnsi"/>
          <w:sz w:val="24"/>
          <w:szCs w:val="24"/>
          <w:lang w:val="en-GB"/>
        </w:rPr>
      </w:pPr>
      <w:r w:rsidRPr="00C32D65">
        <w:rPr>
          <w:rFonts w:asciiTheme="minorHAnsi" w:hAnsiTheme="minorHAnsi" w:cstheme="minorHAnsi"/>
          <w:sz w:val="24"/>
          <w:szCs w:val="24"/>
          <w:lang w:val="en-GB"/>
        </w:rPr>
        <w:t xml:space="preserve">High School </w:t>
      </w:r>
      <w:r w:rsidR="009D283B" w:rsidRPr="00C32D65">
        <w:rPr>
          <w:rFonts w:asciiTheme="minorHAnsi" w:hAnsiTheme="minorHAnsi" w:cstheme="minorHAnsi"/>
          <w:sz w:val="24"/>
          <w:szCs w:val="24"/>
          <w:lang w:val="en-GB"/>
        </w:rPr>
        <w:t xml:space="preserve">(Gymnasium) </w:t>
      </w:r>
      <w:r w:rsidRPr="00C32D65">
        <w:rPr>
          <w:rFonts w:asciiTheme="minorHAnsi" w:hAnsiTheme="minorHAnsi" w:cstheme="minorHAnsi"/>
          <w:sz w:val="24"/>
          <w:szCs w:val="24"/>
          <w:lang w:val="en-GB"/>
        </w:rPr>
        <w:t>buildings and hostel together (€4 million);</w:t>
      </w:r>
    </w:p>
    <w:p w:rsidR="009D283B" w:rsidRPr="00C32D65" w:rsidRDefault="00C75678" w:rsidP="00C32D65">
      <w:pPr>
        <w:pStyle w:val="Odstavekseznama"/>
        <w:numPr>
          <w:ilvl w:val="0"/>
          <w:numId w:val="17"/>
        </w:numPr>
        <w:jc w:val="both"/>
        <w:rPr>
          <w:rFonts w:asciiTheme="minorHAnsi" w:hAnsiTheme="minorHAnsi" w:cstheme="minorHAnsi"/>
          <w:sz w:val="24"/>
          <w:szCs w:val="24"/>
          <w:lang w:val="en-GB"/>
        </w:rPr>
      </w:pPr>
      <w:r w:rsidRPr="00C32D65">
        <w:rPr>
          <w:rFonts w:asciiTheme="minorHAnsi" w:hAnsiTheme="minorHAnsi" w:cstheme="minorHAnsi"/>
          <w:sz w:val="24"/>
          <w:szCs w:val="24"/>
          <w:lang w:val="en-GB"/>
        </w:rPr>
        <w:t xml:space="preserve">A cluster of 10 primary schools and kindergartens </w:t>
      </w:r>
      <w:r w:rsidR="009D283B" w:rsidRPr="00C32D65">
        <w:rPr>
          <w:rFonts w:asciiTheme="minorHAnsi" w:hAnsiTheme="minorHAnsi" w:cstheme="minorHAnsi"/>
          <w:sz w:val="24"/>
          <w:szCs w:val="24"/>
          <w:lang w:val="en-GB"/>
        </w:rPr>
        <w:t xml:space="preserve">around the city </w:t>
      </w:r>
    </w:p>
    <w:p w:rsidR="00530B45" w:rsidRPr="00C32D65" w:rsidRDefault="009D283B" w:rsidP="00C32D65">
      <w:pPr>
        <w:pStyle w:val="Odstavekseznama"/>
        <w:numPr>
          <w:ilvl w:val="0"/>
          <w:numId w:val="17"/>
        </w:numPr>
        <w:jc w:val="both"/>
        <w:rPr>
          <w:rFonts w:asciiTheme="minorHAnsi" w:hAnsiTheme="minorHAnsi" w:cstheme="minorHAnsi"/>
          <w:sz w:val="24"/>
          <w:szCs w:val="24"/>
          <w:lang w:val="en-GB"/>
        </w:rPr>
      </w:pPr>
      <w:r w:rsidRPr="00C32D65">
        <w:rPr>
          <w:rFonts w:asciiTheme="minorHAnsi" w:hAnsiTheme="minorHAnsi" w:cstheme="minorHAnsi"/>
          <w:sz w:val="24"/>
          <w:szCs w:val="24"/>
          <w:lang w:val="en-GB"/>
        </w:rPr>
        <w:t>An existing</w:t>
      </w:r>
      <w:r w:rsidR="00C75678" w:rsidRPr="00C32D65">
        <w:rPr>
          <w:rFonts w:asciiTheme="minorHAnsi" w:hAnsiTheme="minorHAnsi" w:cstheme="minorHAnsi"/>
          <w:sz w:val="24"/>
          <w:szCs w:val="24"/>
          <w:lang w:val="en-GB"/>
        </w:rPr>
        <w:t xml:space="preserve"> large scale project renovating </w:t>
      </w:r>
      <w:r w:rsidRPr="00C32D65">
        <w:rPr>
          <w:rFonts w:asciiTheme="minorHAnsi" w:hAnsiTheme="minorHAnsi" w:cstheme="minorHAnsi"/>
          <w:sz w:val="24"/>
          <w:szCs w:val="24"/>
          <w:lang w:val="en-GB"/>
        </w:rPr>
        <w:t xml:space="preserve">5 </w:t>
      </w:r>
      <w:r w:rsidR="00C75678" w:rsidRPr="00C32D65">
        <w:rPr>
          <w:rFonts w:asciiTheme="minorHAnsi" w:hAnsiTheme="minorHAnsi" w:cstheme="minorHAnsi"/>
          <w:sz w:val="24"/>
          <w:szCs w:val="24"/>
          <w:lang w:val="en-GB"/>
        </w:rPr>
        <w:t>schools</w:t>
      </w:r>
      <w:r w:rsidRPr="00C32D65">
        <w:rPr>
          <w:rFonts w:asciiTheme="minorHAnsi" w:hAnsiTheme="minorHAnsi" w:cstheme="minorHAnsi"/>
          <w:sz w:val="24"/>
          <w:szCs w:val="24"/>
          <w:lang w:val="en-GB"/>
        </w:rPr>
        <w:t>, one kindergarten and one sports hall</w:t>
      </w:r>
      <w:r w:rsidR="00C75678" w:rsidRPr="00C32D65">
        <w:rPr>
          <w:rFonts w:asciiTheme="minorHAnsi" w:hAnsiTheme="minorHAnsi" w:cstheme="minorHAnsi"/>
          <w:sz w:val="24"/>
          <w:szCs w:val="24"/>
          <w:lang w:val="en-GB"/>
        </w:rPr>
        <w:t xml:space="preserve"> in the region, has applied to the Cohesion Fund for 7 buildings, </w:t>
      </w:r>
      <w:r w:rsidRPr="00C32D65">
        <w:rPr>
          <w:rFonts w:asciiTheme="minorHAnsi" w:hAnsiTheme="minorHAnsi" w:cstheme="minorHAnsi"/>
          <w:sz w:val="24"/>
          <w:szCs w:val="24"/>
          <w:lang w:val="en-GB"/>
        </w:rPr>
        <w:t xml:space="preserve">and </w:t>
      </w:r>
      <w:r w:rsidR="00C75678" w:rsidRPr="00C32D65">
        <w:rPr>
          <w:rFonts w:asciiTheme="minorHAnsi" w:hAnsiTheme="minorHAnsi" w:cstheme="minorHAnsi"/>
          <w:sz w:val="24"/>
          <w:szCs w:val="24"/>
          <w:lang w:val="en-GB"/>
        </w:rPr>
        <w:t xml:space="preserve">will be finished in September 2018 (€1.2 million at 40%).  </w:t>
      </w:r>
    </w:p>
    <w:p w:rsidR="00C32D65" w:rsidRDefault="00C32D65" w:rsidP="00C75678">
      <w:pPr>
        <w:jc w:val="both"/>
        <w:rPr>
          <w:rFonts w:asciiTheme="minorHAnsi" w:hAnsiTheme="minorHAnsi" w:cstheme="minorHAnsi"/>
          <w:sz w:val="24"/>
          <w:szCs w:val="24"/>
          <w:lang w:val="en-GB"/>
        </w:rPr>
      </w:pPr>
    </w:p>
    <w:p w:rsidR="00C75678" w:rsidRDefault="00C75678" w:rsidP="00C75678">
      <w:pPr>
        <w:jc w:val="both"/>
        <w:rPr>
          <w:rFonts w:asciiTheme="minorHAnsi" w:hAnsiTheme="minorHAnsi" w:cstheme="minorHAnsi"/>
          <w:sz w:val="24"/>
          <w:szCs w:val="24"/>
          <w:lang w:val="en-GB"/>
        </w:rPr>
      </w:pPr>
      <w:r w:rsidRPr="00C75678">
        <w:rPr>
          <w:rFonts w:asciiTheme="minorHAnsi" w:hAnsiTheme="minorHAnsi" w:cstheme="minorHAnsi"/>
          <w:sz w:val="24"/>
          <w:szCs w:val="24"/>
          <w:lang w:val="en-GB"/>
        </w:rPr>
        <w:t>Energy renovation means replacing windows, insulating the facade, insulating ce</w:t>
      </w:r>
      <w:r w:rsidR="009D283B">
        <w:rPr>
          <w:rFonts w:asciiTheme="minorHAnsi" w:hAnsiTheme="minorHAnsi" w:cstheme="minorHAnsi"/>
          <w:sz w:val="24"/>
          <w:szCs w:val="24"/>
          <w:lang w:val="en-GB"/>
        </w:rPr>
        <w:t xml:space="preserve">llar and ceilings, replacing </w:t>
      </w:r>
      <w:r w:rsidR="008E461E">
        <w:rPr>
          <w:rFonts w:asciiTheme="minorHAnsi" w:hAnsiTheme="minorHAnsi" w:cstheme="minorHAnsi"/>
          <w:sz w:val="24"/>
          <w:szCs w:val="24"/>
          <w:lang w:val="en-GB"/>
        </w:rPr>
        <w:t>old</w:t>
      </w:r>
      <w:r w:rsidRPr="00C75678">
        <w:rPr>
          <w:rFonts w:asciiTheme="minorHAnsi" w:hAnsiTheme="minorHAnsi" w:cstheme="minorHAnsi"/>
          <w:sz w:val="24"/>
          <w:szCs w:val="24"/>
          <w:lang w:val="en-GB"/>
        </w:rPr>
        <w:t xml:space="preserve"> oil or gas </w:t>
      </w:r>
      <w:r w:rsidR="009D283B">
        <w:rPr>
          <w:rFonts w:asciiTheme="minorHAnsi" w:hAnsiTheme="minorHAnsi" w:cstheme="minorHAnsi"/>
          <w:sz w:val="24"/>
          <w:szCs w:val="24"/>
          <w:lang w:val="en-GB"/>
        </w:rPr>
        <w:t xml:space="preserve">boilers </w:t>
      </w:r>
      <w:r w:rsidRPr="00C75678">
        <w:rPr>
          <w:rFonts w:asciiTheme="minorHAnsi" w:hAnsiTheme="minorHAnsi" w:cstheme="minorHAnsi"/>
          <w:sz w:val="24"/>
          <w:szCs w:val="24"/>
          <w:lang w:val="en-GB"/>
        </w:rPr>
        <w:t xml:space="preserve">with wood biomass or </w:t>
      </w:r>
      <w:r w:rsidR="008E461E" w:rsidRPr="00C75678">
        <w:rPr>
          <w:rFonts w:asciiTheme="minorHAnsi" w:hAnsiTheme="minorHAnsi" w:cstheme="minorHAnsi"/>
          <w:sz w:val="24"/>
          <w:szCs w:val="24"/>
          <w:lang w:val="en-GB"/>
        </w:rPr>
        <w:t>heat pumps</w:t>
      </w:r>
      <w:r w:rsidRPr="00C75678">
        <w:rPr>
          <w:rFonts w:asciiTheme="minorHAnsi" w:hAnsiTheme="minorHAnsi" w:cstheme="minorHAnsi"/>
          <w:sz w:val="24"/>
          <w:szCs w:val="24"/>
          <w:lang w:val="en-GB"/>
        </w:rPr>
        <w:t>, replacing the lighting.</w:t>
      </w:r>
      <w:r w:rsidR="009D283B">
        <w:rPr>
          <w:rFonts w:asciiTheme="minorHAnsi" w:hAnsiTheme="minorHAnsi" w:cstheme="minorHAnsi"/>
          <w:sz w:val="24"/>
          <w:szCs w:val="24"/>
          <w:lang w:val="en-GB"/>
        </w:rPr>
        <w:t xml:space="preserve"> Unlike some previous </w:t>
      </w:r>
      <w:r w:rsidR="008E461E">
        <w:rPr>
          <w:rFonts w:asciiTheme="minorHAnsi" w:hAnsiTheme="minorHAnsi" w:cstheme="minorHAnsi"/>
          <w:sz w:val="24"/>
          <w:szCs w:val="24"/>
          <w:lang w:val="en-GB"/>
        </w:rPr>
        <w:t>grants</w:t>
      </w:r>
      <w:r w:rsidR="009D283B">
        <w:rPr>
          <w:rFonts w:asciiTheme="minorHAnsi" w:hAnsiTheme="minorHAnsi" w:cstheme="minorHAnsi"/>
          <w:sz w:val="24"/>
          <w:szCs w:val="24"/>
          <w:lang w:val="en-GB"/>
        </w:rPr>
        <w:t xml:space="preserve"> which focused on the </w:t>
      </w:r>
      <w:r w:rsidR="008E461E">
        <w:rPr>
          <w:rFonts w:asciiTheme="minorHAnsi" w:hAnsiTheme="minorHAnsi" w:cstheme="minorHAnsi"/>
          <w:sz w:val="24"/>
          <w:szCs w:val="24"/>
          <w:lang w:val="en-GB"/>
        </w:rPr>
        <w:t>building</w:t>
      </w:r>
      <w:r w:rsidR="009D283B">
        <w:rPr>
          <w:rFonts w:asciiTheme="minorHAnsi" w:hAnsiTheme="minorHAnsi" w:cstheme="minorHAnsi"/>
          <w:sz w:val="24"/>
          <w:szCs w:val="24"/>
          <w:lang w:val="en-GB"/>
        </w:rPr>
        <w:t xml:space="preserve"> envelope, the newer grants cover more </w:t>
      </w:r>
      <w:r w:rsidR="008E461E">
        <w:rPr>
          <w:rFonts w:asciiTheme="minorHAnsi" w:hAnsiTheme="minorHAnsi" w:cstheme="minorHAnsi"/>
          <w:sz w:val="24"/>
          <w:szCs w:val="24"/>
          <w:lang w:val="en-GB"/>
        </w:rPr>
        <w:t>comprehensive</w:t>
      </w:r>
      <w:r w:rsidR="009D283B">
        <w:rPr>
          <w:rFonts w:asciiTheme="minorHAnsi" w:hAnsiTheme="minorHAnsi" w:cstheme="minorHAnsi"/>
          <w:sz w:val="24"/>
          <w:szCs w:val="24"/>
          <w:lang w:val="en-GB"/>
        </w:rPr>
        <w:t xml:space="preserve"> works</w:t>
      </w:r>
    </w:p>
    <w:p w:rsidR="002E59CA" w:rsidRDefault="002E59CA" w:rsidP="00C75678">
      <w:pPr>
        <w:jc w:val="both"/>
        <w:rPr>
          <w:rFonts w:asciiTheme="minorHAnsi" w:hAnsiTheme="minorHAnsi" w:cstheme="minorHAnsi"/>
          <w:sz w:val="24"/>
          <w:szCs w:val="24"/>
          <w:lang w:val="en-GB"/>
        </w:rPr>
      </w:pPr>
    </w:p>
    <w:p w:rsidR="009D283B" w:rsidRDefault="009D283B" w:rsidP="00C75678">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A local hospital was renovated </w:t>
      </w:r>
      <w:r w:rsidR="008E461E">
        <w:rPr>
          <w:rFonts w:asciiTheme="minorHAnsi" w:hAnsiTheme="minorHAnsi" w:cstheme="minorHAnsi"/>
          <w:sz w:val="24"/>
          <w:szCs w:val="24"/>
          <w:lang w:val="en-GB"/>
        </w:rPr>
        <w:t>through</w:t>
      </w:r>
      <w:r>
        <w:rPr>
          <w:rFonts w:asciiTheme="minorHAnsi" w:hAnsiTheme="minorHAnsi" w:cstheme="minorHAnsi"/>
          <w:sz w:val="24"/>
          <w:szCs w:val="24"/>
          <w:lang w:val="en-GB"/>
        </w:rPr>
        <w:t xml:space="preserve"> a previous €4m Cohesion Fund project.</w:t>
      </w:r>
    </w:p>
    <w:p w:rsidR="009D283B" w:rsidRDefault="009D283B" w:rsidP="00C75678">
      <w:pPr>
        <w:jc w:val="both"/>
        <w:rPr>
          <w:rFonts w:asciiTheme="minorHAnsi" w:hAnsiTheme="minorHAnsi" w:cstheme="minorHAnsi"/>
          <w:sz w:val="24"/>
          <w:szCs w:val="24"/>
          <w:lang w:val="en-GB"/>
        </w:rPr>
      </w:pPr>
    </w:p>
    <w:p w:rsidR="009D283B" w:rsidRDefault="009D283B" w:rsidP="009D283B">
      <w:pPr>
        <w:jc w:val="both"/>
        <w:rPr>
          <w:rFonts w:asciiTheme="minorHAnsi" w:hAnsiTheme="minorHAnsi" w:cstheme="minorHAnsi"/>
          <w:sz w:val="24"/>
          <w:szCs w:val="24"/>
          <w:lang w:val="en-GB"/>
        </w:rPr>
      </w:pPr>
      <w:r>
        <w:rPr>
          <w:rFonts w:asciiTheme="minorHAnsi" w:hAnsiTheme="minorHAnsi" w:cstheme="minorHAnsi"/>
          <w:sz w:val="24"/>
          <w:szCs w:val="24"/>
          <w:lang w:val="en-GB"/>
        </w:rPr>
        <w:t>In</w:t>
      </w:r>
      <w:r w:rsidR="008E461E">
        <w:rPr>
          <w:rFonts w:asciiTheme="minorHAnsi" w:hAnsiTheme="minorHAnsi" w:cstheme="minorHAnsi"/>
          <w:sz w:val="24"/>
          <w:szCs w:val="24"/>
          <w:lang w:val="en-GB"/>
        </w:rPr>
        <w:t xml:space="preserve"> the Pomurje</w:t>
      </w:r>
      <w:r>
        <w:rPr>
          <w:rFonts w:asciiTheme="minorHAnsi" w:hAnsiTheme="minorHAnsi" w:cstheme="minorHAnsi"/>
          <w:sz w:val="24"/>
          <w:szCs w:val="24"/>
          <w:lang w:val="en-GB"/>
        </w:rPr>
        <w:t xml:space="preserve"> Region (population approximately 200,000) the </w:t>
      </w:r>
      <w:r w:rsidRPr="009D283B">
        <w:rPr>
          <w:rFonts w:asciiTheme="minorHAnsi" w:hAnsiTheme="minorHAnsi" w:cstheme="minorHAnsi"/>
          <w:sz w:val="24"/>
          <w:szCs w:val="24"/>
          <w:lang w:val="en-GB"/>
        </w:rPr>
        <w:t>Darlinga Project</w:t>
      </w:r>
      <w:r>
        <w:rPr>
          <w:rFonts w:asciiTheme="minorHAnsi" w:hAnsiTheme="minorHAnsi" w:cstheme="minorHAnsi"/>
          <w:sz w:val="24"/>
          <w:szCs w:val="24"/>
          <w:lang w:val="en-GB"/>
        </w:rPr>
        <w:t xml:space="preserve"> is underway. Funded through </w:t>
      </w:r>
      <w:r w:rsidRPr="009D283B">
        <w:rPr>
          <w:rFonts w:asciiTheme="minorHAnsi" w:hAnsiTheme="minorHAnsi" w:cstheme="minorHAnsi"/>
          <w:sz w:val="24"/>
          <w:szCs w:val="24"/>
          <w:lang w:val="en-GB"/>
        </w:rPr>
        <w:t xml:space="preserve">Interreg </w:t>
      </w:r>
      <w:r>
        <w:rPr>
          <w:rFonts w:asciiTheme="minorHAnsi" w:hAnsiTheme="minorHAnsi" w:cstheme="minorHAnsi"/>
          <w:sz w:val="24"/>
          <w:szCs w:val="24"/>
          <w:lang w:val="en-GB"/>
        </w:rPr>
        <w:t xml:space="preserve">this </w:t>
      </w:r>
      <w:r w:rsidRPr="009D283B">
        <w:rPr>
          <w:rFonts w:asciiTheme="minorHAnsi" w:hAnsiTheme="minorHAnsi" w:cstheme="minorHAnsi"/>
          <w:sz w:val="24"/>
          <w:szCs w:val="24"/>
          <w:lang w:val="en-GB"/>
        </w:rPr>
        <w:t xml:space="preserve">Danube Project, </w:t>
      </w:r>
      <w:r>
        <w:rPr>
          <w:rFonts w:asciiTheme="minorHAnsi" w:hAnsiTheme="minorHAnsi" w:cstheme="minorHAnsi"/>
          <w:sz w:val="24"/>
          <w:szCs w:val="24"/>
          <w:lang w:val="en-GB"/>
        </w:rPr>
        <w:t xml:space="preserve">aims to </w:t>
      </w:r>
      <w:r w:rsidRPr="009D283B">
        <w:rPr>
          <w:rFonts w:asciiTheme="minorHAnsi" w:hAnsiTheme="minorHAnsi" w:cstheme="minorHAnsi"/>
          <w:sz w:val="24"/>
          <w:szCs w:val="24"/>
          <w:lang w:val="en-GB"/>
        </w:rPr>
        <w:t>improv</w:t>
      </w:r>
      <w:r>
        <w:rPr>
          <w:rFonts w:asciiTheme="minorHAnsi" w:hAnsiTheme="minorHAnsi" w:cstheme="minorHAnsi"/>
          <w:sz w:val="24"/>
          <w:szCs w:val="24"/>
          <w:lang w:val="en-GB"/>
        </w:rPr>
        <w:t>e</w:t>
      </w:r>
      <w:r w:rsidRPr="009D283B">
        <w:rPr>
          <w:rFonts w:asciiTheme="minorHAnsi" w:hAnsiTheme="minorHAnsi" w:cstheme="minorHAnsi"/>
          <w:sz w:val="24"/>
          <w:szCs w:val="24"/>
          <w:lang w:val="en-GB"/>
        </w:rPr>
        <w:t xml:space="preserve"> energy security and efficiency in the region which </w:t>
      </w:r>
      <w:r>
        <w:rPr>
          <w:rFonts w:asciiTheme="minorHAnsi" w:hAnsiTheme="minorHAnsi" w:cstheme="minorHAnsi"/>
          <w:sz w:val="24"/>
          <w:szCs w:val="24"/>
          <w:lang w:val="en-GB"/>
        </w:rPr>
        <w:t>through</w:t>
      </w:r>
      <w:r w:rsidRPr="009D283B">
        <w:rPr>
          <w:rFonts w:asciiTheme="minorHAnsi" w:hAnsiTheme="minorHAnsi" w:cstheme="minorHAnsi"/>
          <w:sz w:val="24"/>
          <w:szCs w:val="24"/>
          <w:lang w:val="en-GB"/>
        </w:rPr>
        <w:t xml:space="preserve"> promoting the sustainable use of existing resources for heat generation which are not sufficiently exploited.  </w:t>
      </w:r>
      <w:r>
        <w:rPr>
          <w:rFonts w:asciiTheme="minorHAnsi" w:hAnsiTheme="minorHAnsi" w:cstheme="minorHAnsi"/>
          <w:sz w:val="24"/>
          <w:szCs w:val="24"/>
          <w:lang w:val="en-GB"/>
        </w:rPr>
        <w:t xml:space="preserve">The main focus will be on </w:t>
      </w:r>
      <w:r w:rsidR="008E461E" w:rsidRPr="009D283B">
        <w:rPr>
          <w:rFonts w:asciiTheme="minorHAnsi" w:hAnsiTheme="minorHAnsi" w:cstheme="minorHAnsi"/>
          <w:sz w:val="24"/>
          <w:szCs w:val="24"/>
          <w:lang w:val="en-GB"/>
        </w:rPr>
        <w:t>geothermal</w:t>
      </w:r>
      <w:r>
        <w:rPr>
          <w:rFonts w:asciiTheme="minorHAnsi" w:hAnsiTheme="minorHAnsi" w:cstheme="minorHAnsi"/>
          <w:sz w:val="24"/>
          <w:szCs w:val="24"/>
          <w:lang w:val="en-GB"/>
        </w:rPr>
        <w:t xml:space="preserve"> sources which are currently under</w:t>
      </w:r>
      <w:r w:rsidRPr="009D283B">
        <w:rPr>
          <w:rFonts w:asciiTheme="minorHAnsi" w:hAnsiTheme="minorHAnsi" w:cstheme="minorHAnsi"/>
          <w:sz w:val="24"/>
          <w:szCs w:val="24"/>
          <w:lang w:val="en-GB"/>
        </w:rPr>
        <w:t>exploited</w:t>
      </w:r>
      <w:r>
        <w:rPr>
          <w:rFonts w:asciiTheme="minorHAnsi" w:hAnsiTheme="minorHAnsi" w:cstheme="minorHAnsi"/>
          <w:sz w:val="24"/>
          <w:szCs w:val="24"/>
          <w:lang w:val="en-GB"/>
        </w:rPr>
        <w:t>.</w:t>
      </w:r>
      <w:r w:rsidRPr="009D283B">
        <w:rPr>
          <w:rFonts w:asciiTheme="minorHAnsi" w:hAnsiTheme="minorHAnsi" w:cstheme="minorHAnsi"/>
          <w:sz w:val="24"/>
          <w:szCs w:val="24"/>
          <w:lang w:val="en-GB"/>
        </w:rPr>
        <w:t xml:space="preserve"> </w:t>
      </w:r>
      <w:r>
        <w:rPr>
          <w:rFonts w:asciiTheme="minorHAnsi" w:hAnsiTheme="minorHAnsi" w:cstheme="minorHAnsi"/>
          <w:sz w:val="24"/>
          <w:szCs w:val="24"/>
          <w:lang w:val="en-GB"/>
        </w:rPr>
        <w:t>The p</w:t>
      </w:r>
      <w:r w:rsidRPr="009D283B">
        <w:rPr>
          <w:rFonts w:asciiTheme="minorHAnsi" w:hAnsiTheme="minorHAnsi" w:cstheme="minorHAnsi"/>
          <w:sz w:val="24"/>
          <w:szCs w:val="24"/>
          <w:lang w:val="en-GB"/>
        </w:rPr>
        <w:t xml:space="preserve">roject is just starting, </w:t>
      </w:r>
      <w:r>
        <w:rPr>
          <w:rFonts w:asciiTheme="minorHAnsi" w:hAnsiTheme="minorHAnsi" w:cstheme="minorHAnsi"/>
          <w:sz w:val="24"/>
          <w:szCs w:val="24"/>
          <w:lang w:val="en-GB"/>
        </w:rPr>
        <w:t>and developing</w:t>
      </w:r>
      <w:r w:rsidRPr="009D283B">
        <w:rPr>
          <w:rFonts w:asciiTheme="minorHAnsi" w:hAnsiTheme="minorHAnsi" w:cstheme="minorHAnsi"/>
          <w:sz w:val="24"/>
          <w:szCs w:val="24"/>
          <w:lang w:val="en-GB"/>
        </w:rPr>
        <w:t xml:space="preserve"> a database of stakeholders, </w:t>
      </w:r>
      <w:r>
        <w:rPr>
          <w:rFonts w:asciiTheme="minorHAnsi" w:hAnsiTheme="minorHAnsi" w:cstheme="minorHAnsi"/>
          <w:sz w:val="24"/>
          <w:szCs w:val="24"/>
          <w:lang w:val="en-GB"/>
        </w:rPr>
        <w:t>with Ptuj</w:t>
      </w:r>
      <w:r w:rsidRPr="009D283B">
        <w:rPr>
          <w:rFonts w:asciiTheme="minorHAnsi" w:hAnsiTheme="minorHAnsi" w:cstheme="minorHAnsi"/>
          <w:sz w:val="24"/>
          <w:szCs w:val="24"/>
          <w:lang w:val="en-GB"/>
        </w:rPr>
        <w:t xml:space="preserve"> in th</w:t>
      </w:r>
      <w:r>
        <w:rPr>
          <w:rFonts w:asciiTheme="minorHAnsi" w:hAnsiTheme="minorHAnsi" w:cstheme="minorHAnsi"/>
          <w:sz w:val="24"/>
          <w:szCs w:val="24"/>
          <w:lang w:val="en-GB"/>
        </w:rPr>
        <w:t>e stakeholder forum in Budapest</w:t>
      </w:r>
      <w:r w:rsidRPr="009D283B">
        <w:rPr>
          <w:rFonts w:asciiTheme="minorHAnsi" w:hAnsiTheme="minorHAnsi" w:cstheme="minorHAnsi"/>
          <w:sz w:val="24"/>
          <w:szCs w:val="24"/>
          <w:lang w:val="en-GB"/>
        </w:rPr>
        <w:t xml:space="preserve">.  The results will </w:t>
      </w:r>
      <w:r>
        <w:rPr>
          <w:rFonts w:asciiTheme="minorHAnsi" w:hAnsiTheme="minorHAnsi" w:cstheme="minorHAnsi"/>
          <w:sz w:val="24"/>
          <w:szCs w:val="24"/>
          <w:lang w:val="en-GB"/>
        </w:rPr>
        <w:t>aim</w:t>
      </w:r>
      <w:r w:rsidRPr="009D283B">
        <w:rPr>
          <w:rFonts w:asciiTheme="minorHAnsi" w:hAnsiTheme="minorHAnsi" w:cstheme="minorHAnsi"/>
          <w:sz w:val="24"/>
          <w:szCs w:val="24"/>
          <w:lang w:val="en-GB"/>
        </w:rPr>
        <w:t xml:space="preserve"> to s</w:t>
      </w:r>
      <w:r>
        <w:rPr>
          <w:rFonts w:asciiTheme="minorHAnsi" w:hAnsiTheme="minorHAnsi" w:cstheme="minorHAnsi"/>
          <w:sz w:val="24"/>
          <w:szCs w:val="24"/>
          <w:lang w:val="en-GB"/>
        </w:rPr>
        <w:t>timulate funding for geothermal,</w:t>
      </w:r>
      <w:r w:rsidRPr="009D283B">
        <w:rPr>
          <w:rFonts w:asciiTheme="minorHAnsi" w:hAnsiTheme="minorHAnsi" w:cstheme="minorHAnsi"/>
          <w:sz w:val="24"/>
          <w:szCs w:val="24"/>
          <w:lang w:val="en-GB"/>
        </w:rPr>
        <w:t xml:space="preserve"> </w:t>
      </w:r>
      <w:r>
        <w:rPr>
          <w:rFonts w:asciiTheme="minorHAnsi" w:hAnsiTheme="minorHAnsi" w:cstheme="minorHAnsi"/>
          <w:sz w:val="24"/>
          <w:szCs w:val="24"/>
          <w:lang w:val="en-GB"/>
        </w:rPr>
        <w:t>to p</w:t>
      </w:r>
      <w:r w:rsidRPr="009D283B">
        <w:rPr>
          <w:rFonts w:asciiTheme="minorHAnsi" w:hAnsiTheme="minorHAnsi" w:cstheme="minorHAnsi"/>
          <w:sz w:val="24"/>
          <w:szCs w:val="24"/>
          <w:lang w:val="en-GB"/>
        </w:rPr>
        <w:t>r</w:t>
      </w:r>
      <w:r>
        <w:rPr>
          <w:rFonts w:asciiTheme="minorHAnsi" w:hAnsiTheme="minorHAnsi" w:cstheme="minorHAnsi"/>
          <w:sz w:val="24"/>
          <w:szCs w:val="24"/>
          <w:lang w:val="en-GB"/>
        </w:rPr>
        <w:t xml:space="preserve">epare </w:t>
      </w:r>
      <w:r w:rsidR="002E59CA">
        <w:rPr>
          <w:rFonts w:asciiTheme="minorHAnsi" w:hAnsiTheme="minorHAnsi" w:cstheme="minorHAnsi"/>
          <w:sz w:val="24"/>
          <w:szCs w:val="24"/>
          <w:lang w:val="en-GB"/>
        </w:rPr>
        <w:t xml:space="preserve">communication materials </w:t>
      </w:r>
      <w:r>
        <w:rPr>
          <w:rFonts w:asciiTheme="minorHAnsi" w:hAnsiTheme="minorHAnsi" w:cstheme="minorHAnsi"/>
          <w:sz w:val="24"/>
          <w:szCs w:val="24"/>
          <w:lang w:val="en-GB"/>
        </w:rPr>
        <w:t>for promoting geothermal</w:t>
      </w:r>
      <w:r w:rsidRPr="009D283B">
        <w:rPr>
          <w:rFonts w:asciiTheme="minorHAnsi" w:hAnsiTheme="minorHAnsi" w:cstheme="minorHAnsi"/>
          <w:sz w:val="24"/>
          <w:szCs w:val="24"/>
          <w:lang w:val="en-GB"/>
        </w:rPr>
        <w:t xml:space="preserve"> energy, and </w:t>
      </w:r>
      <w:r>
        <w:rPr>
          <w:rFonts w:asciiTheme="minorHAnsi" w:hAnsiTheme="minorHAnsi" w:cstheme="minorHAnsi"/>
          <w:sz w:val="24"/>
          <w:szCs w:val="24"/>
          <w:lang w:val="en-GB"/>
        </w:rPr>
        <w:t xml:space="preserve">to </w:t>
      </w:r>
      <w:r w:rsidRPr="009D283B">
        <w:rPr>
          <w:rFonts w:asciiTheme="minorHAnsi" w:hAnsiTheme="minorHAnsi" w:cstheme="minorHAnsi"/>
          <w:sz w:val="24"/>
          <w:szCs w:val="24"/>
          <w:lang w:val="en-GB"/>
        </w:rPr>
        <w:t xml:space="preserve">prepare the stakeholder base for geothermal energy; prepare training material; best practice tours; soft project results preparing the region for exploiting </w:t>
      </w:r>
      <w:r w:rsidR="008E461E">
        <w:rPr>
          <w:rFonts w:asciiTheme="minorHAnsi" w:hAnsiTheme="minorHAnsi" w:cstheme="minorHAnsi"/>
          <w:sz w:val="24"/>
          <w:szCs w:val="24"/>
          <w:lang w:val="en-GB"/>
        </w:rPr>
        <w:t>geothermal</w:t>
      </w:r>
      <w:r>
        <w:rPr>
          <w:rFonts w:asciiTheme="minorHAnsi" w:hAnsiTheme="minorHAnsi" w:cstheme="minorHAnsi"/>
          <w:sz w:val="24"/>
          <w:szCs w:val="24"/>
          <w:lang w:val="en-GB"/>
        </w:rPr>
        <w:t xml:space="preserve"> in general</w:t>
      </w:r>
      <w:r w:rsidRPr="009D283B">
        <w:rPr>
          <w:rFonts w:asciiTheme="minorHAnsi" w:hAnsiTheme="minorHAnsi" w:cstheme="minorHAnsi"/>
          <w:sz w:val="24"/>
          <w:szCs w:val="24"/>
          <w:lang w:val="en-GB"/>
        </w:rPr>
        <w:t>.  The challenge for the project is to make a link into the commercial sector to make it happen.</w:t>
      </w:r>
    </w:p>
    <w:p w:rsidR="008E461E" w:rsidRPr="009D283B" w:rsidRDefault="008E461E" w:rsidP="009D283B">
      <w:pPr>
        <w:jc w:val="both"/>
        <w:rPr>
          <w:rFonts w:asciiTheme="minorHAnsi" w:hAnsiTheme="minorHAnsi" w:cstheme="minorHAnsi"/>
          <w:sz w:val="24"/>
          <w:szCs w:val="24"/>
          <w:lang w:val="en-GB"/>
        </w:rPr>
      </w:pPr>
    </w:p>
    <w:p w:rsidR="009D283B" w:rsidRDefault="008E461E" w:rsidP="009D283B">
      <w:pPr>
        <w:jc w:val="both"/>
        <w:rPr>
          <w:rFonts w:asciiTheme="minorHAnsi" w:hAnsiTheme="minorHAnsi" w:cstheme="minorHAnsi"/>
          <w:sz w:val="24"/>
          <w:szCs w:val="24"/>
          <w:lang w:val="en-GB"/>
        </w:rPr>
      </w:pPr>
      <w:r>
        <w:rPr>
          <w:rFonts w:asciiTheme="minorHAnsi" w:hAnsiTheme="minorHAnsi" w:cstheme="minorHAnsi"/>
          <w:sz w:val="24"/>
          <w:szCs w:val="24"/>
          <w:lang w:val="en-GB"/>
        </w:rPr>
        <w:t>They are also involved in ano</w:t>
      </w:r>
      <w:r w:rsidR="009D283B" w:rsidRPr="009D283B">
        <w:rPr>
          <w:rFonts w:asciiTheme="minorHAnsi" w:hAnsiTheme="minorHAnsi" w:cstheme="minorHAnsi"/>
          <w:sz w:val="24"/>
          <w:szCs w:val="24"/>
          <w:lang w:val="en-GB"/>
        </w:rPr>
        <w:t>ther project called Intense</w:t>
      </w:r>
      <w:r>
        <w:rPr>
          <w:rFonts w:asciiTheme="minorHAnsi" w:hAnsiTheme="minorHAnsi" w:cstheme="minorHAnsi"/>
          <w:sz w:val="24"/>
          <w:szCs w:val="24"/>
          <w:lang w:val="en-GB"/>
        </w:rPr>
        <w:t>, relating to energy and funded through Horizon 2020.  They have a</w:t>
      </w:r>
      <w:r w:rsidR="009D283B" w:rsidRPr="009D283B">
        <w:rPr>
          <w:rFonts w:asciiTheme="minorHAnsi" w:hAnsiTheme="minorHAnsi" w:cstheme="minorHAnsi"/>
          <w:sz w:val="24"/>
          <w:szCs w:val="24"/>
          <w:lang w:val="en-GB"/>
        </w:rPr>
        <w:t xml:space="preserve">lso </w:t>
      </w:r>
      <w:r>
        <w:rPr>
          <w:rFonts w:asciiTheme="minorHAnsi" w:hAnsiTheme="minorHAnsi" w:cstheme="minorHAnsi"/>
          <w:sz w:val="24"/>
          <w:szCs w:val="24"/>
          <w:lang w:val="en-GB"/>
        </w:rPr>
        <w:t xml:space="preserve">recently </w:t>
      </w:r>
      <w:r w:rsidR="009D283B" w:rsidRPr="009D283B">
        <w:rPr>
          <w:rFonts w:asciiTheme="minorHAnsi" w:hAnsiTheme="minorHAnsi" w:cstheme="minorHAnsi"/>
          <w:sz w:val="24"/>
          <w:szCs w:val="24"/>
          <w:lang w:val="en-GB"/>
        </w:rPr>
        <w:t xml:space="preserve">made </w:t>
      </w:r>
      <w:r>
        <w:rPr>
          <w:rFonts w:asciiTheme="minorHAnsi" w:hAnsiTheme="minorHAnsi" w:cstheme="minorHAnsi"/>
          <w:sz w:val="24"/>
          <w:szCs w:val="24"/>
          <w:lang w:val="en-GB"/>
        </w:rPr>
        <w:t xml:space="preserve">an </w:t>
      </w:r>
      <w:r w:rsidR="009D283B" w:rsidRPr="009D283B">
        <w:rPr>
          <w:rFonts w:asciiTheme="minorHAnsi" w:hAnsiTheme="minorHAnsi" w:cstheme="minorHAnsi"/>
          <w:sz w:val="24"/>
          <w:szCs w:val="24"/>
          <w:lang w:val="en-GB"/>
        </w:rPr>
        <w:t xml:space="preserve">application </w:t>
      </w:r>
      <w:r>
        <w:rPr>
          <w:rFonts w:asciiTheme="minorHAnsi" w:hAnsiTheme="minorHAnsi" w:cstheme="minorHAnsi"/>
          <w:sz w:val="24"/>
          <w:szCs w:val="24"/>
          <w:lang w:val="en-GB"/>
        </w:rPr>
        <w:t>for</w:t>
      </w:r>
      <w:r w:rsidR="009D283B" w:rsidRPr="009D283B">
        <w:rPr>
          <w:rFonts w:asciiTheme="minorHAnsi" w:hAnsiTheme="minorHAnsi" w:cstheme="minorHAnsi"/>
          <w:sz w:val="24"/>
          <w:szCs w:val="24"/>
          <w:lang w:val="en-GB"/>
        </w:rPr>
        <w:t xml:space="preserve"> public funding </w:t>
      </w:r>
      <w:r>
        <w:rPr>
          <w:rFonts w:asciiTheme="minorHAnsi" w:hAnsiTheme="minorHAnsi" w:cstheme="minorHAnsi"/>
          <w:sz w:val="24"/>
          <w:szCs w:val="24"/>
          <w:lang w:val="en-GB"/>
        </w:rPr>
        <w:t>towards an</w:t>
      </w:r>
      <w:r w:rsidR="009D283B" w:rsidRPr="009D283B">
        <w:rPr>
          <w:rFonts w:asciiTheme="minorHAnsi" w:hAnsiTheme="minorHAnsi" w:cstheme="minorHAnsi"/>
          <w:sz w:val="24"/>
          <w:szCs w:val="24"/>
          <w:lang w:val="en-GB"/>
        </w:rPr>
        <w:t xml:space="preserve"> energy efficiency cohesion fund</w:t>
      </w:r>
      <w:r>
        <w:rPr>
          <w:rFonts w:asciiTheme="minorHAnsi" w:hAnsiTheme="minorHAnsi" w:cstheme="minorHAnsi"/>
          <w:sz w:val="24"/>
          <w:szCs w:val="24"/>
          <w:lang w:val="en-GB"/>
        </w:rPr>
        <w:t xml:space="preserve"> project.</w:t>
      </w:r>
    </w:p>
    <w:p w:rsidR="008E461E" w:rsidRDefault="008E461E" w:rsidP="009D283B">
      <w:pPr>
        <w:jc w:val="both"/>
        <w:rPr>
          <w:rFonts w:asciiTheme="minorHAnsi" w:hAnsiTheme="minorHAnsi" w:cstheme="minorHAnsi"/>
          <w:sz w:val="24"/>
          <w:szCs w:val="24"/>
          <w:lang w:val="en-GB"/>
        </w:rPr>
      </w:pPr>
    </w:p>
    <w:p w:rsidR="009D283B" w:rsidRDefault="009D283B" w:rsidP="009D283B">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008E461E">
        <w:rPr>
          <w:rFonts w:asciiTheme="minorHAnsi" w:hAnsiTheme="minorHAnsi" w:cstheme="minorHAnsi"/>
          <w:sz w:val="24"/>
          <w:szCs w:val="24"/>
          <w:lang w:val="en-GB"/>
        </w:rPr>
        <w:t>Local</w:t>
      </w:r>
      <w:r>
        <w:rPr>
          <w:rFonts w:asciiTheme="minorHAnsi" w:hAnsiTheme="minorHAnsi" w:cstheme="minorHAnsi"/>
          <w:sz w:val="24"/>
          <w:szCs w:val="24"/>
          <w:lang w:val="en-GB"/>
        </w:rPr>
        <w:t xml:space="preserve"> Energy Agency is also applying </w:t>
      </w:r>
      <w:r w:rsidR="008E461E">
        <w:rPr>
          <w:rFonts w:asciiTheme="minorHAnsi" w:hAnsiTheme="minorHAnsi" w:cstheme="minorHAnsi"/>
          <w:sz w:val="24"/>
          <w:szCs w:val="24"/>
          <w:lang w:val="en-GB"/>
        </w:rPr>
        <w:t>for</w:t>
      </w:r>
      <w:r>
        <w:rPr>
          <w:rFonts w:asciiTheme="minorHAnsi" w:hAnsiTheme="minorHAnsi" w:cstheme="minorHAnsi"/>
          <w:sz w:val="24"/>
          <w:szCs w:val="24"/>
          <w:lang w:val="en-GB"/>
        </w:rPr>
        <w:t xml:space="preserve"> ERDF towards the preparation of Energy Action Plans. This</w:t>
      </w:r>
      <w:r w:rsidR="008E461E">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will involve studies of the current energy </w:t>
      </w:r>
      <w:r w:rsidR="008E461E">
        <w:rPr>
          <w:rFonts w:asciiTheme="minorHAnsi" w:hAnsiTheme="minorHAnsi" w:cstheme="minorHAnsi"/>
          <w:sz w:val="24"/>
          <w:szCs w:val="24"/>
          <w:lang w:val="en-GB"/>
        </w:rPr>
        <w:t>efficiency f</w:t>
      </w:r>
      <w:r>
        <w:rPr>
          <w:rFonts w:asciiTheme="minorHAnsi" w:hAnsiTheme="minorHAnsi" w:cstheme="minorHAnsi"/>
          <w:sz w:val="24"/>
          <w:szCs w:val="24"/>
          <w:lang w:val="en-GB"/>
        </w:rPr>
        <w:t xml:space="preserve">or certain </w:t>
      </w:r>
      <w:r w:rsidR="008E461E">
        <w:rPr>
          <w:rFonts w:asciiTheme="minorHAnsi" w:hAnsiTheme="minorHAnsi" w:cstheme="minorHAnsi"/>
          <w:sz w:val="24"/>
          <w:szCs w:val="24"/>
          <w:lang w:val="en-GB"/>
        </w:rPr>
        <w:t>buildings</w:t>
      </w:r>
      <w:r>
        <w:rPr>
          <w:rFonts w:asciiTheme="minorHAnsi" w:hAnsiTheme="minorHAnsi" w:cstheme="minorHAnsi"/>
          <w:sz w:val="24"/>
          <w:szCs w:val="24"/>
          <w:lang w:val="en-GB"/>
        </w:rPr>
        <w:t>.</w:t>
      </w:r>
    </w:p>
    <w:p w:rsidR="008E461E" w:rsidRPr="00C75678" w:rsidRDefault="008E461E" w:rsidP="009D283B">
      <w:pPr>
        <w:jc w:val="both"/>
        <w:rPr>
          <w:rFonts w:asciiTheme="minorHAnsi" w:hAnsiTheme="minorHAnsi" w:cstheme="minorHAnsi"/>
          <w:sz w:val="24"/>
          <w:szCs w:val="24"/>
          <w:lang w:val="en-GB"/>
        </w:rPr>
      </w:pPr>
    </w:p>
    <w:p w:rsidR="00AE3885" w:rsidRDefault="0089425D" w:rsidP="004D10E8">
      <w:pPr>
        <w:jc w:val="both"/>
        <w:rPr>
          <w:rFonts w:asciiTheme="minorHAnsi" w:hAnsiTheme="minorHAnsi" w:cstheme="minorHAnsi"/>
          <w:sz w:val="24"/>
          <w:szCs w:val="24"/>
        </w:rPr>
      </w:pPr>
      <w:r w:rsidRPr="008E461E">
        <w:rPr>
          <w:rFonts w:asciiTheme="minorHAnsi" w:hAnsiTheme="minorHAnsi" w:cstheme="minorHAnsi"/>
          <w:sz w:val="24"/>
          <w:szCs w:val="24"/>
          <w:lang w:val="en-GB" w:eastAsia="en-GB"/>
        </w:rPr>
        <w:t xml:space="preserve">The </w:t>
      </w:r>
      <w:r>
        <w:rPr>
          <w:rFonts w:asciiTheme="minorHAnsi" w:hAnsiTheme="minorHAnsi" w:cstheme="minorHAnsi"/>
          <w:sz w:val="24"/>
          <w:szCs w:val="24"/>
          <w:lang w:val="en-GB" w:eastAsia="en-GB"/>
        </w:rPr>
        <w:t>Local Energy Agency</w:t>
      </w:r>
      <w:r w:rsidRPr="0089425D">
        <w:rPr>
          <w:rFonts w:asciiTheme="minorHAnsi" w:hAnsiTheme="minorHAnsi" w:cstheme="minorHAnsi"/>
          <w:sz w:val="24"/>
          <w:szCs w:val="24"/>
          <w:lang w:val="en-GB"/>
        </w:rPr>
        <w:t xml:space="preserve"> </w:t>
      </w:r>
      <w:r w:rsidRPr="0089425D">
        <w:rPr>
          <w:rFonts w:asciiTheme="minorHAnsi" w:hAnsiTheme="minorHAnsi" w:cstheme="minorHAnsi"/>
          <w:sz w:val="24"/>
          <w:szCs w:val="24"/>
          <w:lang w:val="en-GB" w:eastAsia="en-GB"/>
        </w:rPr>
        <w:t xml:space="preserve">Spodnje Podravje </w:t>
      </w:r>
      <w:r>
        <w:rPr>
          <w:rFonts w:asciiTheme="minorHAnsi" w:hAnsiTheme="minorHAnsi" w:cstheme="minorHAnsi"/>
          <w:sz w:val="24"/>
          <w:szCs w:val="24"/>
          <w:lang w:val="en-GB" w:eastAsia="en-GB"/>
        </w:rPr>
        <w:t>ha</w:t>
      </w:r>
      <w:r w:rsidRPr="008E461E">
        <w:rPr>
          <w:rFonts w:asciiTheme="minorHAnsi" w:hAnsiTheme="minorHAnsi" w:cstheme="minorHAnsi"/>
          <w:sz w:val="24"/>
          <w:szCs w:val="24"/>
          <w:lang w:val="en-GB" w:eastAsia="en-GB"/>
        </w:rPr>
        <w:t xml:space="preserve">s used the Eco Fund for </w:t>
      </w:r>
      <w:r>
        <w:rPr>
          <w:rFonts w:asciiTheme="minorHAnsi" w:hAnsiTheme="minorHAnsi" w:cstheme="minorHAnsi"/>
          <w:sz w:val="24"/>
          <w:szCs w:val="24"/>
          <w:lang w:val="en-GB" w:eastAsia="en-GB"/>
        </w:rPr>
        <w:t xml:space="preserve">renovation of </w:t>
      </w:r>
      <w:r w:rsidRPr="008E461E">
        <w:rPr>
          <w:rFonts w:asciiTheme="minorHAnsi" w:hAnsiTheme="minorHAnsi" w:cstheme="minorHAnsi"/>
          <w:sz w:val="24"/>
          <w:szCs w:val="24"/>
          <w:lang w:val="en-GB" w:eastAsia="en-GB"/>
        </w:rPr>
        <w:t>public buildings</w:t>
      </w:r>
      <w:r>
        <w:rPr>
          <w:rFonts w:asciiTheme="minorHAnsi" w:hAnsiTheme="minorHAnsi" w:cstheme="minorHAnsi"/>
          <w:sz w:val="24"/>
          <w:szCs w:val="24"/>
          <w:lang w:val="en-GB" w:eastAsia="en-GB"/>
        </w:rPr>
        <w:t>.</w:t>
      </w:r>
      <w:r w:rsidR="007D5E1C">
        <w:rPr>
          <w:rFonts w:asciiTheme="minorHAnsi" w:hAnsiTheme="minorHAnsi" w:cstheme="minorHAnsi"/>
          <w:sz w:val="24"/>
          <w:szCs w:val="24"/>
          <w:lang w:val="en-GB" w:eastAsia="en-GB"/>
        </w:rPr>
        <w:t xml:space="preserve"> </w:t>
      </w:r>
    </w:p>
    <w:p w:rsidR="00A90718" w:rsidRDefault="00A90718" w:rsidP="00AE3885">
      <w:pPr>
        <w:jc w:val="both"/>
        <w:rPr>
          <w:rFonts w:asciiTheme="minorHAnsi" w:hAnsiTheme="minorHAnsi" w:cstheme="minorHAnsi"/>
          <w:b/>
          <w:sz w:val="24"/>
          <w:szCs w:val="24"/>
        </w:rPr>
      </w:pPr>
    </w:p>
    <w:p w:rsidR="00E40D06" w:rsidRDefault="00E40D06">
      <w:pPr>
        <w:suppressAutoHyphens w:val="0"/>
        <w:rPr>
          <w:rFonts w:asciiTheme="minorHAnsi" w:hAnsiTheme="minorHAnsi" w:cstheme="minorHAnsi"/>
          <w:b/>
          <w:sz w:val="28"/>
          <w:szCs w:val="28"/>
        </w:rPr>
      </w:pPr>
      <w:r>
        <w:rPr>
          <w:rFonts w:asciiTheme="minorHAnsi" w:hAnsiTheme="minorHAnsi" w:cstheme="minorHAnsi"/>
          <w:b/>
          <w:sz w:val="28"/>
          <w:szCs w:val="28"/>
        </w:rPr>
        <w:br w:type="page"/>
      </w:r>
    </w:p>
    <w:p w:rsidR="00A90718" w:rsidRPr="00310C27" w:rsidRDefault="00310C27" w:rsidP="00AE3885">
      <w:pPr>
        <w:jc w:val="both"/>
        <w:rPr>
          <w:rFonts w:asciiTheme="minorHAnsi" w:hAnsiTheme="minorHAnsi" w:cstheme="minorHAnsi"/>
          <w:b/>
          <w:sz w:val="28"/>
          <w:szCs w:val="28"/>
        </w:rPr>
      </w:pPr>
      <w:r w:rsidRPr="00310C27">
        <w:rPr>
          <w:rFonts w:asciiTheme="minorHAnsi" w:hAnsiTheme="minorHAnsi" w:cstheme="minorHAnsi"/>
          <w:b/>
          <w:sz w:val="28"/>
          <w:szCs w:val="28"/>
        </w:rPr>
        <w:lastRenderedPageBreak/>
        <w:t>Policy / Funding Compatibility</w:t>
      </w:r>
    </w:p>
    <w:p w:rsidR="00310C27" w:rsidRDefault="00310C27" w:rsidP="00AE3885">
      <w:pPr>
        <w:jc w:val="both"/>
        <w:rPr>
          <w:rFonts w:asciiTheme="minorHAnsi" w:hAnsiTheme="minorHAnsi" w:cstheme="minorHAnsi"/>
          <w:sz w:val="24"/>
          <w:szCs w:val="24"/>
        </w:rPr>
      </w:pPr>
    </w:p>
    <w:p w:rsidR="00310C27" w:rsidRDefault="00310C27" w:rsidP="00310C27">
      <w:pPr>
        <w:jc w:val="both"/>
        <w:rPr>
          <w:rFonts w:asciiTheme="minorHAnsi" w:hAnsiTheme="minorHAnsi" w:cstheme="minorHAnsi"/>
          <w:sz w:val="24"/>
          <w:szCs w:val="24"/>
          <w:lang w:val="en-GB"/>
        </w:rPr>
      </w:pPr>
      <w:r>
        <w:rPr>
          <w:rFonts w:asciiTheme="minorHAnsi" w:hAnsiTheme="minorHAnsi" w:cstheme="minorHAnsi"/>
          <w:sz w:val="24"/>
          <w:szCs w:val="24"/>
        </w:rPr>
        <w:t>There are clear linkages between funding guidance and current policies and targets.</w:t>
      </w:r>
      <w:r w:rsidR="002E59CA">
        <w:rPr>
          <w:rFonts w:asciiTheme="minorHAnsi" w:hAnsiTheme="minorHAnsi" w:cstheme="minorHAnsi"/>
          <w:sz w:val="24"/>
          <w:szCs w:val="24"/>
        </w:rPr>
        <w:t xml:space="preserve">  T</w:t>
      </w:r>
      <w:r w:rsidR="006F0E2C">
        <w:rPr>
          <w:rFonts w:asciiTheme="minorHAnsi" w:hAnsiTheme="minorHAnsi" w:cstheme="minorHAnsi"/>
          <w:sz w:val="24"/>
          <w:szCs w:val="24"/>
          <w:lang w:val="en-GB"/>
        </w:rPr>
        <w:t>he</w:t>
      </w:r>
      <w:r w:rsidRPr="00310C27">
        <w:rPr>
          <w:rFonts w:asciiTheme="minorHAnsi" w:hAnsiTheme="minorHAnsi" w:cstheme="minorHAnsi"/>
          <w:sz w:val="24"/>
          <w:szCs w:val="24"/>
          <w:lang w:val="en-GB"/>
        </w:rPr>
        <w:t xml:space="preserve"> Interreg Europe </w:t>
      </w:r>
      <w:r w:rsidR="006F0E2C">
        <w:rPr>
          <w:rFonts w:asciiTheme="minorHAnsi" w:hAnsiTheme="minorHAnsi" w:cstheme="minorHAnsi"/>
          <w:sz w:val="24"/>
          <w:szCs w:val="24"/>
          <w:lang w:val="en-GB"/>
        </w:rPr>
        <w:t xml:space="preserve">programme </w:t>
      </w:r>
      <w:r w:rsidRPr="00310C27">
        <w:rPr>
          <w:rFonts w:asciiTheme="minorHAnsi" w:hAnsiTheme="minorHAnsi" w:cstheme="minorHAnsi"/>
          <w:sz w:val="24"/>
          <w:szCs w:val="24"/>
          <w:lang w:val="en-GB"/>
        </w:rPr>
        <w:t xml:space="preserve">is </w:t>
      </w:r>
      <w:r w:rsidR="006F0E2C">
        <w:rPr>
          <w:rFonts w:asciiTheme="minorHAnsi" w:hAnsiTheme="minorHAnsi" w:cstheme="minorHAnsi"/>
          <w:sz w:val="24"/>
          <w:szCs w:val="24"/>
          <w:lang w:val="en-GB"/>
        </w:rPr>
        <w:t xml:space="preserve">considered to be relatively </w:t>
      </w:r>
      <w:r w:rsidRPr="00310C27">
        <w:rPr>
          <w:rFonts w:asciiTheme="minorHAnsi" w:hAnsiTheme="minorHAnsi" w:cstheme="minorHAnsi"/>
          <w:sz w:val="24"/>
          <w:szCs w:val="24"/>
          <w:lang w:val="en-GB"/>
        </w:rPr>
        <w:t>eas</w:t>
      </w:r>
      <w:r w:rsidR="006F0E2C">
        <w:rPr>
          <w:rFonts w:asciiTheme="minorHAnsi" w:hAnsiTheme="minorHAnsi" w:cstheme="minorHAnsi"/>
          <w:sz w:val="24"/>
          <w:szCs w:val="24"/>
          <w:lang w:val="en-GB"/>
        </w:rPr>
        <w:t>y</w:t>
      </w:r>
      <w:r w:rsidRPr="00310C27">
        <w:rPr>
          <w:rFonts w:asciiTheme="minorHAnsi" w:hAnsiTheme="minorHAnsi" w:cstheme="minorHAnsi"/>
          <w:sz w:val="24"/>
          <w:szCs w:val="24"/>
          <w:lang w:val="en-GB"/>
        </w:rPr>
        <w:t xml:space="preserve"> to write </w:t>
      </w:r>
      <w:r w:rsidR="006F0E2C">
        <w:rPr>
          <w:rFonts w:asciiTheme="minorHAnsi" w:hAnsiTheme="minorHAnsi" w:cstheme="minorHAnsi"/>
          <w:sz w:val="24"/>
          <w:szCs w:val="24"/>
          <w:lang w:val="en-GB"/>
        </w:rPr>
        <w:t xml:space="preserve">a </w:t>
      </w:r>
      <w:r w:rsidRPr="00310C27">
        <w:rPr>
          <w:rFonts w:asciiTheme="minorHAnsi" w:hAnsiTheme="minorHAnsi" w:cstheme="minorHAnsi"/>
          <w:sz w:val="24"/>
          <w:szCs w:val="24"/>
          <w:lang w:val="en-GB"/>
        </w:rPr>
        <w:t xml:space="preserve">proposal and </w:t>
      </w:r>
      <w:r w:rsidR="006F0E2C">
        <w:rPr>
          <w:rFonts w:asciiTheme="minorHAnsi" w:hAnsiTheme="minorHAnsi" w:cstheme="minorHAnsi"/>
          <w:sz w:val="24"/>
          <w:szCs w:val="24"/>
          <w:lang w:val="en-GB"/>
        </w:rPr>
        <w:t>win</w:t>
      </w:r>
      <w:r w:rsidRPr="00310C27">
        <w:rPr>
          <w:rFonts w:asciiTheme="minorHAnsi" w:hAnsiTheme="minorHAnsi" w:cstheme="minorHAnsi"/>
          <w:sz w:val="24"/>
          <w:szCs w:val="24"/>
          <w:lang w:val="en-GB"/>
        </w:rPr>
        <w:t xml:space="preserve"> funding.  Horizon 2020 is not easy, and the competition is much higher.  They are </w:t>
      </w:r>
      <w:r w:rsidR="006F0E2C">
        <w:rPr>
          <w:rFonts w:asciiTheme="minorHAnsi" w:hAnsiTheme="minorHAnsi" w:cstheme="minorHAnsi"/>
          <w:sz w:val="24"/>
          <w:szCs w:val="24"/>
          <w:lang w:val="en-GB"/>
        </w:rPr>
        <w:t>considered difficult</w:t>
      </w:r>
      <w:r w:rsidRPr="00310C27">
        <w:rPr>
          <w:rFonts w:asciiTheme="minorHAnsi" w:hAnsiTheme="minorHAnsi" w:cstheme="minorHAnsi"/>
          <w:sz w:val="24"/>
          <w:szCs w:val="24"/>
          <w:lang w:val="en-GB"/>
        </w:rPr>
        <w:t xml:space="preserve"> to write</w:t>
      </w:r>
      <w:r w:rsidR="006F0E2C">
        <w:rPr>
          <w:rFonts w:asciiTheme="minorHAnsi" w:hAnsiTheme="minorHAnsi" w:cstheme="minorHAnsi"/>
          <w:sz w:val="24"/>
          <w:szCs w:val="24"/>
          <w:lang w:val="en-GB"/>
        </w:rPr>
        <w:t>, requiring lengthy preparation time.</w:t>
      </w:r>
      <w:r w:rsidR="002E59CA">
        <w:rPr>
          <w:rFonts w:asciiTheme="minorHAnsi" w:hAnsiTheme="minorHAnsi" w:cstheme="minorHAnsi"/>
          <w:sz w:val="24"/>
          <w:szCs w:val="24"/>
          <w:lang w:val="en-GB"/>
        </w:rPr>
        <w:t xml:space="preserve">  </w:t>
      </w:r>
      <w:r w:rsidR="00293A74">
        <w:rPr>
          <w:rFonts w:asciiTheme="minorHAnsi" w:hAnsiTheme="minorHAnsi" w:cstheme="minorHAnsi"/>
          <w:sz w:val="24"/>
          <w:szCs w:val="24"/>
          <w:lang w:val="en-GB"/>
        </w:rPr>
        <w:t>Horizon 2020 also lacks</w:t>
      </w:r>
      <w:r w:rsidRPr="00310C27">
        <w:rPr>
          <w:rFonts w:asciiTheme="minorHAnsi" w:hAnsiTheme="minorHAnsi" w:cstheme="minorHAnsi"/>
          <w:sz w:val="24"/>
          <w:szCs w:val="24"/>
          <w:lang w:val="en-GB"/>
        </w:rPr>
        <w:t xml:space="preserve"> the precise direction of an Interreg Europe application, </w:t>
      </w:r>
      <w:r w:rsidR="00293A74">
        <w:rPr>
          <w:rFonts w:asciiTheme="minorHAnsi" w:hAnsiTheme="minorHAnsi" w:cstheme="minorHAnsi"/>
          <w:sz w:val="24"/>
          <w:szCs w:val="24"/>
          <w:lang w:val="en-GB"/>
        </w:rPr>
        <w:t>with guidance being</w:t>
      </w:r>
      <w:r w:rsidRPr="00310C27">
        <w:rPr>
          <w:rFonts w:asciiTheme="minorHAnsi" w:hAnsiTheme="minorHAnsi" w:cstheme="minorHAnsi"/>
          <w:sz w:val="24"/>
          <w:szCs w:val="24"/>
          <w:lang w:val="en-GB"/>
        </w:rPr>
        <w:t xml:space="preserve"> more open.</w:t>
      </w:r>
    </w:p>
    <w:p w:rsidR="00293A74" w:rsidRPr="00310C27" w:rsidRDefault="00293A74" w:rsidP="00310C27">
      <w:pPr>
        <w:jc w:val="both"/>
        <w:rPr>
          <w:rFonts w:asciiTheme="minorHAnsi" w:hAnsiTheme="minorHAnsi" w:cstheme="minorHAnsi"/>
          <w:sz w:val="24"/>
          <w:szCs w:val="24"/>
          <w:lang w:val="en-GB"/>
        </w:rPr>
      </w:pPr>
    </w:p>
    <w:p w:rsidR="00310C27" w:rsidRDefault="00293A74" w:rsidP="00310C27">
      <w:pPr>
        <w:jc w:val="both"/>
        <w:rPr>
          <w:rFonts w:asciiTheme="minorHAnsi" w:hAnsiTheme="minorHAnsi" w:cstheme="minorHAnsi"/>
          <w:sz w:val="24"/>
          <w:szCs w:val="24"/>
          <w:lang w:val="en-GB"/>
        </w:rPr>
      </w:pPr>
      <w:r>
        <w:rPr>
          <w:rFonts w:asciiTheme="minorHAnsi" w:hAnsiTheme="minorHAnsi" w:cstheme="minorHAnsi"/>
          <w:sz w:val="24"/>
          <w:szCs w:val="24"/>
          <w:lang w:val="en-GB"/>
        </w:rPr>
        <w:t>F</w:t>
      </w:r>
      <w:r w:rsidR="00310C27" w:rsidRPr="00310C27">
        <w:rPr>
          <w:rFonts w:asciiTheme="minorHAnsi" w:hAnsiTheme="minorHAnsi" w:cstheme="minorHAnsi"/>
          <w:sz w:val="24"/>
          <w:szCs w:val="24"/>
          <w:lang w:val="en-GB"/>
        </w:rPr>
        <w:t xml:space="preserve">or the cohesion fund, </w:t>
      </w:r>
      <w:r>
        <w:rPr>
          <w:rFonts w:asciiTheme="minorHAnsi" w:hAnsiTheme="minorHAnsi" w:cstheme="minorHAnsi"/>
          <w:sz w:val="24"/>
          <w:szCs w:val="24"/>
          <w:lang w:val="en-GB"/>
        </w:rPr>
        <w:t>there are</w:t>
      </w:r>
      <w:r w:rsidR="00310C27" w:rsidRPr="00310C27">
        <w:rPr>
          <w:rFonts w:asciiTheme="minorHAnsi" w:hAnsiTheme="minorHAnsi" w:cstheme="minorHAnsi"/>
          <w:sz w:val="24"/>
          <w:szCs w:val="24"/>
          <w:lang w:val="en-GB"/>
        </w:rPr>
        <w:t xml:space="preserve"> various conditions</w:t>
      </w:r>
      <w:r>
        <w:rPr>
          <w:rFonts w:asciiTheme="minorHAnsi" w:hAnsiTheme="minorHAnsi" w:cstheme="minorHAnsi"/>
          <w:sz w:val="24"/>
          <w:szCs w:val="24"/>
          <w:lang w:val="en-GB"/>
        </w:rPr>
        <w:t xml:space="preserve"> to be fulfilled</w:t>
      </w:r>
      <w:r w:rsidR="00310C27" w:rsidRPr="00310C27">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which tend to be time consuming and </w:t>
      </w:r>
      <w:r w:rsidR="00310C27" w:rsidRPr="00310C27">
        <w:rPr>
          <w:rFonts w:asciiTheme="minorHAnsi" w:hAnsiTheme="minorHAnsi" w:cstheme="minorHAnsi"/>
          <w:sz w:val="24"/>
          <w:szCs w:val="24"/>
          <w:lang w:val="en-GB"/>
        </w:rPr>
        <w:t xml:space="preserve">detailed, but </w:t>
      </w:r>
      <w:r>
        <w:rPr>
          <w:rFonts w:asciiTheme="minorHAnsi" w:hAnsiTheme="minorHAnsi" w:cstheme="minorHAnsi"/>
          <w:sz w:val="24"/>
          <w:szCs w:val="24"/>
          <w:lang w:val="en-GB"/>
        </w:rPr>
        <w:t>relatively</w:t>
      </w:r>
      <w:r w:rsidR="00310C27" w:rsidRPr="00310C27">
        <w:rPr>
          <w:rFonts w:asciiTheme="minorHAnsi" w:hAnsiTheme="minorHAnsi" w:cstheme="minorHAnsi"/>
          <w:sz w:val="24"/>
          <w:szCs w:val="24"/>
          <w:lang w:val="en-GB"/>
        </w:rPr>
        <w:t xml:space="preserve"> easy.  </w:t>
      </w:r>
      <w:r>
        <w:rPr>
          <w:rFonts w:asciiTheme="minorHAnsi" w:hAnsiTheme="minorHAnsi" w:cstheme="minorHAnsi"/>
          <w:sz w:val="24"/>
          <w:szCs w:val="24"/>
          <w:lang w:val="en-GB"/>
        </w:rPr>
        <w:t>The awards appear to be distributed on a f</w:t>
      </w:r>
      <w:r w:rsidR="00310C27" w:rsidRPr="00310C27">
        <w:rPr>
          <w:rFonts w:asciiTheme="minorHAnsi" w:hAnsiTheme="minorHAnsi" w:cstheme="minorHAnsi"/>
          <w:sz w:val="24"/>
          <w:szCs w:val="24"/>
          <w:lang w:val="en-GB"/>
        </w:rPr>
        <w:t>irst come, first served</w:t>
      </w:r>
      <w:r>
        <w:rPr>
          <w:rFonts w:asciiTheme="minorHAnsi" w:hAnsiTheme="minorHAnsi" w:cstheme="minorHAnsi"/>
          <w:sz w:val="24"/>
          <w:szCs w:val="24"/>
          <w:lang w:val="en-GB"/>
        </w:rPr>
        <w:t xml:space="preserve"> basis with little</w:t>
      </w:r>
      <w:r w:rsidR="00310C27" w:rsidRPr="00310C27">
        <w:rPr>
          <w:rFonts w:asciiTheme="minorHAnsi" w:hAnsiTheme="minorHAnsi" w:cstheme="minorHAnsi"/>
          <w:sz w:val="24"/>
          <w:szCs w:val="24"/>
          <w:lang w:val="en-GB"/>
        </w:rPr>
        <w:t xml:space="preserve"> competition.  </w:t>
      </w:r>
      <w:r>
        <w:rPr>
          <w:rFonts w:asciiTheme="minorHAnsi" w:hAnsiTheme="minorHAnsi" w:cstheme="minorHAnsi"/>
          <w:sz w:val="24"/>
          <w:szCs w:val="24"/>
          <w:lang w:val="en-GB"/>
        </w:rPr>
        <w:t>However, appli</w:t>
      </w:r>
      <w:r w:rsidR="002E59CA">
        <w:rPr>
          <w:rFonts w:asciiTheme="minorHAnsi" w:hAnsiTheme="minorHAnsi" w:cstheme="minorHAnsi"/>
          <w:sz w:val="24"/>
          <w:szCs w:val="24"/>
          <w:lang w:val="en-GB"/>
        </w:rPr>
        <w:t>c</w:t>
      </w:r>
      <w:r>
        <w:rPr>
          <w:rFonts w:asciiTheme="minorHAnsi" w:hAnsiTheme="minorHAnsi" w:cstheme="minorHAnsi"/>
          <w:sz w:val="24"/>
          <w:szCs w:val="24"/>
          <w:lang w:val="en-GB"/>
        </w:rPr>
        <w:t>a</w:t>
      </w:r>
      <w:r w:rsidR="002E59CA">
        <w:rPr>
          <w:rFonts w:asciiTheme="minorHAnsi" w:hAnsiTheme="minorHAnsi" w:cstheme="minorHAnsi"/>
          <w:sz w:val="24"/>
          <w:szCs w:val="24"/>
          <w:lang w:val="en-GB"/>
        </w:rPr>
        <w:t>n</w:t>
      </w:r>
      <w:r>
        <w:rPr>
          <w:rFonts w:asciiTheme="minorHAnsi" w:hAnsiTheme="minorHAnsi" w:cstheme="minorHAnsi"/>
          <w:sz w:val="24"/>
          <w:szCs w:val="24"/>
          <w:lang w:val="en-GB"/>
        </w:rPr>
        <w:t>ts have to demonstrat</w:t>
      </w:r>
      <w:r w:rsidR="00310C27" w:rsidRPr="00310C27">
        <w:rPr>
          <w:rFonts w:asciiTheme="minorHAnsi" w:hAnsiTheme="minorHAnsi" w:cstheme="minorHAnsi"/>
          <w:sz w:val="24"/>
          <w:szCs w:val="24"/>
          <w:lang w:val="en-GB"/>
        </w:rPr>
        <w:t>e</w:t>
      </w:r>
      <w:r>
        <w:rPr>
          <w:rFonts w:asciiTheme="minorHAnsi" w:hAnsiTheme="minorHAnsi" w:cstheme="minorHAnsi"/>
          <w:sz w:val="24"/>
          <w:szCs w:val="24"/>
          <w:lang w:val="en-GB"/>
        </w:rPr>
        <w:t xml:space="preserve"> their</w:t>
      </w:r>
      <w:r w:rsidR="00310C27" w:rsidRPr="00310C27">
        <w:rPr>
          <w:rFonts w:asciiTheme="minorHAnsi" w:hAnsiTheme="minorHAnsi" w:cstheme="minorHAnsi"/>
          <w:sz w:val="24"/>
          <w:szCs w:val="24"/>
          <w:lang w:val="en-GB"/>
        </w:rPr>
        <w:t xml:space="preserve"> eligib</w:t>
      </w:r>
      <w:r>
        <w:rPr>
          <w:rFonts w:asciiTheme="minorHAnsi" w:hAnsiTheme="minorHAnsi" w:cstheme="minorHAnsi"/>
          <w:sz w:val="24"/>
          <w:szCs w:val="24"/>
          <w:lang w:val="en-GB"/>
        </w:rPr>
        <w:t>i</w:t>
      </w:r>
      <w:r w:rsidR="00310C27" w:rsidRPr="00310C27">
        <w:rPr>
          <w:rFonts w:asciiTheme="minorHAnsi" w:hAnsiTheme="minorHAnsi" w:cstheme="minorHAnsi"/>
          <w:sz w:val="24"/>
          <w:szCs w:val="24"/>
          <w:lang w:val="en-GB"/>
        </w:rPr>
        <w:t>l</w:t>
      </w:r>
      <w:r>
        <w:rPr>
          <w:rFonts w:asciiTheme="minorHAnsi" w:hAnsiTheme="minorHAnsi" w:cstheme="minorHAnsi"/>
          <w:sz w:val="24"/>
          <w:szCs w:val="24"/>
          <w:lang w:val="en-GB"/>
        </w:rPr>
        <w:t>ity and compliance with the Operational Programme</w:t>
      </w:r>
      <w:r w:rsidR="00310C27" w:rsidRPr="00310C27">
        <w:rPr>
          <w:rFonts w:asciiTheme="minorHAnsi" w:hAnsiTheme="minorHAnsi" w:cstheme="minorHAnsi"/>
          <w:sz w:val="24"/>
          <w:szCs w:val="24"/>
          <w:lang w:val="en-GB"/>
        </w:rPr>
        <w:t>.</w:t>
      </w:r>
    </w:p>
    <w:p w:rsidR="00293A74" w:rsidRPr="00310C27" w:rsidRDefault="00293A74" w:rsidP="00310C27">
      <w:pPr>
        <w:jc w:val="both"/>
        <w:rPr>
          <w:rFonts w:asciiTheme="minorHAnsi" w:hAnsiTheme="minorHAnsi" w:cstheme="minorHAnsi"/>
          <w:sz w:val="24"/>
          <w:szCs w:val="24"/>
          <w:lang w:val="en-GB"/>
        </w:rPr>
      </w:pPr>
    </w:p>
    <w:p w:rsidR="00310C27" w:rsidRDefault="00293A74" w:rsidP="00310C27">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00310C27" w:rsidRPr="00310C27">
        <w:rPr>
          <w:rFonts w:asciiTheme="minorHAnsi" w:hAnsiTheme="minorHAnsi" w:cstheme="minorHAnsi"/>
          <w:sz w:val="24"/>
          <w:szCs w:val="24"/>
          <w:lang w:val="en-GB"/>
        </w:rPr>
        <w:t xml:space="preserve">Slovenian Energy Act, </w:t>
      </w:r>
      <w:r>
        <w:rPr>
          <w:rFonts w:asciiTheme="minorHAnsi" w:hAnsiTheme="minorHAnsi" w:cstheme="minorHAnsi"/>
          <w:sz w:val="24"/>
          <w:szCs w:val="24"/>
          <w:lang w:val="en-GB"/>
        </w:rPr>
        <w:t>incorporates</w:t>
      </w:r>
      <w:r w:rsidR="00310C27" w:rsidRPr="00310C27">
        <w:rPr>
          <w:rFonts w:asciiTheme="minorHAnsi" w:hAnsiTheme="minorHAnsi" w:cstheme="minorHAnsi"/>
          <w:sz w:val="24"/>
          <w:szCs w:val="24"/>
          <w:lang w:val="en-GB"/>
        </w:rPr>
        <w:t xml:space="preserve"> the </w:t>
      </w:r>
      <w:r>
        <w:rPr>
          <w:rFonts w:asciiTheme="minorHAnsi" w:hAnsiTheme="minorHAnsi" w:cstheme="minorHAnsi"/>
          <w:sz w:val="24"/>
          <w:szCs w:val="24"/>
          <w:lang w:val="en-GB"/>
        </w:rPr>
        <w:t xml:space="preserve">aspirations of the </w:t>
      </w:r>
      <w:r w:rsidR="00310C27" w:rsidRPr="00310C27">
        <w:rPr>
          <w:rFonts w:asciiTheme="minorHAnsi" w:hAnsiTheme="minorHAnsi" w:cstheme="minorHAnsi"/>
          <w:sz w:val="24"/>
          <w:szCs w:val="24"/>
          <w:lang w:val="en-GB"/>
        </w:rPr>
        <w:t>Energy Efficiency Directive.</w:t>
      </w:r>
      <w:r w:rsidR="002E59CA">
        <w:rPr>
          <w:rFonts w:asciiTheme="minorHAnsi" w:hAnsiTheme="minorHAnsi" w:cstheme="minorHAnsi"/>
          <w:sz w:val="24"/>
          <w:szCs w:val="24"/>
          <w:lang w:val="en-GB"/>
        </w:rPr>
        <w:t xml:space="preserve">  </w:t>
      </w:r>
      <w:r w:rsidR="00310C27" w:rsidRPr="00310C27">
        <w:rPr>
          <w:rFonts w:asciiTheme="minorHAnsi" w:hAnsiTheme="minorHAnsi" w:cstheme="minorHAnsi"/>
          <w:sz w:val="24"/>
          <w:szCs w:val="24"/>
          <w:lang w:val="en-GB"/>
        </w:rPr>
        <w:t>T</w:t>
      </w:r>
      <w:r>
        <w:rPr>
          <w:rFonts w:asciiTheme="minorHAnsi" w:hAnsiTheme="minorHAnsi" w:cstheme="minorHAnsi"/>
          <w:sz w:val="24"/>
          <w:szCs w:val="24"/>
          <w:lang w:val="en-GB"/>
        </w:rPr>
        <w:t>his has helped generate</w:t>
      </w:r>
      <w:r w:rsidR="00310C27" w:rsidRPr="00310C27">
        <w:rPr>
          <w:rFonts w:asciiTheme="minorHAnsi" w:hAnsiTheme="minorHAnsi" w:cstheme="minorHAnsi"/>
          <w:sz w:val="24"/>
          <w:szCs w:val="24"/>
          <w:lang w:val="en-GB"/>
        </w:rPr>
        <w:t xml:space="preserve"> Action Plans for energy efficiency, RES, CO2 Emissions.  </w:t>
      </w:r>
      <w:r>
        <w:rPr>
          <w:rFonts w:asciiTheme="minorHAnsi" w:hAnsiTheme="minorHAnsi" w:cstheme="minorHAnsi"/>
          <w:sz w:val="24"/>
          <w:szCs w:val="24"/>
          <w:lang w:val="en-GB"/>
        </w:rPr>
        <w:t>T</w:t>
      </w:r>
      <w:r w:rsidR="00310C27" w:rsidRPr="00310C27">
        <w:rPr>
          <w:rFonts w:asciiTheme="minorHAnsi" w:hAnsiTheme="minorHAnsi" w:cstheme="minorHAnsi"/>
          <w:sz w:val="24"/>
          <w:szCs w:val="24"/>
          <w:lang w:val="en-GB"/>
        </w:rPr>
        <w:t xml:space="preserve">hey </w:t>
      </w:r>
      <w:r>
        <w:rPr>
          <w:rFonts w:asciiTheme="minorHAnsi" w:hAnsiTheme="minorHAnsi" w:cstheme="minorHAnsi"/>
          <w:sz w:val="24"/>
          <w:szCs w:val="24"/>
          <w:lang w:val="en-GB"/>
        </w:rPr>
        <w:t xml:space="preserve">do not all </w:t>
      </w:r>
      <w:r w:rsidR="00310C27" w:rsidRPr="00310C27">
        <w:rPr>
          <w:rFonts w:asciiTheme="minorHAnsi" w:hAnsiTheme="minorHAnsi" w:cstheme="minorHAnsi"/>
          <w:sz w:val="24"/>
          <w:szCs w:val="24"/>
          <w:lang w:val="en-GB"/>
        </w:rPr>
        <w:t>have clear targets</w:t>
      </w:r>
      <w:r>
        <w:rPr>
          <w:rFonts w:asciiTheme="minorHAnsi" w:hAnsiTheme="minorHAnsi" w:cstheme="minorHAnsi"/>
          <w:sz w:val="24"/>
          <w:szCs w:val="24"/>
          <w:lang w:val="en-GB"/>
        </w:rPr>
        <w:t>, as they may be based on</w:t>
      </w:r>
      <w:r w:rsidR="00310C27" w:rsidRPr="00310C27">
        <w:rPr>
          <w:rFonts w:asciiTheme="minorHAnsi" w:hAnsiTheme="minorHAnsi" w:cstheme="minorHAnsi"/>
          <w:sz w:val="24"/>
          <w:szCs w:val="24"/>
          <w:lang w:val="en-GB"/>
        </w:rPr>
        <w:t xml:space="preserve"> different regulation</w:t>
      </w:r>
      <w:r>
        <w:rPr>
          <w:rFonts w:asciiTheme="minorHAnsi" w:hAnsiTheme="minorHAnsi" w:cstheme="minorHAnsi"/>
          <w:sz w:val="24"/>
          <w:szCs w:val="24"/>
          <w:lang w:val="en-GB"/>
        </w:rPr>
        <w:t>; for example there is a</w:t>
      </w:r>
      <w:r w:rsidRPr="00293A74">
        <w:rPr>
          <w:rFonts w:asciiTheme="minorHAnsi" w:hAnsiTheme="minorHAnsi" w:cstheme="minorHAnsi"/>
          <w:sz w:val="24"/>
          <w:szCs w:val="24"/>
          <w:lang w:val="en-GB"/>
        </w:rPr>
        <w:t xml:space="preserve"> need to reduce </w:t>
      </w:r>
      <w:r>
        <w:rPr>
          <w:rFonts w:asciiTheme="minorHAnsi" w:hAnsiTheme="minorHAnsi" w:cstheme="minorHAnsi"/>
          <w:sz w:val="24"/>
          <w:szCs w:val="24"/>
          <w:lang w:val="en-GB"/>
        </w:rPr>
        <w:t>CO2 emissions by 20% by 2020</w:t>
      </w:r>
      <w:r w:rsidR="00310C27" w:rsidRPr="00310C27">
        <w:rPr>
          <w:rFonts w:asciiTheme="minorHAnsi" w:hAnsiTheme="minorHAnsi" w:cstheme="minorHAnsi"/>
          <w:sz w:val="24"/>
          <w:szCs w:val="24"/>
          <w:lang w:val="en-GB"/>
        </w:rPr>
        <w:t xml:space="preserve">.  </w:t>
      </w:r>
      <w:r w:rsidR="002E59CA">
        <w:rPr>
          <w:rFonts w:asciiTheme="minorHAnsi" w:hAnsiTheme="minorHAnsi" w:cstheme="minorHAnsi"/>
          <w:sz w:val="24"/>
          <w:szCs w:val="24"/>
          <w:lang w:val="en-GB"/>
        </w:rPr>
        <w:t>Applic</w:t>
      </w:r>
      <w:r>
        <w:rPr>
          <w:rFonts w:asciiTheme="minorHAnsi" w:hAnsiTheme="minorHAnsi" w:cstheme="minorHAnsi"/>
          <w:sz w:val="24"/>
          <w:szCs w:val="24"/>
          <w:lang w:val="en-GB"/>
        </w:rPr>
        <w:t>a</w:t>
      </w:r>
      <w:r w:rsidR="002E59CA">
        <w:rPr>
          <w:rFonts w:asciiTheme="minorHAnsi" w:hAnsiTheme="minorHAnsi" w:cstheme="minorHAnsi"/>
          <w:sz w:val="24"/>
          <w:szCs w:val="24"/>
          <w:lang w:val="en-GB"/>
        </w:rPr>
        <w:t>n</w:t>
      </w:r>
      <w:r>
        <w:rPr>
          <w:rFonts w:asciiTheme="minorHAnsi" w:hAnsiTheme="minorHAnsi" w:cstheme="minorHAnsi"/>
          <w:sz w:val="24"/>
          <w:szCs w:val="24"/>
          <w:lang w:val="en-GB"/>
        </w:rPr>
        <w:t xml:space="preserve">ts for funds </w:t>
      </w:r>
      <w:r w:rsidR="00310C27" w:rsidRPr="00310C27">
        <w:rPr>
          <w:rFonts w:asciiTheme="minorHAnsi" w:hAnsiTheme="minorHAnsi" w:cstheme="minorHAnsi"/>
          <w:sz w:val="24"/>
          <w:szCs w:val="24"/>
          <w:lang w:val="en-GB"/>
        </w:rPr>
        <w:t xml:space="preserve">have to comply with all the requirements in these documents to get funding.  </w:t>
      </w:r>
    </w:p>
    <w:p w:rsidR="00293A74" w:rsidRPr="00310C27" w:rsidRDefault="00293A74" w:rsidP="00310C27">
      <w:pPr>
        <w:jc w:val="both"/>
        <w:rPr>
          <w:rFonts w:asciiTheme="minorHAnsi" w:hAnsiTheme="minorHAnsi" w:cstheme="minorHAnsi"/>
          <w:sz w:val="24"/>
          <w:szCs w:val="24"/>
          <w:lang w:val="en-GB"/>
        </w:rPr>
      </w:pPr>
    </w:p>
    <w:p w:rsidR="00310C27" w:rsidRDefault="00310C27" w:rsidP="00310C27">
      <w:pPr>
        <w:jc w:val="both"/>
        <w:rPr>
          <w:rFonts w:asciiTheme="minorHAnsi" w:hAnsiTheme="minorHAnsi" w:cstheme="minorHAnsi"/>
          <w:sz w:val="24"/>
          <w:szCs w:val="24"/>
          <w:lang w:val="en-GB"/>
        </w:rPr>
      </w:pPr>
      <w:r w:rsidRPr="00310C27">
        <w:rPr>
          <w:rFonts w:asciiTheme="minorHAnsi" w:hAnsiTheme="minorHAnsi" w:cstheme="minorHAnsi"/>
          <w:sz w:val="24"/>
          <w:szCs w:val="24"/>
          <w:lang w:val="en-GB"/>
        </w:rPr>
        <w:t xml:space="preserve">ZEROCO2 </w:t>
      </w:r>
      <w:r w:rsidR="00293A74">
        <w:rPr>
          <w:rFonts w:asciiTheme="minorHAnsi" w:hAnsiTheme="minorHAnsi" w:cstheme="minorHAnsi"/>
          <w:sz w:val="24"/>
          <w:szCs w:val="24"/>
          <w:lang w:val="en-GB"/>
        </w:rPr>
        <w:t>aspires to improving the</w:t>
      </w:r>
      <w:r w:rsidRPr="00310C27">
        <w:rPr>
          <w:rFonts w:asciiTheme="minorHAnsi" w:hAnsiTheme="minorHAnsi" w:cstheme="minorHAnsi"/>
          <w:sz w:val="24"/>
          <w:szCs w:val="24"/>
          <w:lang w:val="en-GB"/>
        </w:rPr>
        <w:t xml:space="preserve"> Energy Act but </w:t>
      </w:r>
      <w:r w:rsidR="00293A74">
        <w:rPr>
          <w:rFonts w:asciiTheme="minorHAnsi" w:hAnsiTheme="minorHAnsi" w:cstheme="minorHAnsi"/>
          <w:sz w:val="24"/>
          <w:szCs w:val="24"/>
          <w:lang w:val="en-GB"/>
        </w:rPr>
        <w:t>first</w:t>
      </w:r>
      <w:r w:rsidRPr="00310C27">
        <w:rPr>
          <w:rFonts w:asciiTheme="minorHAnsi" w:hAnsiTheme="minorHAnsi" w:cstheme="minorHAnsi"/>
          <w:sz w:val="24"/>
          <w:szCs w:val="24"/>
          <w:lang w:val="en-GB"/>
        </w:rPr>
        <w:t xml:space="preserve"> ha</w:t>
      </w:r>
      <w:r w:rsidR="00293A74">
        <w:rPr>
          <w:rFonts w:asciiTheme="minorHAnsi" w:hAnsiTheme="minorHAnsi" w:cstheme="minorHAnsi"/>
          <w:sz w:val="24"/>
          <w:szCs w:val="24"/>
          <w:lang w:val="en-GB"/>
        </w:rPr>
        <w:t>s</w:t>
      </w:r>
      <w:r w:rsidRPr="00310C27">
        <w:rPr>
          <w:rFonts w:asciiTheme="minorHAnsi" w:hAnsiTheme="minorHAnsi" w:cstheme="minorHAnsi"/>
          <w:sz w:val="24"/>
          <w:szCs w:val="24"/>
          <w:lang w:val="en-GB"/>
        </w:rPr>
        <w:t xml:space="preserve"> to improve the strategies to increase investments in energy in buildings.  The </w:t>
      </w:r>
      <w:r w:rsidR="00293A74">
        <w:rPr>
          <w:rFonts w:asciiTheme="minorHAnsi" w:hAnsiTheme="minorHAnsi" w:cstheme="minorHAnsi"/>
          <w:sz w:val="24"/>
          <w:szCs w:val="24"/>
          <w:lang w:val="en-GB"/>
        </w:rPr>
        <w:t>aim is to change strategies</w:t>
      </w:r>
      <w:r w:rsidRPr="00310C27">
        <w:rPr>
          <w:rFonts w:asciiTheme="minorHAnsi" w:hAnsiTheme="minorHAnsi" w:cstheme="minorHAnsi"/>
          <w:sz w:val="24"/>
          <w:szCs w:val="24"/>
          <w:lang w:val="en-GB"/>
        </w:rPr>
        <w:t xml:space="preserve"> </w:t>
      </w:r>
      <w:r w:rsidR="00293A74">
        <w:rPr>
          <w:rFonts w:asciiTheme="minorHAnsi" w:hAnsiTheme="minorHAnsi" w:cstheme="minorHAnsi"/>
          <w:sz w:val="24"/>
          <w:szCs w:val="24"/>
          <w:lang w:val="en-GB"/>
        </w:rPr>
        <w:t>to avoid the need</w:t>
      </w:r>
      <w:r w:rsidRPr="00310C27">
        <w:rPr>
          <w:rFonts w:asciiTheme="minorHAnsi" w:hAnsiTheme="minorHAnsi" w:cstheme="minorHAnsi"/>
          <w:sz w:val="24"/>
          <w:szCs w:val="24"/>
          <w:lang w:val="en-GB"/>
        </w:rPr>
        <w:t xml:space="preserve"> to go through Parliament.</w:t>
      </w:r>
    </w:p>
    <w:p w:rsidR="002E59CA" w:rsidRPr="00310C27" w:rsidRDefault="002E59CA" w:rsidP="00310C27">
      <w:pPr>
        <w:jc w:val="both"/>
        <w:rPr>
          <w:rFonts w:asciiTheme="minorHAnsi" w:hAnsiTheme="minorHAnsi" w:cstheme="minorHAnsi"/>
          <w:sz w:val="24"/>
          <w:szCs w:val="24"/>
          <w:lang w:val="en-GB"/>
        </w:rPr>
      </w:pPr>
    </w:p>
    <w:p w:rsidR="00310C27" w:rsidRDefault="00293A74" w:rsidP="00310C27">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One current </w:t>
      </w:r>
      <w:r w:rsidR="00310C27" w:rsidRPr="00310C27">
        <w:rPr>
          <w:rFonts w:asciiTheme="minorHAnsi" w:hAnsiTheme="minorHAnsi" w:cstheme="minorHAnsi"/>
          <w:sz w:val="24"/>
          <w:szCs w:val="24"/>
          <w:lang w:val="en-GB"/>
        </w:rPr>
        <w:t xml:space="preserve">barrier is that </w:t>
      </w:r>
      <w:r>
        <w:rPr>
          <w:rFonts w:asciiTheme="minorHAnsi" w:hAnsiTheme="minorHAnsi" w:cstheme="minorHAnsi"/>
          <w:sz w:val="24"/>
          <w:szCs w:val="24"/>
          <w:lang w:val="en-GB"/>
        </w:rPr>
        <w:t>applicants</w:t>
      </w:r>
      <w:r w:rsidR="00310C27" w:rsidRPr="00310C27">
        <w:rPr>
          <w:rFonts w:asciiTheme="minorHAnsi" w:hAnsiTheme="minorHAnsi" w:cstheme="minorHAnsi"/>
          <w:sz w:val="24"/>
          <w:szCs w:val="24"/>
          <w:lang w:val="en-GB"/>
        </w:rPr>
        <w:t xml:space="preserve"> have to consider all the re</w:t>
      </w:r>
      <w:r>
        <w:rPr>
          <w:rFonts w:asciiTheme="minorHAnsi" w:hAnsiTheme="minorHAnsi" w:cstheme="minorHAnsi"/>
          <w:sz w:val="24"/>
          <w:szCs w:val="24"/>
          <w:lang w:val="en-GB"/>
        </w:rPr>
        <w:t>quirements from the legislation and</w:t>
      </w:r>
      <w:r w:rsidR="00310C27" w:rsidRPr="00310C27">
        <w:rPr>
          <w:rFonts w:asciiTheme="minorHAnsi" w:hAnsiTheme="minorHAnsi" w:cstheme="minorHAnsi"/>
          <w:sz w:val="24"/>
          <w:szCs w:val="24"/>
          <w:lang w:val="en-GB"/>
        </w:rPr>
        <w:t xml:space="preserve"> regulation</w:t>
      </w:r>
      <w:r>
        <w:rPr>
          <w:rFonts w:asciiTheme="minorHAnsi" w:hAnsiTheme="minorHAnsi" w:cstheme="minorHAnsi"/>
          <w:sz w:val="24"/>
          <w:szCs w:val="24"/>
          <w:lang w:val="en-GB"/>
        </w:rPr>
        <w:t>s</w:t>
      </w:r>
      <w:r w:rsidR="00310C27" w:rsidRPr="00310C27">
        <w:rPr>
          <w:rFonts w:asciiTheme="minorHAnsi" w:hAnsiTheme="minorHAnsi" w:cstheme="minorHAnsi"/>
          <w:sz w:val="24"/>
          <w:szCs w:val="24"/>
          <w:lang w:val="en-GB"/>
        </w:rPr>
        <w:t xml:space="preserve"> on energy, </w:t>
      </w:r>
      <w:r>
        <w:rPr>
          <w:rFonts w:asciiTheme="minorHAnsi" w:hAnsiTheme="minorHAnsi" w:cstheme="minorHAnsi"/>
          <w:sz w:val="24"/>
          <w:szCs w:val="24"/>
          <w:lang w:val="en-GB"/>
        </w:rPr>
        <w:t>and</w:t>
      </w:r>
      <w:r w:rsidR="00310C27" w:rsidRPr="00310C27">
        <w:rPr>
          <w:rFonts w:asciiTheme="minorHAnsi" w:hAnsiTheme="minorHAnsi" w:cstheme="minorHAnsi"/>
          <w:sz w:val="24"/>
          <w:szCs w:val="24"/>
          <w:lang w:val="en-GB"/>
        </w:rPr>
        <w:t xml:space="preserve"> are subject to rules about renovation</w:t>
      </w:r>
      <w:r>
        <w:rPr>
          <w:rFonts w:asciiTheme="minorHAnsi" w:hAnsiTheme="minorHAnsi" w:cstheme="minorHAnsi"/>
          <w:sz w:val="24"/>
          <w:szCs w:val="24"/>
          <w:lang w:val="en-GB"/>
        </w:rPr>
        <w:t xml:space="preserve"> of buildings</w:t>
      </w:r>
      <w:r w:rsidR="00310C27" w:rsidRPr="00310C27">
        <w:rPr>
          <w:rFonts w:asciiTheme="minorHAnsi" w:hAnsiTheme="minorHAnsi" w:cstheme="minorHAnsi"/>
          <w:sz w:val="24"/>
          <w:szCs w:val="24"/>
          <w:lang w:val="en-GB"/>
        </w:rPr>
        <w:t xml:space="preserve">.  </w:t>
      </w:r>
      <w:r w:rsidR="002E59CA">
        <w:rPr>
          <w:rFonts w:asciiTheme="minorHAnsi" w:hAnsiTheme="minorHAnsi" w:cstheme="minorHAnsi"/>
          <w:sz w:val="24"/>
          <w:szCs w:val="24"/>
          <w:lang w:val="en-GB"/>
        </w:rPr>
        <w:t>This has encouraged the recent</w:t>
      </w:r>
      <w:r>
        <w:rPr>
          <w:rFonts w:asciiTheme="minorHAnsi" w:hAnsiTheme="minorHAnsi" w:cstheme="minorHAnsi"/>
          <w:sz w:val="24"/>
          <w:szCs w:val="24"/>
          <w:lang w:val="en-GB"/>
        </w:rPr>
        <w:t xml:space="preserve"> </w:t>
      </w:r>
      <w:r w:rsidR="002E59CA">
        <w:rPr>
          <w:rFonts w:asciiTheme="minorHAnsi" w:hAnsiTheme="minorHAnsi" w:cstheme="minorHAnsi"/>
          <w:sz w:val="24"/>
          <w:szCs w:val="24"/>
          <w:lang w:val="en-GB"/>
        </w:rPr>
        <w:t>move to</w:t>
      </w:r>
      <w:r>
        <w:rPr>
          <w:rFonts w:asciiTheme="minorHAnsi" w:hAnsiTheme="minorHAnsi" w:cstheme="minorHAnsi"/>
          <w:sz w:val="24"/>
          <w:szCs w:val="24"/>
          <w:lang w:val="en-GB"/>
        </w:rPr>
        <w:t xml:space="preserve"> a</w:t>
      </w:r>
      <w:r w:rsidR="002E59CA">
        <w:rPr>
          <w:rFonts w:asciiTheme="minorHAnsi" w:hAnsiTheme="minorHAnsi" w:cstheme="minorHAnsi"/>
          <w:sz w:val="24"/>
          <w:szCs w:val="24"/>
          <w:lang w:val="en-GB"/>
        </w:rPr>
        <w:t xml:space="preserve"> </w:t>
      </w:r>
      <w:r>
        <w:rPr>
          <w:rFonts w:asciiTheme="minorHAnsi" w:hAnsiTheme="minorHAnsi" w:cstheme="minorHAnsi"/>
          <w:sz w:val="24"/>
          <w:szCs w:val="24"/>
          <w:lang w:val="en-GB"/>
        </w:rPr>
        <w:t>more comprehensive approach to building reno</w:t>
      </w:r>
      <w:r w:rsidR="002E59CA">
        <w:rPr>
          <w:rFonts w:asciiTheme="minorHAnsi" w:hAnsiTheme="minorHAnsi" w:cstheme="minorHAnsi"/>
          <w:sz w:val="24"/>
          <w:szCs w:val="24"/>
          <w:lang w:val="en-GB"/>
        </w:rPr>
        <w:t>vation where all issues that im</w:t>
      </w:r>
      <w:r>
        <w:rPr>
          <w:rFonts w:asciiTheme="minorHAnsi" w:hAnsiTheme="minorHAnsi" w:cstheme="minorHAnsi"/>
          <w:sz w:val="24"/>
          <w:szCs w:val="24"/>
          <w:lang w:val="en-GB"/>
        </w:rPr>
        <w:t>pact on energy efficiency are considered. It is not enough to say, ju</w:t>
      </w:r>
      <w:r w:rsidR="002E59CA">
        <w:rPr>
          <w:rFonts w:asciiTheme="minorHAnsi" w:hAnsiTheme="minorHAnsi" w:cstheme="minorHAnsi"/>
          <w:sz w:val="24"/>
          <w:szCs w:val="24"/>
          <w:lang w:val="en-GB"/>
        </w:rPr>
        <w:t>st</w:t>
      </w:r>
      <w:r>
        <w:rPr>
          <w:rFonts w:asciiTheme="minorHAnsi" w:hAnsiTheme="minorHAnsi" w:cstheme="minorHAnsi"/>
          <w:sz w:val="24"/>
          <w:szCs w:val="24"/>
          <w:lang w:val="en-GB"/>
        </w:rPr>
        <w:t xml:space="preserve"> improve windows or roof insulation. </w:t>
      </w:r>
    </w:p>
    <w:p w:rsidR="00293A74" w:rsidRPr="00310C27" w:rsidRDefault="00293A74" w:rsidP="00310C27">
      <w:pPr>
        <w:jc w:val="both"/>
        <w:rPr>
          <w:rFonts w:asciiTheme="minorHAnsi" w:hAnsiTheme="minorHAnsi" w:cstheme="minorHAnsi"/>
          <w:sz w:val="24"/>
          <w:szCs w:val="24"/>
          <w:lang w:val="en-GB"/>
        </w:rPr>
      </w:pPr>
    </w:p>
    <w:p w:rsidR="00310C27" w:rsidRPr="00310C27" w:rsidRDefault="00293A74" w:rsidP="00310C27">
      <w:pPr>
        <w:jc w:val="both"/>
        <w:rPr>
          <w:rFonts w:asciiTheme="minorHAnsi" w:hAnsiTheme="minorHAnsi" w:cstheme="minorHAnsi"/>
          <w:sz w:val="24"/>
          <w:szCs w:val="24"/>
          <w:lang w:val="en-GB"/>
        </w:rPr>
      </w:pPr>
      <w:r>
        <w:rPr>
          <w:rFonts w:asciiTheme="minorHAnsi" w:hAnsiTheme="minorHAnsi" w:cstheme="minorHAnsi"/>
          <w:sz w:val="24"/>
          <w:szCs w:val="24"/>
          <w:lang w:val="en-GB"/>
        </w:rPr>
        <w:t>Applications to the Cohesion Fund</w:t>
      </w:r>
      <w:r w:rsidR="00310C27" w:rsidRPr="00310C27">
        <w:rPr>
          <w:rFonts w:asciiTheme="minorHAnsi" w:hAnsiTheme="minorHAnsi" w:cstheme="minorHAnsi"/>
          <w:sz w:val="24"/>
          <w:szCs w:val="24"/>
          <w:lang w:val="en-GB"/>
        </w:rPr>
        <w:t xml:space="preserve"> have to get a certain amount of private investment to get some funding.  At least €500,000 to get Cohesion Fund.</w:t>
      </w:r>
      <w:r w:rsidR="00C94943">
        <w:rPr>
          <w:rFonts w:asciiTheme="minorHAnsi" w:hAnsiTheme="minorHAnsi" w:cstheme="minorHAnsi"/>
          <w:sz w:val="24"/>
          <w:szCs w:val="24"/>
          <w:lang w:val="en-GB"/>
        </w:rPr>
        <w:t xml:space="preserve"> </w:t>
      </w:r>
      <w:r w:rsidR="00310C27" w:rsidRPr="00310C27">
        <w:rPr>
          <w:rFonts w:asciiTheme="minorHAnsi" w:hAnsiTheme="minorHAnsi" w:cstheme="minorHAnsi"/>
          <w:sz w:val="24"/>
          <w:szCs w:val="24"/>
          <w:lang w:val="en-GB"/>
        </w:rPr>
        <w:t xml:space="preserve">This </w:t>
      </w:r>
      <w:r w:rsidR="00C94943">
        <w:rPr>
          <w:rFonts w:asciiTheme="minorHAnsi" w:hAnsiTheme="minorHAnsi" w:cstheme="minorHAnsi"/>
          <w:sz w:val="24"/>
          <w:szCs w:val="24"/>
          <w:lang w:val="en-GB"/>
        </w:rPr>
        <w:t>can</w:t>
      </w:r>
      <w:r w:rsidR="00310C27" w:rsidRPr="00310C27">
        <w:rPr>
          <w:rFonts w:asciiTheme="minorHAnsi" w:hAnsiTheme="minorHAnsi" w:cstheme="minorHAnsi"/>
          <w:sz w:val="24"/>
          <w:szCs w:val="24"/>
          <w:lang w:val="en-GB"/>
        </w:rPr>
        <w:t xml:space="preserve"> be difficult.  </w:t>
      </w:r>
      <w:r w:rsidR="00C94943">
        <w:rPr>
          <w:rFonts w:asciiTheme="minorHAnsi" w:hAnsiTheme="minorHAnsi" w:cstheme="minorHAnsi"/>
          <w:sz w:val="24"/>
          <w:szCs w:val="24"/>
          <w:lang w:val="en-GB"/>
        </w:rPr>
        <w:t xml:space="preserve">It is not possible to say, </w:t>
      </w:r>
      <w:r w:rsidR="00310C27" w:rsidRPr="00310C27">
        <w:rPr>
          <w:rFonts w:asciiTheme="minorHAnsi" w:hAnsiTheme="minorHAnsi" w:cstheme="minorHAnsi"/>
          <w:sz w:val="24"/>
          <w:szCs w:val="24"/>
          <w:lang w:val="en-GB"/>
        </w:rPr>
        <w:t xml:space="preserve"> choose just one school.  The Municipality </w:t>
      </w:r>
      <w:r w:rsidR="00C94943">
        <w:rPr>
          <w:rFonts w:asciiTheme="minorHAnsi" w:hAnsiTheme="minorHAnsi" w:cstheme="minorHAnsi"/>
          <w:sz w:val="24"/>
          <w:szCs w:val="24"/>
          <w:lang w:val="en-GB"/>
        </w:rPr>
        <w:t xml:space="preserve">has </w:t>
      </w:r>
      <w:r w:rsidR="00310C27" w:rsidRPr="00310C27">
        <w:rPr>
          <w:rFonts w:asciiTheme="minorHAnsi" w:hAnsiTheme="minorHAnsi" w:cstheme="minorHAnsi"/>
          <w:sz w:val="24"/>
          <w:szCs w:val="24"/>
          <w:lang w:val="en-GB"/>
        </w:rPr>
        <w:t>provided €500,000</w:t>
      </w:r>
      <w:r w:rsidR="00C94943">
        <w:rPr>
          <w:rFonts w:asciiTheme="minorHAnsi" w:hAnsiTheme="minorHAnsi" w:cstheme="minorHAnsi"/>
          <w:sz w:val="24"/>
          <w:szCs w:val="24"/>
          <w:lang w:val="en-GB"/>
        </w:rPr>
        <w:t xml:space="preserve"> towards a multiple school project</w:t>
      </w:r>
      <w:r w:rsidR="00310C27" w:rsidRPr="00310C27">
        <w:rPr>
          <w:rFonts w:asciiTheme="minorHAnsi" w:hAnsiTheme="minorHAnsi" w:cstheme="minorHAnsi"/>
          <w:sz w:val="24"/>
          <w:szCs w:val="24"/>
          <w:lang w:val="en-GB"/>
        </w:rPr>
        <w:t>.</w:t>
      </w:r>
    </w:p>
    <w:p w:rsidR="002E59CA" w:rsidRDefault="002E59CA" w:rsidP="00310C27">
      <w:pPr>
        <w:jc w:val="both"/>
        <w:rPr>
          <w:rFonts w:asciiTheme="minorHAnsi" w:hAnsiTheme="minorHAnsi" w:cstheme="minorHAnsi"/>
          <w:sz w:val="24"/>
          <w:szCs w:val="24"/>
          <w:lang w:val="en-GB"/>
        </w:rPr>
      </w:pPr>
    </w:p>
    <w:p w:rsidR="00310C27" w:rsidRPr="00310C27" w:rsidRDefault="00310C27" w:rsidP="00310C27">
      <w:pPr>
        <w:jc w:val="both"/>
        <w:rPr>
          <w:rFonts w:asciiTheme="minorHAnsi" w:hAnsiTheme="minorHAnsi" w:cstheme="minorHAnsi"/>
          <w:sz w:val="24"/>
          <w:szCs w:val="24"/>
          <w:lang w:val="en-GB"/>
        </w:rPr>
      </w:pPr>
      <w:r w:rsidRPr="00310C27">
        <w:rPr>
          <w:rFonts w:asciiTheme="minorHAnsi" w:hAnsiTheme="minorHAnsi" w:cstheme="minorHAnsi"/>
          <w:sz w:val="24"/>
          <w:szCs w:val="24"/>
          <w:lang w:val="en-GB"/>
        </w:rPr>
        <w:t xml:space="preserve">For a PPP, </w:t>
      </w:r>
      <w:r w:rsidR="00C94943">
        <w:rPr>
          <w:rFonts w:asciiTheme="minorHAnsi" w:hAnsiTheme="minorHAnsi" w:cstheme="minorHAnsi"/>
          <w:sz w:val="24"/>
          <w:szCs w:val="24"/>
          <w:lang w:val="en-GB"/>
        </w:rPr>
        <w:t xml:space="preserve">the </w:t>
      </w:r>
      <w:r w:rsidR="002E59CA">
        <w:rPr>
          <w:rFonts w:asciiTheme="minorHAnsi" w:hAnsiTheme="minorHAnsi" w:cstheme="minorHAnsi"/>
          <w:sz w:val="24"/>
          <w:szCs w:val="24"/>
          <w:lang w:val="en-GB"/>
        </w:rPr>
        <w:t xml:space="preserve">private </w:t>
      </w:r>
      <w:r w:rsidRPr="00310C27">
        <w:rPr>
          <w:rFonts w:asciiTheme="minorHAnsi" w:hAnsiTheme="minorHAnsi" w:cstheme="minorHAnsi"/>
          <w:sz w:val="24"/>
          <w:szCs w:val="24"/>
          <w:lang w:val="en-GB"/>
        </w:rPr>
        <w:t xml:space="preserve">investment must be at least €750,000. </w:t>
      </w:r>
    </w:p>
    <w:p w:rsidR="00310C27" w:rsidRPr="00310C27" w:rsidRDefault="00310C27" w:rsidP="00310C27">
      <w:pPr>
        <w:jc w:val="both"/>
        <w:rPr>
          <w:rFonts w:asciiTheme="minorHAnsi" w:hAnsiTheme="minorHAnsi" w:cstheme="minorHAnsi"/>
          <w:sz w:val="24"/>
          <w:szCs w:val="24"/>
          <w:lang w:val="en-GB"/>
        </w:rPr>
      </w:pPr>
    </w:p>
    <w:p w:rsidR="00310C27" w:rsidRDefault="00310C27" w:rsidP="00AE3885">
      <w:pPr>
        <w:jc w:val="both"/>
        <w:rPr>
          <w:rFonts w:asciiTheme="minorHAnsi" w:hAnsiTheme="minorHAnsi" w:cstheme="minorHAnsi"/>
          <w:sz w:val="24"/>
          <w:szCs w:val="24"/>
        </w:rPr>
      </w:pPr>
    </w:p>
    <w:p w:rsidR="00310C27" w:rsidRDefault="002E59CA" w:rsidP="00AE3885">
      <w:pPr>
        <w:jc w:val="both"/>
        <w:rPr>
          <w:rFonts w:asciiTheme="minorHAnsi" w:hAnsiTheme="minorHAnsi" w:cstheme="minorHAnsi"/>
          <w:b/>
          <w:sz w:val="28"/>
          <w:szCs w:val="28"/>
        </w:rPr>
      </w:pPr>
      <w:r>
        <w:rPr>
          <w:rFonts w:asciiTheme="minorHAnsi" w:hAnsiTheme="minorHAnsi" w:cstheme="minorHAnsi"/>
          <w:b/>
          <w:sz w:val="28"/>
          <w:szCs w:val="28"/>
        </w:rPr>
        <w:t xml:space="preserve">Market Needs </w:t>
      </w:r>
      <w:r w:rsidR="00674BC5">
        <w:rPr>
          <w:rFonts w:asciiTheme="minorHAnsi" w:hAnsiTheme="minorHAnsi" w:cstheme="minorHAnsi"/>
          <w:b/>
          <w:sz w:val="28"/>
          <w:szCs w:val="28"/>
        </w:rPr>
        <w:t>–</w:t>
      </w:r>
      <w:r>
        <w:rPr>
          <w:rFonts w:asciiTheme="minorHAnsi" w:hAnsiTheme="minorHAnsi" w:cstheme="minorHAnsi"/>
          <w:b/>
          <w:sz w:val="28"/>
          <w:szCs w:val="28"/>
        </w:rPr>
        <w:t xml:space="preserve"> Considerations</w:t>
      </w:r>
      <w:r w:rsidR="00674BC5">
        <w:rPr>
          <w:rFonts w:asciiTheme="minorHAnsi" w:hAnsiTheme="minorHAnsi" w:cstheme="minorHAnsi"/>
          <w:b/>
          <w:sz w:val="28"/>
          <w:szCs w:val="28"/>
        </w:rPr>
        <w:t xml:space="preserve"> </w:t>
      </w:r>
    </w:p>
    <w:p w:rsidR="00630CC0" w:rsidRPr="00310C27" w:rsidRDefault="00630CC0" w:rsidP="00AE3885">
      <w:pPr>
        <w:jc w:val="both"/>
        <w:rPr>
          <w:rFonts w:asciiTheme="minorHAnsi" w:hAnsiTheme="minorHAnsi" w:cstheme="minorHAnsi"/>
          <w:b/>
          <w:sz w:val="28"/>
          <w:szCs w:val="28"/>
        </w:rPr>
      </w:pPr>
    </w:p>
    <w:p w:rsidR="00310C27" w:rsidRPr="00C94943" w:rsidRDefault="00310C27" w:rsidP="00C94943">
      <w:pPr>
        <w:pStyle w:val="Odstavekseznama"/>
        <w:numPr>
          <w:ilvl w:val="0"/>
          <w:numId w:val="16"/>
        </w:numPr>
        <w:jc w:val="both"/>
        <w:rPr>
          <w:rFonts w:asciiTheme="minorHAnsi" w:hAnsiTheme="minorHAnsi" w:cstheme="minorHAnsi"/>
          <w:sz w:val="24"/>
          <w:szCs w:val="24"/>
          <w:lang w:val="en-GB"/>
        </w:rPr>
      </w:pPr>
      <w:r w:rsidRPr="00C94943">
        <w:rPr>
          <w:rFonts w:asciiTheme="minorHAnsi" w:hAnsiTheme="minorHAnsi" w:cstheme="minorHAnsi"/>
          <w:sz w:val="24"/>
          <w:szCs w:val="24"/>
          <w:lang w:val="en-GB"/>
        </w:rPr>
        <w:t>Should</w:t>
      </w:r>
      <w:r w:rsidR="00C94943">
        <w:rPr>
          <w:rFonts w:asciiTheme="minorHAnsi" w:hAnsiTheme="minorHAnsi" w:cstheme="minorHAnsi"/>
          <w:sz w:val="24"/>
          <w:szCs w:val="24"/>
          <w:lang w:val="en-GB"/>
        </w:rPr>
        <w:t xml:space="preserve"> new funds be created?  A n</w:t>
      </w:r>
      <w:r w:rsidRPr="00C94943">
        <w:rPr>
          <w:rFonts w:asciiTheme="minorHAnsi" w:hAnsiTheme="minorHAnsi" w:cstheme="minorHAnsi"/>
          <w:sz w:val="24"/>
          <w:szCs w:val="24"/>
          <w:lang w:val="en-GB"/>
        </w:rPr>
        <w:t xml:space="preserve">ew fund </w:t>
      </w:r>
      <w:r w:rsidR="00C94943">
        <w:rPr>
          <w:rFonts w:asciiTheme="minorHAnsi" w:hAnsiTheme="minorHAnsi" w:cstheme="minorHAnsi"/>
          <w:sz w:val="24"/>
          <w:szCs w:val="24"/>
          <w:lang w:val="en-GB"/>
        </w:rPr>
        <w:t>with</w:t>
      </w:r>
      <w:r w:rsidRPr="00C94943">
        <w:rPr>
          <w:rFonts w:asciiTheme="minorHAnsi" w:hAnsiTheme="minorHAnsi" w:cstheme="minorHAnsi"/>
          <w:sz w:val="24"/>
          <w:szCs w:val="24"/>
          <w:lang w:val="en-GB"/>
        </w:rPr>
        <w:t>in</w:t>
      </w:r>
      <w:r w:rsidR="00C94943">
        <w:rPr>
          <w:rFonts w:asciiTheme="minorHAnsi" w:hAnsiTheme="minorHAnsi" w:cstheme="minorHAnsi"/>
          <w:sz w:val="24"/>
          <w:szCs w:val="24"/>
          <w:lang w:val="en-GB"/>
        </w:rPr>
        <w:t xml:space="preserve"> an</w:t>
      </w:r>
      <w:r w:rsidRPr="00C94943">
        <w:rPr>
          <w:rFonts w:asciiTheme="minorHAnsi" w:hAnsiTheme="minorHAnsi" w:cstheme="minorHAnsi"/>
          <w:sz w:val="24"/>
          <w:szCs w:val="24"/>
          <w:lang w:val="en-GB"/>
        </w:rPr>
        <w:t xml:space="preserve"> existing fund would be a help.</w:t>
      </w:r>
    </w:p>
    <w:p w:rsidR="00310C27" w:rsidRPr="00C94943" w:rsidRDefault="00310C27" w:rsidP="00C94943">
      <w:pPr>
        <w:pStyle w:val="Odstavekseznama"/>
        <w:numPr>
          <w:ilvl w:val="0"/>
          <w:numId w:val="16"/>
        </w:numPr>
        <w:jc w:val="both"/>
        <w:rPr>
          <w:rFonts w:asciiTheme="minorHAnsi" w:hAnsiTheme="minorHAnsi" w:cstheme="minorHAnsi"/>
          <w:sz w:val="24"/>
          <w:szCs w:val="24"/>
          <w:lang w:val="en-GB"/>
        </w:rPr>
      </w:pPr>
      <w:r w:rsidRPr="00C94943">
        <w:rPr>
          <w:rFonts w:asciiTheme="minorHAnsi" w:hAnsiTheme="minorHAnsi" w:cstheme="minorHAnsi"/>
          <w:sz w:val="24"/>
          <w:szCs w:val="24"/>
          <w:lang w:val="en-GB"/>
        </w:rPr>
        <w:t xml:space="preserve">Should </w:t>
      </w:r>
      <w:r w:rsidR="00C94943">
        <w:rPr>
          <w:rFonts w:asciiTheme="minorHAnsi" w:hAnsiTheme="minorHAnsi" w:cstheme="minorHAnsi"/>
          <w:sz w:val="24"/>
          <w:szCs w:val="24"/>
          <w:lang w:val="en-GB"/>
        </w:rPr>
        <w:t>tax incentives be</w:t>
      </w:r>
      <w:r w:rsidRPr="00C94943">
        <w:rPr>
          <w:rFonts w:asciiTheme="minorHAnsi" w:hAnsiTheme="minorHAnsi" w:cstheme="minorHAnsi"/>
          <w:sz w:val="24"/>
          <w:szCs w:val="24"/>
          <w:lang w:val="en-GB"/>
        </w:rPr>
        <w:t xml:space="preserve"> create</w:t>
      </w:r>
      <w:r w:rsidR="00C94943">
        <w:rPr>
          <w:rFonts w:asciiTheme="minorHAnsi" w:hAnsiTheme="minorHAnsi" w:cstheme="minorHAnsi"/>
          <w:sz w:val="24"/>
          <w:szCs w:val="24"/>
          <w:lang w:val="en-GB"/>
        </w:rPr>
        <w:t>d to stimulate</w:t>
      </w:r>
      <w:r w:rsidRPr="00C94943">
        <w:rPr>
          <w:rFonts w:asciiTheme="minorHAnsi" w:hAnsiTheme="minorHAnsi" w:cstheme="minorHAnsi"/>
          <w:sz w:val="24"/>
          <w:szCs w:val="24"/>
          <w:lang w:val="en-GB"/>
        </w:rPr>
        <w:t xml:space="preserve"> investment in building efficiency measures for public buildings?</w:t>
      </w:r>
    </w:p>
    <w:p w:rsidR="00310C27" w:rsidRPr="00C94943" w:rsidRDefault="00310C27" w:rsidP="00C94943">
      <w:pPr>
        <w:pStyle w:val="Odstavekseznama"/>
        <w:numPr>
          <w:ilvl w:val="0"/>
          <w:numId w:val="16"/>
        </w:numPr>
        <w:jc w:val="both"/>
        <w:rPr>
          <w:rFonts w:asciiTheme="minorHAnsi" w:hAnsiTheme="minorHAnsi" w:cstheme="minorHAnsi"/>
          <w:sz w:val="24"/>
          <w:szCs w:val="24"/>
          <w:lang w:val="en-GB"/>
        </w:rPr>
      </w:pPr>
      <w:r w:rsidRPr="00C94943">
        <w:rPr>
          <w:rFonts w:asciiTheme="minorHAnsi" w:hAnsiTheme="minorHAnsi" w:cstheme="minorHAnsi"/>
          <w:sz w:val="24"/>
          <w:szCs w:val="24"/>
          <w:lang w:val="en-GB"/>
        </w:rPr>
        <w:lastRenderedPageBreak/>
        <w:t>Energy market is very sensitive, near zero CO2 buildings is not zero energy.  The system for this is net metering which puts energy back onto the smart grid.  A plus energy building is a building that produces more energy than it consumes.</w:t>
      </w:r>
    </w:p>
    <w:p w:rsidR="00310C27" w:rsidRPr="00C94943" w:rsidRDefault="00310C27" w:rsidP="00C94943">
      <w:pPr>
        <w:pStyle w:val="Odstavekseznama"/>
        <w:numPr>
          <w:ilvl w:val="0"/>
          <w:numId w:val="16"/>
        </w:numPr>
        <w:jc w:val="both"/>
        <w:rPr>
          <w:rFonts w:asciiTheme="minorHAnsi" w:hAnsiTheme="minorHAnsi" w:cstheme="minorHAnsi"/>
          <w:sz w:val="24"/>
          <w:szCs w:val="24"/>
          <w:lang w:val="en-GB"/>
        </w:rPr>
      </w:pPr>
      <w:r w:rsidRPr="00C94943">
        <w:rPr>
          <w:rFonts w:asciiTheme="minorHAnsi" w:hAnsiTheme="minorHAnsi" w:cstheme="minorHAnsi"/>
          <w:sz w:val="24"/>
          <w:szCs w:val="24"/>
          <w:lang w:val="en-GB"/>
        </w:rPr>
        <w:t xml:space="preserve">It’s not easy to influence policy, </w:t>
      </w:r>
      <w:r w:rsidR="006F210B">
        <w:rPr>
          <w:rFonts w:asciiTheme="minorHAnsi" w:hAnsiTheme="minorHAnsi" w:cstheme="minorHAnsi"/>
          <w:sz w:val="24"/>
          <w:szCs w:val="24"/>
          <w:lang w:val="en-GB"/>
        </w:rPr>
        <w:t>as its difficult to</w:t>
      </w:r>
      <w:r w:rsidRPr="00C94943">
        <w:rPr>
          <w:rFonts w:asciiTheme="minorHAnsi" w:hAnsiTheme="minorHAnsi" w:cstheme="minorHAnsi"/>
          <w:sz w:val="24"/>
          <w:szCs w:val="24"/>
          <w:lang w:val="en-GB"/>
        </w:rPr>
        <w:t xml:space="preserve"> know all the facts that influence the policy makers.</w:t>
      </w:r>
    </w:p>
    <w:p w:rsidR="00310C27" w:rsidRPr="00C94943" w:rsidRDefault="00310C27" w:rsidP="00C94943">
      <w:pPr>
        <w:pStyle w:val="Odstavekseznama"/>
        <w:numPr>
          <w:ilvl w:val="0"/>
          <w:numId w:val="16"/>
        </w:numPr>
        <w:jc w:val="both"/>
        <w:rPr>
          <w:rFonts w:asciiTheme="minorHAnsi" w:hAnsiTheme="minorHAnsi" w:cstheme="minorHAnsi"/>
          <w:sz w:val="24"/>
          <w:szCs w:val="24"/>
          <w:lang w:val="en-GB"/>
        </w:rPr>
      </w:pPr>
      <w:r w:rsidRPr="00C94943">
        <w:rPr>
          <w:rFonts w:asciiTheme="minorHAnsi" w:hAnsiTheme="minorHAnsi" w:cstheme="minorHAnsi"/>
          <w:sz w:val="24"/>
          <w:szCs w:val="24"/>
          <w:lang w:val="en-GB"/>
        </w:rPr>
        <w:t xml:space="preserve">If the new European Directive for energy efficiency in buildings includes targets, it will make it a lot easier.  </w:t>
      </w:r>
      <w:r w:rsidR="006F210B">
        <w:rPr>
          <w:rFonts w:asciiTheme="minorHAnsi" w:hAnsiTheme="minorHAnsi" w:cstheme="minorHAnsi"/>
          <w:sz w:val="24"/>
          <w:szCs w:val="24"/>
          <w:lang w:val="en-GB"/>
        </w:rPr>
        <w:t>There is</w:t>
      </w:r>
      <w:r w:rsidRPr="00C94943">
        <w:rPr>
          <w:rFonts w:asciiTheme="minorHAnsi" w:hAnsiTheme="minorHAnsi" w:cstheme="minorHAnsi"/>
          <w:sz w:val="24"/>
          <w:szCs w:val="24"/>
          <w:lang w:val="en-GB"/>
        </w:rPr>
        <w:t xml:space="preserve"> already </w:t>
      </w:r>
      <w:r w:rsidR="006F210B">
        <w:rPr>
          <w:rFonts w:asciiTheme="minorHAnsi" w:hAnsiTheme="minorHAnsi" w:cstheme="minorHAnsi"/>
          <w:sz w:val="24"/>
          <w:szCs w:val="24"/>
          <w:lang w:val="en-GB"/>
        </w:rPr>
        <w:t>an available</w:t>
      </w:r>
      <w:r w:rsidRPr="00C94943">
        <w:rPr>
          <w:rFonts w:asciiTheme="minorHAnsi" w:hAnsiTheme="minorHAnsi" w:cstheme="minorHAnsi"/>
          <w:sz w:val="24"/>
          <w:szCs w:val="24"/>
          <w:lang w:val="en-GB"/>
        </w:rPr>
        <w:t xml:space="preserve"> baseline.</w:t>
      </w:r>
    </w:p>
    <w:p w:rsidR="00310C27" w:rsidRPr="00C94943" w:rsidRDefault="00310C27" w:rsidP="00C94943">
      <w:pPr>
        <w:pStyle w:val="Odstavekseznama"/>
        <w:numPr>
          <w:ilvl w:val="0"/>
          <w:numId w:val="16"/>
        </w:numPr>
        <w:jc w:val="both"/>
        <w:rPr>
          <w:rFonts w:asciiTheme="minorHAnsi" w:hAnsiTheme="minorHAnsi" w:cstheme="minorHAnsi"/>
          <w:sz w:val="24"/>
          <w:szCs w:val="24"/>
          <w:lang w:val="en-GB"/>
        </w:rPr>
      </w:pPr>
      <w:r w:rsidRPr="00C94943">
        <w:rPr>
          <w:rFonts w:asciiTheme="minorHAnsi" w:hAnsiTheme="minorHAnsi" w:cstheme="minorHAnsi"/>
          <w:sz w:val="24"/>
          <w:szCs w:val="24"/>
          <w:lang w:val="en-GB"/>
        </w:rPr>
        <w:t>Energy companies are not very happy with zero CO2, they want to maintain consumption.  How significant are their tax generating revenues?  How is it possible to incentivise them into PPP projects?  All the energy companies are public companies.</w:t>
      </w:r>
    </w:p>
    <w:p w:rsidR="00310C27" w:rsidRDefault="006F210B" w:rsidP="00C94943">
      <w:pPr>
        <w:pStyle w:val="Odstavekseznama"/>
        <w:numPr>
          <w:ilvl w:val="0"/>
          <w:numId w:val="16"/>
        </w:numPr>
        <w:jc w:val="both"/>
        <w:rPr>
          <w:rFonts w:asciiTheme="minorHAnsi" w:hAnsiTheme="minorHAnsi" w:cstheme="minorHAnsi"/>
          <w:sz w:val="24"/>
          <w:szCs w:val="24"/>
          <w:lang w:val="en-GB"/>
        </w:rPr>
      </w:pPr>
      <w:r>
        <w:rPr>
          <w:rFonts w:asciiTheme="minorHAnsi" w:hAnsiTheme="minorHAnsi" w:cstheme="minorHAnsi"/>
          <w:sz w:val="24"/>
          <w:szCs w:val="24"/>
          <w:lang w:val="en-GB"/>
        </w:rPr>
        <w:t>Slovenian</w:t>
      </w:r>
      <w:r w:rsidR="00310C27" w:rsidRPr="00C94943">
        <w:rPr>
          <w:rFonts w:asciiTheme="minorHAnsi" w:hAnsiTheme="minorHAnsi" w:cstheme="minorHAnsi"/>
          <w:sz w:val="24"/>
          <w:szCs w:val="24"/>
          <w:lang w:val="en-GB"/>
        </w:rPr>
        <w:t xml:space="preserve"> legislation means </w:t>
      </w:r>
      <w:r>
        <w:rPr>
          <w:rFonts w:asciiTheme="minorHAnsi" w:hAnsiTheme="minorHAnsi" w:cstheme="minorHAnsi"/>
          <w:sz w:val="24"/>
          <w:szCs w:val="24"/>
          <w:lang w:val="en-GB"/>
        </w:rPr>
        <w:t>that the LEAs</w:t>
      </w:r>
      <w:r w:rsidR="00310C27" w:rsidRPr="00C94943">
        <w:rPr>
          <w:rFonts w:asciiTheme="minorHAnsi" w:hAnsiTheme="minorHAnsi" w:cstheme="minorHAnsi"/>
          <w:sz w:val="24"/>
          <w:szCs w:val="24"/>
          <w:lang w:val="en-GB"/>
        </w:rPr>
        <w:t xml:space="preserve"> are not public or private but are owned by the public.  Not state-owned, but according to EU legislation, </w:t>
      </w:r>
      <w:r>
        <w:rPr>
          <w:rFonts w:asciiTheme="minorHAnsi" w:hAnsiTheme="minorHAnsi" w:cstheme="minorHAnsi"/>
          <w:sz w:val="24"/>
          <w:szCs w:val="24"/>
          <w:lang w:val="en-GB"/>
        </w:rPr>
        <w:t>they</w:t>
      </w:r>
      <w:r w:rsidR="00310C27" w:rsidRPr="00C94943">
        <w:rPr>
          <w:rFonts w:asciiTheme="minorHAnsi" w:hAnsiTheme="minorHAnsi" w:cstheme="minorHAnsi"/>
          <w:sz w:val="24"/>
          <w:szCs w:val="24"/>
          <w:lang w:val="en-GB"/>
        </w:rPr>
        <w:t xml:space="preserve"> are public.</w:t>
      </w:r>
    </w:p>
    <w:p w:rsidR="00674BC5" w:rsidRDefault="00674BC5" w:rsidP="00674BC5">
      <w:pPr>
        <w:jc w:val="both"/>
        <w:rPr>
          <w:rFonts w:asciiTheme="minorHAnsi" w:hAnsiTheme="minorHAnsi" w:cstheme="minorHAnsi"/>
          <w:sz w:val="24"/>
          <w:szCs w:val="24"/>
          <w:lang w:val="en-GB"/>
        </w:rPr>
      </w:pPr>
    </w:p>
    <w:p w:rsidR="00674BC5" w:rsidRPr="00674BC5" w:rsidRDefault="00674BC5" w:rsidP="00674BC5">
      <w:pPr>
        <w:jc w:val="both"/>
        <w:rPr>
          <w:rFonts w:asciiTheme="minorHAnsi" w:hAnsiTheme="minorHAnsi" w:cstheme="minorHAnsi"/>
          <w:sz w:val="24"/>
          <w:szCs w:val="24"/>
          <w:lang w:val="en-GB"/>
        </w:rPr>
      </w:pPr>
    </w:p>
    <w:p w:rsidR="00310C27" w:rsidRDefault="00674BC5" w:rsidP="00AE3885">
      <w:pPr>
        <w:jc w:val="both"/>
        <w:rPr>
          <w:rFonts w:asciiTheme="minorHAnsi" w:hAnsiTheme="minorHAnsi" w:cstheme="minorHAnsi"/>
          <w:b/>
          <w:sz w:val="28"/>
          <w:szCs w:val="28"/>
        </w:rPr>
      </w:pPr>
      <w:r>
        <w:rPr>
          <w:rFonts w:asciiTheme="minorHAnsi" w:hAnsiTheme="minorHAnsi" w:cstheme="minorHAnsi"/>
          <w:b/>
          <w:sz w:val="28"/>
          <w:szCs w:val="28"/>
        </w:rPr>
        <w:t xml:space="preserve">Market Needs – Conclusions </w:t>
      </w:r>
    </w:p>
    <w:p w:rsidR="00630CC0" w:rsidRDefault="00630CC0" w:rsidP="00AE3885">
      <w:pPr>
        <w:jc w:val="both"/>
        <w:rPr>
          <w:rFonts w:asciiTheme="minorHAnsi" w:hAnsiTheme="minorHAnsi" w:cstheme="minorHAnsi"/>
          <w:b/>
          <w:sz w:val="28"/>
          <w:szCs w:val="28"/>
        </w:rPr>
      </w:pPr>
    </w:p>
    <w:p w:rsidR="00674BC5" w:rsidRDefault="00674BC5" w:rsidP="00AE3885">
      <w:pPr>
        <w:jc w:val="both"/>
        <w:rPr>
          <w:rFonts w:asciiTheme="minorHAnsi" w:hAnsiTheme="minorHAnsi" w:cstheme="minorHAnsi"/>
          <w:sz w:val="24"/>
          <w:szCs w:val="24"/>
        </w:rPr>
      </w:pPr>
      <w:r>
        <w:rPr>
          <w:rFonts w:asciiTheme="minorHAnsi" w:hAnsiTheme="minorHAnsi" w:cstheme="minorHAnsi"/>
          <w:sz w:val="24"/>
          <w:szCs w:val="24"/>
        </w:rPr>
        <w:t xml:space="preserve">The conclusions regarding market needs in Slovenia and the </w:t>
      </w:r>
      <w:r w:rsidR="00010D01">
        <w:rPr>
          <w:rFonts w:asciiTheme="minorHAnsi" w:hAnsiTheme="minorHAnsi" w:cstheme="minorHAnsi"/>
          <w:sz w:val="24"/>
          <w:szCs w:val="24"/>
        </w:rPr>
        <w:t>Ptuj region regarding</w:t>
      </w:r>
      <w:r>
        <w:rPr>
          <w:rFonts w:asciiTheme="minorHAnsi" w:hAnsiTheme="minorHAnsi" w:cstheme="minorHAnsi"/>
          <w:sz w:val="24"/>
          <w:szCs w:val="24"/>
        </w:rPr>
        <w:t xml:space="preserve"> energy efficiency in public buildings are that it is happening, but not fast enough.  The market needs more dynamic and better aligned public funding policies and measures, that incentivize and help to gain access to private sector funding.  There is a natural tendency to rely on the private sector energy companies as the source for funding, since this relates to the provision of their product and service.  However, equally naturally, there is a reluctance of the energy supply companies to support measures that will lead to reductions in usage of their product, and hence a reduction of income as a consequence of an added cost in terms of investment.</w:t>
      </w:r>
    </w:p>
    <w:p w:rsidR="00674BC5" w:rsidRDefault="00674BC5" w:rsidP="00AE3885">
      <w:pPr>
        <w:jc w:val="both"/>
        <w:rPr>
          <w:rFonts w:asciiTheme="minorHAnsi" w:hAnsiTheme="minorHAnsi" w:cstheme="minorHAnsi"/>
          <w:sz w:val="24"/>
          <w:szCs w:val="24"/>
        </w:rPr>
      </w:pPr>
    </w:p>
    <w:p w:rsidR="00674BC5" w:rsidRDefault="00674BC5" w:rsidP="00AE3885">
      <w:pPr>
        <w:jc w:val="both"/>
        <w:rPr>
          <w:rFonts w:asciiTheme="minorHAnsi" w:hAnsiTheme="minorHAnsi" w:cstheme="minorHAnsi"/>
          <w:sz w:val="24"/>
          <w:szCs w:val="24"/>
        </w:rPr>
      </w:pPr>
      <w:r>
        <w:rPr>
          <w:rFonts w:asciiTheme="minorHAnsi" w:hAnsiTheme="minorHAnsi" w:cstheme="minorHAnsi"/>
          <w:sz w:val="24"/>
          <w:szCs w:val="24"/>
        </w:rPr>
        <w:t>But this may be a short-sighted view.  In the long term, these measures are required by EU regulation, and these targets are not going to change.  Failure to meet them will result in punitive charges, which will impact adversely on the energy companies.  They are well advised to cooperate in these measures.</w:t>
      </w:r>
    </w:p>
    <w:p w:rsidR="00674BC5" w:rsidRDefault="00674BC5" w:rsidP="00AE3885">
      <w:pPr>
        <w:jc w:val="both"/>
        <w:rPr>
          <w:rFonts w:asciiTheme="minorHAnsi" w:hAnsiTheme="minorHAnsi" w:cstheme="minorHAnsi"/>
          <w:sz w:val="24"/>
          <w:szCs w:val="24"/>
        </w:rPr>
      </w:pPr>
    </w:p>
    <w:p w:rsidR="00674BC5" w:rsidRDefault="00674BC5" w:rsidP="00AE3885">
      <w:pPr>
        <w:jc w:val="both"/>
        <w:rPr>
          <w:rFonts w:asciiTheme="minorHAnsi" w:hAnsiTheme="minorHAnsi" w:cstheme="minorHAnsi"/>
          <w:sz w:val="24"/>
          <w:szCs w:val="24"/>
        </w:rPr>
      </w:pPr>
      <w:r>
        <w:rPr>
          <w:rFonts w:asciiTheme="minorHAnsi" w:hAnsiTheme="minorHAnsi" w:cstheme="minorHAnsi"/>
          <w:sz w:val="24"/>
          <w:szCs w:val="24"/>
        </w:rPr>
        <w:t>In addition, it should be shown that investment in these measures will generate income from the new technologies.  The energy companies could replace one source of income – energy consumption – with another – energy savings.</w:t>
      </w:r>
    </w:p>
    <w:p w:rsidR="00674BC5" w:rsidRDefault="00674BC5" w:rsidP="00AE3885">
      <w:pPr>
        <w:jc w:val="both"/>
        <w:rPr>
          <w:rFonts w:asciiTheme="minorHAnsi" w:hAnsiTheme="minorHAnsi" w:cstheme="minorHAnsi"/>
          <w:sz w:val="24"/>
          <w:szCs w:val="24"/>
        </w:rPr>
      </w:pPr>
    </w:p>
    <w:p w:rsidR="00674BC5" w:rsidRDefault="00674BC5" w:rsidP="00AE3885">
      <w:pPr>
        <w:jc w:val="both"/>
        <w:rPr>
          <w:rFonts w:asciiTheme="minorHAnsi" w:hAnsiTheme="minorHAnsi" w:cstheme="minorHAnsi"/>
          <w:sz w:val="24"/>
          <w:szCs w:val="24"/>
        </w:rPr>
      </w:pPr>
      <w:r>
        <w:rPr>
          <w:rFonts w:asciiTheme="minorHAnsi" w:hAnsiTheme="minorHAnsi" w:cstheme="minorHAnsi"/>
          <w:sz w:val="24"/>
          <w:szCs w:val="24"/>
        </w:rPr>
        <w:t>Over and above the energy companies, however, there should be measures which incentivize the technology investment and infrastructure investment sectors to involve themselves with these activities.  This requires evidence that the new developments in energy efficiency in public buildings are revenue and profit generating.  This, perhaps, is the single most significant market need: commercial</w:t>
      </w:r>
      <w:r w:rsidR="00185306">
        <w:rPr>
          <w:rFonts w:asciiTheme="minorHAnsi" w:hAnsiTheme="minorHAnsi" w:cstheme="minorHAnsi"/>
          <w:sz w:val="24"/>
          <w:szCs w:val="24"/>
        </w:rPr>
        <w:t>ly viable</w:t>
      </w:r>
      <w:r>
        <w:rPr>
          <w:rFonts w:asciiTheme="minorHAnsi" w:hAnsiTheme="minorHAnsi" w:cstheme="minorHAnsi"/>
          <w:sz w:val="24"/>
          <w:szCs w:val="24"/>
        </w:rPr>
        <w:t xml:space="preserve">, </w:t>
      </w:r>
      <w:r w:rsidR="00185306">
        <w:rPr>
          <w:rFonts w:asciiTheme="minorHAnsi" w:hAnsiTheme="minorHAnsi" w:cstheme="minorHAnsi"/>
          <w:sz w:val="24"/>
          <w:szCs w:val="24"/>
        </w:rPr>
        <w:t xml:space="preserve">revenue generating, </w:t>
      </w:r>
      <w:r>
        <w:rPr>
          <w:rFonts w:asciiTheme="minorHAnsi" w:hAnsiTheme="minorHAnsi" w:cstheme="minorHAnsi"/>
          <w:sz w:val="24"/>
          <w:szCs w:val="24"/>
        </w:rPr>
        <w:t>self-sustaining</w:t>
      </w:r>
      <w:r w:rsidR="00185306">
        <w:rPr>
          <w:rFonts w:asciiTheme="minorHAnsi" w:hAnsiTheme="minorHAnsi" w:cstheme="minorHAnsi"/>
          <w:sz w:val="24"/>
          <w:szCs w:val="24"/>
        </w:rPr>
        <w:t xml:space="preserve"> projects which will yield a return for the investors.</w:t>
      </w:r>
    </w:p>
    <w:p w:rsidR="00185306" w:rsidRDefault="00185306" w:rsidP="00AE3885">
      <w:pPr>
        <w:jc w:val="both"/>
        <w:rPr>
          <w:rFonts w:asciiTheme="minorHAnsi" w:hAnsiTheme="minorHAnsi" w:cstheme="minorHAnsi"/>
          <w:sz w:val="24"/>
          <w:szCs w:val="24"/>
        </w:rPr>
      </w:pPr>
    </w:p>
    <w:p w:rsidR="00185306" w:rsidRPr="00674BC5" w:rsidRDefault="00185306" w:rsidP="00AE3885">
      <w:pPr>
        <w:jc w:val="both"/>
        <w:rPr>
          <w:rFonts w:asciiTheme="minorHAnsi" w:hAnsiTheme="minorHAnsi" w:cstheme="minorHAnsi"/>
          <w:sz w:val="24"/>
          <w:szCs w:val="24"/>
        </w:rPr>
      </w:pPr>
      <w:r>
        <w:rPr>
          <w:rFonts w:asciiTheme="minorHAnsi" w:hAnsiTheme="minorHAnsi" w:cstheme="minorHAnsi"/>
          <w:sz w:val="24"/>
          <w:szCs w:val="24"/>
        </w:rPr>
        <w:lastRenderedPageBreak/>
        <w:t>Policy development and funding measures are required to encourage the initiatives that meet this market need.  Further work is required to understand exactly what these</w:t>
      </w:r>
      <w:r w:rsidR="00010D01">
        <w:rPr>
          <w:rFonts w:asciiTheme="minorHAnsi" w:hAnsiTheme="minorHAnsi" w:cstheme="minorHAnsi"/>
          <w:sz w:val="24"/>
          <w:szCs w:val="24"/>
        </w:rPr>
        <w:t xml:space="preserve"> policies and measures</w:t>
      </w:r>
      <w:r>
        <w:rPr>
          <w:rFonts w:asciiTheme="minorHAnsi" w:hAnsiTheme="minorHAnsi" w:cstheme="minorHAnsi"/>
          <w:sz w:val="24"/>
          <w:szCs w:val="24"/>
        </w:rPr>
        <w:t xml:space="preserve"> might be</w:t>
      </w:r>
      <w:r w:rsidR="00010D01">
        <w:rPr>
          <w:rFonts w:asciiTheme="minorHAnsi" w:hAnsiTheme="minorHAnsi" w:cstheme="minorHAnsi"/>
          <w:sz w:val="24"/>
          <w:szCs w:val="24"/>
        </w:rPr>
        <w:t>, and how best to stimulate the necessary initiatives</w:t>
      </w:r>
      <w:r>
        <w:rPr>
          <w:rFonts w:asciiTheme="minorHAnsi" w:hAnsiTheme="minorHAnsi" w:cstheme="minorHAnsi"/>
          <w:sz w:val="24"/>
          <w:szCs w:val="24"/>
        </w:rPr>
        <w:t>.  The conclusion of this phase of work is that the market needs for energy efficiency in public buildings are not currently being met adequately, and hence the improvements required are not happening at a rate which is capable of meeting the target required by public policy at a national and EU level.</w:t>
      </w:r>
    </w:p>
    <w:sectPr w:rsidR="00185306" w:rsidRPr="00674BC5" w:rsidSect="005E6FA6">
      <w:headerReference w:type="default" r:id="rId9"/>
      <w:footerReference w:type="default" r:id="rId10"/>
      <w:pgSz w:w="11906" w:h="16838"/>
      <w:pgMar w:top="1418" w:right="1417" w:bottom="1418" w:left="1701" w:header="708" w:footer="1134"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0A" w:rsidRDefault="0070000A">
      <w:r>
        <w:separator/>
      </w:r>
    </w:p>
  </w:endnote>
  <w:endnote w:type="continuationSeparator" w:id="0">
    <w:p w:rsidR="0070000A" w:rsidRDefault="0070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SL">
    <w:altName w:val="Cambria"/>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55E" w:rsidRDefault="00B91845">
    <w:pPr>
      <w:pStyle w:val="Noga"/>
      <w:pBdr>
        <w:top w:val="single" w:sz="4" w:space="1" w:color="000001"/>
      </w:pBdr>
      <w:jc w:val="center"/>
      <w:rPr>
        <w:lang w:val="sl-SI"/>
      </w:rPr>
    </w:pPr>
    <w:r>
      <w:rPr>
        <w:noProof/>
        <w:lang w:eastAsia="en-GB"/>
      </w:rPr>
      <w:drawing>
        <wp:anchor distT="0" distB="0" distL="114300" distR="114300" simplePos="0" relativeHeight="5" behindDoc="1" locked="0" layoutInCell="1" allowOverlap="1">
          <wp:simplePos x="0" y="0"/>
          <wp:positionH relativeFrom="margin">
            <wp:posOffset>1676400</wp:posOffset>
          </wp:positionH>
          <wp:positionV relativeFrom="margin">
            <wp:posOffset>8412480</wp:posOffset>
          </wp:positionV>
          <wp:extent cx="1943100" cy="49085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1"/>
                  <a:stretch>
                    <a:fillRect/>
                  </a:stretch>
                </pic:blipFill>
                <pic:spPr bwMode="auto">
                  <a:xfrm>
                    <a:off x="0" y="0"/>
                    <a:ext cx="1943100" cy="4908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0A" w:rsidRDefault="0070000A">
      <w:r>
        <w:separator/>
      </w:r>
    </w:p>
  </w:footnote>
  <w:footnote w:type="continuationSeparator" w:id="0">
    <w:p w:rsidR="0070000A" w:rsidRDefault="0070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6" w:type="dxa"/>
      <w:tblInd w:w="-885" w:type="dxa"/>
      <w:tblBorders>
        <w:top w:val="single" w:sz="4" w:space="0" w:color="00000A"/>
        <w:bottom w:val="single" w:sz="4" w:space="0" w:color="00000A"/>
        <w:insideH w:val="single" w:sz="4" w:space="0" w:color="00000A"/>
      </w:tblBorders>
      <w:tblLook w:val="01E0" w:firstRow="1" w:lastRow="1" w:firstColumn="1" w:lastColumn="1" w:noHBand="0" w:noVBand="0"/>
    </w:tblPr>
    <w:tblGrid>
      <w:gridCol w:w="2484"/>
      <w:gridCol w:w="2763"/>
      <w:gridCol w:w="3440"/>
      <w:gridCol w:w="2479"/>
    </w:tblGrid>
    <w:tr w:rsidR="00EE455E" w:rsidRPr="001868F0">
      <w:trPr>
        <w:trHeight w:val="1308"/>
      </w:trPr>
      <w:tc>
        <w:tcPr>
          <w:tcW w:w="2483" w:type="dxa"/>
          <w:tcBorders>
            <w:top w:val="single" w:sz="4" w:space="0" w:color="00000A"/>
            <w:bottom w:val="single" w:sz="4" w:space="0" w:color="00000A"/>
          </w:tcBorders>
          <w:shd w:val="clear" w:color="auto" w:fill="auto"/>
        </w:tcPr>
        <w:p w:rsidR="00EE455E" w:rsidRDefault="00AA4D2E">
          <w:pPr>
            <w:pStyle w:val="Glava"/>
            <w:jc w:val="center"/>
            <w:rPr>
              <w:rFonts w:ascii="Bookman Old Style" w:hAnsi="Bookman Old Style"/>
              <w:b/>
              <w:i/>
              <w:color w:val="008000"/>
              <w:sz w:val="36"/>
            </w:rPr>
          </w:pPr>
          <w:r>
            <w:rPr>
              <w:rFonts w:ascii="Bookman Old Style" w:hAnsi="Bookman Old Style"/>
              <w:b/>
              <w:i/>
              <w:noProof/>
              <w:color w:val="008000"/>
              <w:sz w:val="36"/>
              <w:lang w:eastAsia="en-GB"/>
            </w:rPr>
            <w:drawing>
              <wp:anchor distT="0" distB="0" distL="114300" distR="114300" simplePos="0" relativeHeight="251658240" behindDoc="1" locked="0" layoutInCell="1" allowOverlap="1">
                <wp:simplePos x="0" y="0"/>
                <wp:positionH relativeFrom="column">
                  <wp:posOffset>329565</wp:posOffset>
                </wp:positionH>
                <wp:positionV relativeFrom="paragraph">
                  <wp:posOffset>-113030</wp:posOffset>
                </wp:positionV>
                <wp:extent cx="933450" cy="10953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3450" cy="1095375"/>
                        </a:xfrm>
                        <a:prstGeom prst="rect">
                          <a:avLst/>
                        </a:prstGeom>
                        <a:noFill/>
                        <a:ln w="9525">
                          <a:noFill/>
                          <a:miter lim="800000"/>
                          <a:headEnd/>
                          <a:tailEnd/>
                        </a:ln>
                      </pic:spPr>
                    </pic:pic>
                  </a:graphicData>
                </a:graphic>
              </wp:anchor>
            </w:drawing>
          </w:r>
        </w:p>
      </w:tc>
      <w:tc>
        <w:tcPr>
          <w:tcW w:w="2763" w:type="dxa"/>
          <w:tcBorders>
            <w:top w:val="single" w:sz="4" w:space="0" w:color="00000A"/>
            <w:bottom w:val="single" w:sz="4" w:space="0" w:color="00000A"/>
          </w:tcBorders>
          <w:shd w:val="clear" w:color="auto" w:fill="auto"/>
        </w:tcPr>
        <w:p w:rsidR="00EE455E" w:rsidRPr="00C9319F" w:rsidRDefault="00EE455E">
          <w:pPr>
            <w:pStyle w:val="Glava"/>
            <w:jc w:val="left"/>
            <w:rPr>
              <w:lang w:val="fr-FR"/>
            </w:rPr>
          </w:pPr>
        </w:p>
      </w:tc>
      <w:tc>
        <w:tcPr>
          <w:tcW w:w="3440" w:type="dxa"/>
          <w:tcBorders>
            <w:top w:val="single" w:sz="4" w:space="0" w:color="00000A"/>
            <w:bottom w:val="single" w:sz="4" w:space="0" w:color="00000A"/>
          </w:tcBorders>
          <w:shd w:val="clear" w:color="auto" w:fill="auto"/>
        </w:tcPr>
        <w:p w:rsidR="00EE455E" w:rsidRDefault="00EE455E">
          <w:pPr>
            <w:pStyle w:val="Glava"/>
            <w:jc w:val="center"/>
            <w:rPr>
              <w:rFonts w:ascii="Bookman Old Style" w:hAnsi="Bookman Old Style"/>
              <w:color w:val="808080"/>
              <w:sz w:val="16"/>
              <w:szCs w:val="16"/>
              <w:lang w:val="sl-SI"/>
            </w:rPr>
          </w:pPr>
        </w:p>
      </w:tc>
      <w:tc>
        <w:tcPr>
          <w:tcW w:w="2479" w:type="dxa"/>
          <w:tcBorders>
            <w:top w:val="single" w:sz="4" w:space="0" w:color="00000A"/>
            <w:bottom w:val="single" w:sz="4" w:space="0" w:color="00000A"/>
          </w:tcBorders>
          <w:shd w:val="clear" w:color="auto" w:fill="auto"/>
        </w:tcPr>
        <w:p w:rsidR="00EE455E" w:rsidRDefault="00B91845">
          <w:pPr>
            <w:pStyle w:val="Glava"/>
            <w:jc w:val="left"/>
            <w:rPr>
              <w:rFonts w:ascii="Bookman Old Style" w:hAnsi="Bookman Old Style"/>
              <w:color w:val="808080"/>
              <w:sz w:val="16"/>
              <w:szCs w:val="16"/>
              <w:lang w:val="sl-SI"/>
            </w:rPr>
          </w:pPr>
          <w:r>
            <w:rPr>
              <w:rFonts w:ascii="Bookman Old Style" w:hAnsi="Bookman Old Style"/>
              <w:noProof/>
              <w:color w:val="808080"/>
              <w:sz w:val="16"/>
              <w:szCs w:val="16"/>
              <w:lang w:eastAsia="en-GB"/>
            </w:rPr>
            <w:drawing>
              <wp:anchor distT="0" distB="0" distL="114300" distR="116840" simplePos="0" relativeHeight="3" behindDoc="1" locked="0" layoutInCell="1" allowOverlap="1">
                <wp:simplePos x="0" y="0"/>
                <wp:positionH relativeFrom="column">
                  <wp:posOffset>-1055370</wp:posOffset>
                </wp:positionH>
                <wp:positionV relativeFrom="paragraph">
                  <wp:posOffset>-11430</wp:posOffset>
                </wp:positionV>
                <wp:extent cx="1674495" cy="8096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2"/>
                        <a:stretch>
                          <a:fillRect/>
                        </a:stretch>
                      </pic:blipFill>
                      <pic:spPr bwMode="auto">
                        <a:xfrm>
                          <a:off x="0" y="0"/>
                          <a:ext cx="1674495" cy="809625"/>
                        </a:xfrm>
                        <a:prstGeom prst="rect">
                          <a:avLst/>
                        </a:prstGeom>
                      </pic:spPr>
                    </pic:pic>
                  </a:graphicData>
                </a:graphic>
              </wp:anchor>
            </w:drawing>
          </w:r>
        </w:p>
      </w:tc>
    </w:tr>
  </w:tbl>
  <w:p w:rsidR="00EE455E" w:rsidRDefault="00EE455E">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E81"/>
    <w:multiLevelType w:val="hybridMultilevel"/>
    <w:tmpl w:val="59D48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94578"/>
    <w:multiLevelType w:val="hybridMultilevel"/>
    <w:tmpl w:val="9C06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E31B6"/>
    <w:multiLevelType w:val="hybridMultilevel"/>
    <w:tmpl w:val="D5BE75E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4440E"/>
    <w:multiLevelType w:val="hybridMultilevel"/>
    <w:tmpl w:val="16E8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42E7B"/>
    <w:multiLevelType w:val="multilevel"/>
    <w:tmpl w:val="AA9C986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DBE2F6D"/>
    <w:multiLevelType w:val="multilevel"/>
    <w:tmpl w:val="307C5E7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A8D0B68"/>
    <w:multiLevelType w:val="hybridMultilevel"/>
    <w:tmpl w:val="58F63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C6FD1"/>
    <w:multiLevelType w:val="hybridMultilevel"/>
    <w:tmpl w:val="975051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D42B5"/>
    <w:multiLevelType w:val="hybridMultilevel"/>
    <w:tmpl w:val="9F7E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13C76"/>
    <w:multiLevelType w:val="multilevel"/>
    <w:tmpl w:val="539AAF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12F6676"/>
    <w:multiLevelType w:val="hybridMultilevel"/>
    <w:tmpl w:val="0B029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75C9F"/>
    <w:multiLevelType w:val="hybridMultilevel"/>
    <w:tmpl w:val="8C704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E68E7"/>
    <w:multiLevelType w:val="hybridMultilevel"/>
    <w:tmpl w:val="51D27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67C32"/>
    <w:multiLevelType w:val="multilevel"/>
    <w:tmpl w:val="B1C2F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923F04"/>
    <w:multiLevelType w:val="hybridMultilevel"/>
    <w:tmpl w:val="25A47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6B49D7"/>
    <w:multiLevelType w:val="hybridMultilevel"/>
    <w:tmpl w:val="F55E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55B86"/>
    <w:multiLevelType w:val="multilevel"/>
    <w:tmpl w:val="D71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3"/>
  </w:num>
  <w:num w:numId="4">
    <w:abstractNumId w:val="9"/>
  </w:num>
  <w:num w:numId="5">
    <w:abstractNumId w:val="3"/>
  </w:num>
  <w:num w:numId="6">
    <w:abstractNumId w:val="15"/>
  </w:num>
  <w:num w:numId="7">
    <w:abstractNumId w:val="1"/>
  </w:num>
  <w:num w:numId="8">
    <w:abstractNumId w:val="14"/>
  </w:num>
  <w:num w:numId="9">
    <w:abstractNumId w:val="6"/>
  </w:num>
  <w:num w:numId="10">
    <w:abstractNumId w:val="2"/>
  </w:num>
  <w:num w:numId="11">
    <w:abstractNumId w:val="11"/>
  </w:num>
  <w:num w:numId="12">
    <w:abstractNumId w:val="16"/>
  </w:num>
  <w:num w:numId="13">
    <w:abstractNumId w:val="7"/>
  </w:num>
  <w:num w:numId="14">
    <w:abstractNumId w:val="0"/>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5E"/>
    <w:rsid w:val="00010D01"/>
    <w:rsid w:val="00022821"/>
    <w:rsid w:val="0002566B"/>
    <w:rsid w:val="00033AC7"/>
    <w:rsid w:val="00033CEA"/>
    <w:rsid w:val="000436E3"/>
    <w:rsid w:val="00061288"/>
    <w:rsid w:val="00082610"/>
    <w:rsid w:val="00084785"/>
    <w:rsid w:val="00090AB9"/>
    <w:rsid w:val="00092C8E"/>
    <w:rsid w:val="00135810"/>
    <w:rsid w:val="00164E03"/>
    <w:rsid w:val="00185306"/>
    <w:rsid w:val="001868F0"/>
    <w:rsid w:val="001D553C"/>
    <w:rsid w:val="001E100E"/>
    <w:rsid w:val="001E136D"/>
    <w:rsid w:val="00210738"/>
    <w:rsid w:val="0025443D"/>
    <w:rsid w:val="00293A74"/>
    <w:rsid w:val="00297323"/>
    <w:rsid w:val="002A0034"/>
    <w:rsid w:val="002D7761"/>
    <w:rsid w:val="002E3AF8"/>
    <w:rsid w:val="002E59CA"/>
    <w:rsid w:val="003005E3"/>
    <w:rsid w:val="00310C27"/>
    <w:rsid w:val="00336FF6"/>
    <w:rsid w:val="003403C5"/>
    <w:rsid w:val="00341BFB"/>
    <w:rsid w:val="0037246B"/>
    <w:rsid w:val="0037449A"/>
    <w:rsid w:val="00391A28"/>
    <w:rsid w:val="003C37DF"/>
    <w:rsid w:val="003E002C"/>
    <w:rsid w:val="004209B6"/>
    <w:rsid w:val="00421DB5"/>
    <w:rsid w:val="0042659F"/>
    <w:rsid w:val="00465D49"/>
    <w:rsid w:val="00471679"/>
    <w:rsid w:val="004D10E8"/>
    <w:rsid w:val="005167CB"/>
    <w:rsid w:val="005267A9"/>
    <w:rsid w:val="00526EA5"/>
    <w:rsid w:val="00530B45"/>
    <w:rsid w:val="005866AF"/>
    <w:rsid w:val="00595DE5"/>
    <w:rsid w:val="005E6FA6"/>
    <w:rsid w:val="00610C2A"/>
    <w:rsid w:val="00622689"/>
    <w:rsid w:val="00630CC0"/>
    <w:rsid w:val="006643B2"/>
    <w:rsid w:val="006715A7"/>
    <w:rsid w:val="00674BC5"/>
    <w:rsid w:val="006E35E9"/>
    <w:rsid w:val="006F0E2C"/>
    <w:rsid w:val="006F210B"/>
    <w:rsid w:val="0070000A"/>
    <w:rsid w:val="007368B1"/>
    <w:rsid w:val="007473EB"/>
    <w:rsid w:val="00760306"/>
    <w:rsid w:val="00764BCA"/>
    <w:rsid w:val="00782BF8"/>
    <w:rsid w:val="007B2781"/>
    <w:rsid w:val="007D5E1C"/>
    <w:rsid w:val="007E2F19"/>
    <w:rsid w:val="00815196"/>
    <w:rsid w:val="008265FA"/>
    <w:rsid w:val="00826709"/>
    <w:rsid w:val="0084250C"/>
    <w:rsid w:val="008512EF"/>
    <w:rsid w:val="008529F1"/>
    <w:rsid w:val="008608DC"/>
    <w:rsid w:val="00876843"/>
    <w:rsid w:val="008859F5"/>
    <w:rsid w:val="0089425D"/>
    <w:rsid w:val="008E2DDA"/>
    <w:rsid w:val="008E461E"/>
    <w:rsid w:val="008F6143"/>
    <w:rsid w:val="0092398B"/>
    <w:rsid w:val="00931EE5"/>
    <w:rsid w:val="00951BC4"/>
    <w:rsid w:val="00954B23"/>
    <w:rsid w:val="0095653B"/>
    <w:rsid w:val="00982724"/>
    <w:rsid w:val="0099006A"/>
    <w:rsid w:val="00996D6E"/>
    <w:rsid w:val="009A2716"/>
    <w:rsid w:val="009D283B"/>
    <w:rsid w:val="00A1566D"/>
    <w:rsid w:val="00A505C1"/>
    <w:rsid w:val="00A55ADD"/>
    <w:rsid w:val="00A90718"/>
    <w:rsid w:val="00AA4D2E"/>
    <w:rsid w:val="00AE3885"/>
    <w:rsid w:val="00B21ACE"/>
    <w:rsid w:val="00B813CF"/>
    <w:rsid w:val="00B86AE1"/>
    <w:rsid w:val="00B91845"/>
    <w:rsid w:val="00C32D65"/>
    <w:rsid w:val="00C44F61"/>
    <w:rsid w:val="00C47023"/>
    <w:rsid w:val="00C75678"/>
    <w:rsid w:val="00C849C0"/>
    <w:rsid w:val="00C9319F"/>
    <w:rsid w:val="00C94943"/>
    <w:rsid w:val="00CC686C"/>
    <w:rsid w:val="00D0452E"/>
    <w:rsid w:val="00D36201"/>
    <w:rsid w:val="00D552A7"/>
    <w:rsid w:val="00D7090C"/>
    <w:rsid w:val="00D93E1F"/>
    <w:rsid w:val="00D95707"/>
    <w:rsid w:val="00DE34CC"/>
    <w:rsid w:val="00DE62FF"/>
    <w:rsid w:val="00E21C7D"/>
    <w:rsid w:val="00E40D06"/>
    <w:rsid w:val="00E75EB3"/>
    <w:rsid w:val="00E8691B"/>
    <w:rsid w:val="00EA367A"/>
    <w:rsid w:val="00EA7BB1"/>
    <w:rsid w:val="00ED2A38"/>
    <w:rsid w:val="00ED5600"/>
    <w:rsid w:val="00ED6EC2"/>
    <w:rsid w:val="00EE455E"/>
    <w:rsid w:val="00EE5A41"/>
    <w:rsid w:val="00EF6F8F"/>
    <w:rsid w:val="00EF7EB0"/>
    <w:rsid w:val="00F3477D"/>
    <w:rsid w:val="00F500CA"/>
    <w:rsid w:val="00F726E4"/>
    <w:rsid w:val="00F72D20"/>
    <w:rsid w:val="00FC59DF"/>
    <w:rsid w:val="00FD13A5"/>
    <w:rsid w:val="00FD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EB8F66-6EE5-474A-9374-0399B5E5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11017"/>
    <w:pPr>
      <w:suppressAutoHyphens/>
    </w:pPr>
    <w:rPr>
      <w:rFonts w:ascii="Arial" w:eastAsia="Times New Roman" w:hAnsi="Arial" w:cs="Times New Roman"/>
      <w:szCs w:val="20"/>
      <w:lang w:val="en-US"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letnapovezava">
    <w:name w:val="Spletna povezava"/>
    <w:basedOn w:val="Privzetapisavaodstavka"/>
    <w:unhideWhenUsed/>
    <w:rsid w:val="008A2BE2"/>
    <w:rPr>
      <w:color w:val="0000FF" w:themeColor="hyperlink"/>
      <w:u w:val="single"/>
    </w:rPr>
  </w:style>
  <w:style w:type="character" w:customStyle="1" w:styleId="GlavaZnak">
    <w:name w:val="Glava Znak"/>
    <w:basedOn w:val="Privzetapisavaodstavka"/>
    <w:link w:val="Glava"/>
    <w:qFormat/>
    <w:rsid w:val="00711017"/>
    <w:rPr>
      <w:rFonts w:ascii=".TimesSL" w:eastAsia="Times New Roman" w:hAnsi=".TimesSL" w:cs="Times New Roman"/>
      <w:szCs w:val="20"/>
      <w:lang w:val="en-GB" w:eastAsia="ar-SA"/>
    </w:rPr>
  </w:style>
  <w:style w:type="character" w:customStyle="1" w:styleId="NogaZnak">
    <w:name w:val="Noga Znak"/>
    <w:basedOn w:val="Privzetapisavaodstavka"/>
    <w:link w:val="Noga"/>
    <w:qFormat/>
    <w:rsid w:val="00711017"/>
    <w:rPr>
      <w:rFonts w:ascii=".TimesSL" w:eastAsia="Times New Roman" w:hAnsi=".TimesSL" w:cs="Times New Roman"/>
      <w:szCs w:val="20"/>
      <w:lang w:val="en-GB" w:eastAsia="ar-SA"/>
    </w:rPr>
  </w:style>
  <w:style w:type="character" w:customStyle="1" w:styleId="BesedilooblakaZnak">
    <w:name w:val="Besedilo oblačka Znak"/>
    <w:basedOn w:val="Privzetapisavaodstavka"/>
    <w:link w:val="Besedilooblaka"/>
    <w:uiPriority w:val="99"/>
    <w:semiHidden/>
    <w:qFormat/>
    <w:rsid w:val="00711017"/>
    <w:rPr>
      <w:rFonts w:ascii="Tahoma" w:eastAsia="Times New Roman" w:hAnsi="Tahoma" w:cs="Tahoma"/>
      <w:sz w:val="16"/>
      <w:szCs w:val="16"/>
      <w:lang w:val="en-US" w:eastAsia="ar-SA"/>
    </w:rPr>
  </w:style>
  <w:style w:type="character" w:styleId="Krepko">
    <w:name w:val="Strong"/>
    <w:basedOn w:val="Privzetapisavaodstavka"/>
    <w:uiPriority w:val="22"/>
    <w:qFormat/>
    <w:rsid w:val="001525F8"/>
    <w:rPr>
      <w:b/>
      <w:bCs/>
    </w:rPr>
  </w:style>
  <w:style w:type="character" w:customStyle="1" w:styleId="ListLabel1">
    <w:name w:val="ListLabel 1"/>
    <w:qFormat/>
    <w:rsid w:val="005E6FA6"/>
    <w:rPr>
      <w:rFonts w:cs="Courier New"/>
    </w:rPr>
  </w:style>
  <w:style w:type="character" w:customStyle="1" w:styleId="ListLabel2">
    <w:name w:val="ListLabel 2"/>
    <w:qFormat/>
    <w:rsid w:val="005E6FA6"/>
    <w:rPr>
      <w:rFonts w:cs="Courier New"/>
    </w:rPr>
  </w:style>
  <w:style w:type="character" w:customStyle="1" w:styleId="ListLabel3">
    <w:name w:val="ListLabel 3"/>
    <w:qFormat/>
    <w:rsid w:val="005E6FA6"/>
    <w:rPr>
      <w:rFonts w:cs="Courier New"/>
    </w:rPr>
  </w:style>
  <w:style w:type="character" w:customStyle="1" w:styleId="ListLabel4">
    <w:name w:val="ListLabel 4"/>
    <w:qFormat/>
    <w:rsid w:val="005E6FA6"/>
    <w:rPr>
      <w:rFonts w:cs="Courier New"/>
    </w:rPr>
  </w:style>
  <w:style w:type="character" w:customStyle="1" w:styleId="ListLabel5">
    <w:name w:val="ListLabel 5"/>
    <w:qFormat/>
    <w:rsid w:val="005E6FA6"/>
    <w:rPr>
      <w:rFonts w:cs="Courier New"/>
    </w:rPr>
  </w:style>
  <w:style w:type="character" w:customStyle="1" w:styleId="ListLabel6">
    <w:name w:val="ListLabel 6"/>
    <w:qFormat/>
    <w:rsid w:val="005E6FA6"/>
    <w:rPr>
      <w:rFonts w:cs="Courier New"/>
    </w:rPr>
  </w:style>
  <w:style w:type="character" w:customStyle="1" w:styleId="ListLabel7">
    <w:name w:val="ListLabel 7"/>
    <w:qFormat/>
    <w:rsid w:val="005E6FA6"/>
    <w:rPr>
      <w:rFonts w:cs="Courier New"/>
    </w:rPr>
  </w:style>
  <w:style w:type="character" w:customStyle="1" w:styleId="ListLabel8">
    <w:name w:val="ListLabel 8"/>
    <w:qFormat/>
    <w:rsid w:val="005E6FA6"/>
    <w:rPr>
      <w:rFonts w:cs="Courier New"/>
    </w:rPr>
  </w:style>
  <w:style w:type="character" w:customStyle="1" w:styleId="ListLabel9">
    <w:name w:val="ListLabel 9"/>
    <w:qFormat/>
    <w:rsid w:val="005E6FA6"/>
    <w:rPr>
      <w:rFonts w:cs="Courier New"/>
    </w:rPr>
  </w:style>
  <w:style w:type="character" w:customStyle="1" w:styleId="ListLabel10">
    <w:name w:val="ListLabel 10"/>
    <w:qFormat/>
    <w:rsid w:val="005E6FA6"/>
    <w:rPr>
      <w:rFonts w:cs="Courier New"/>
    </w:rPr>
  </w:style>
  <w:style w:type="character" w:customStyle="1" w:styleId="ListLabel11">
    <w:name w:val="ListLabel 11"/>
    <w:qFormat/>
    <w:rsid w:val="005E6FA6"/>
    <w:rPr>
      <w:rFonts w:cs="Courier New"/>
    </w:rPr>
  </w:style>
  <w:style w:type="character" w:customStyle="1" w:styleId="ListLabel12">
    <w:name w:val="ListLabel 12"/>
    <w:qFormat/>
    <w:rsid w:val="005E6FA6"/>
    <w:rPr>
      <w:rFonts w:eastAsia="Times New Roman" w:cs="Arial"/>
    </w:rPr>
  </w:style>
  <w:style w:type="character" w:customStyle="1" w:styleId="ListLabel13">
    <w:name w:val="ListLabel 13"/>
    <w:qFormat/>
    <w:rsid w:val="005E6FA6"/>
    <w:rPr>
      <w:rFonts w:cs="Courier New"/>
    </w:rPr>
  </w:style>
  <w:style w:type="character" w:customStyle="1" w:styleId="ListLabel14">
    <w:name w:val="ListLabel 14"/>
    <w:qFormat/>
    <w:rsid w:val="005E6FA6"/>
    <w:rPr>
      <w:rFonts w:cs="Courier New"/>
    </w:rPr>
  </w:style>
  <w:style w:type="character" w:customStyle="1" w:styleId="ListLabel15">
    <w:name w:val="ListLabel 15"/>
    <w:qFormat/>
    <w:rsid w:val="005E6FA6"/>
    <w:rPr>
      <w:rFonts w:cs="Courier New"/>
    </w:rPr>
  </w:style>
  <w:style w:type="character" w:customStyle="1" w:styleId="ListLabel16">
    <w:name w:val="ListLabel 16"/>
    <w:qFormat/>
    <w:rsid w:val="005E6FA6"/>
    <w:rPr>
      <w:rFonts w:cs="Courier New"/>
    </w:rPr>
  </w:style>
  <w:style w:type="character" w:customStyle="1" w:styleId="ListLabel17">
    <w:name w:val="ListLabel 17"/>
    <w:qFormat/>
    <w:rsid w:val="005E6FA6"/>
    <w:rPr>
      <w:rFonts w:cs="Courier New"/>
    </w:rPr>
  </w:style>
  <w:style w:type="character" w:customStyle="1" w:styleId="ListLabel18">
    <w:name w:val="ListLabel 18"/>
    <w:qFormat/>
    <w:rsid w:val="005E6FA6"/>
    <w:rPr>
      <w:rFonts w:cs="Courier New"/>
    </w:rPr>
  </w:style>
  <w:style w:type="character" w:customStyle="1" w:styleId="Omemba1">
    <w:name w:val="Omemba1"/>
    <w:basedOn w:val="Privzetapisavaodstavka"/>
    <w:uiPriority w:val="99"/>
    <w:semiHidden/>
    <w:unhideWhenUsed/>
    <w:qFormat/>
    <w:rsid w:val="008A2BE2"/>
    <w:rPr>
      <w:color w:val="2B579A"/>
      <w:shd w:val="clear" w:color="auto" w:fill="E6E6E6"/>
    </w:rPr>
  </w:style>
  <w:style w:type="character" w:customStyle="1" w:styleId="ListLabel19">
    <w:name w:val="ListLabel 19"/>
    <w:qFormat/>
    <w:rsid w:val="005E6FA6"/>
    <w:rPr>
      <w:rFonts w:cs="Symbol"/>
    </w:rPr>
  </w:style>
  <w:style w:type="character" w:customStyle="1" w:styleId="ListLabel20">
    <w:name w:val="ListLabel 20"/>
    <w:qFormat/>
    <w:rsid w:val="005E6FA6"/>
    <w:rPr>
      <w:rFonts w:cs="Courier New"/>
    </w:rPr>
  </w:style>
  <w:style w:type="character" w:customStyle="1" w:styleId="ListLabel21">
    <w:name w:val="ListLabel 21"/>
    <w:qFormat/>
    <w:rsid w:val="005E6FA6"/>
    <w:rPr>
      <w:rFonts w:cs="Wingdings"/>
    </w:rPr>
  </w:style>
  <w:style w:type="character" w:customStyle="1" w:styleId="ListLabel22">
    <w:name w:val="ListLabel 22"/>
    <w:qFormat/>
    <w:rsid w:val="005E6FA6"/>
    <w:rPr>
      <w:rFonts w:cs="Symbol"/>
    </w:rPr>
  </w:style>
  <w:style w:type="character" w:customStyle="1" w:styleId="ListLabel23">
    <w:name w:val="ListLabel 23"/>
    <w:qFormat/>
    <w:rsid w:val="005E6FA6"/>
    <w:rPr>
      <w:rFonts w:cs="Courier New"/>
    </w:rPr>
  </w:style>
  <w:style w:type="character" w:customStyle="1" w:styleId="ListLabel24">
    <w:name w:val="ListLabel 24"/>
    <w:qFormat/>
    <w:rsid w:val="005E6FA6"/>
    <w:rPr>
      <w:rFonts w:cs="Wingdings"/>
    </w:rPr>
  </w:style>
  <w:style w:type="character" w:customStyle="1" w:styleId="ListLabel25">
    <w:name w:val="ListLabel 25"/>
    <w:qFormat/>
    <w:rsid w:val="005E6FA6"/>
    <w:rPr>
      <w:rFonts w:cs="Symbol"/>
    </w:rPr>
  </w:style>
  <w:style w:type="character" w:customStyle="1" w:styleId="ListLabel26">
    <w:name w:val="ListLabel 26"/>
    <w:qFormat/>
    <w:rsid w:val="005E6FA6"/>
    <w:rPr>
      <w:rFonts w:cs="Courier New"/>
    </w:rPr>
  </w:style>
  <w:style w:type="character" w:customStyle="1" w:styleId="ListLabel27">
    <w:name w:val="ListLabel 27"/>
    <w:qFormat/>
    <w:rsid w:val="005E6FA6"/>
    <w:rPr>
      <w:rFonts w:cs="Wingdings"/>
    </w:rPr>
  </w:style>
  <w:style w:type="character" w:customStyle="1" w:styleId="ListLabel28">
    <w:name w:val="ListLabel 28"/>
    <w:qFormat/>
    <w:rsid w:val="005E6FA6"/>
    <w:rPr>
      <w:rFonts w:cs="Symbol"/>
    </w:rPr>
  </w:style>
  <w:style w:type="character" w:customStyle="1" w:styleId="ListLabel29">
    <w:name w:val="ListLabel 29"/>
    <w:qFormat/>
    <w:rsid w:val="005E6FA6"/>
    <w:rPr>
      <w:rFonts w:cs="Courier New"/>
    </w:rPr>
  </w:style>
  <w:style w:type="character" w:customStyle="1" w:styleId="ListLabel30">
    <w:name w:val="ListLabel 30"/>
    <w:qFormat/>
    <w:rsid w:val="005E6FA6"/>
    <w:rPr>
      <w:rFonts w:cs="Wingdings"/>
    </w:rPr>
  </w:style>
  <w:style w:type="character" w:customStyle="1" w:styleId="ListLabel31">
    <w:name w:val="ListLabel 31"/>
    <w:qFormat/>
    <w:rsid w:val="005E6FA6"/>
    <w:rPr>
      <w:rFonts w:cs="Symbol"/>
    </w:rPr>
  </w:style>
  <w:style w:type="character" w:customStyle="1" w:styleId="ListLabel32">
    <w:name w:val="ListLabel 32"/>
    <w:qFormat/>
    <w:rsid w:val="005E6FA6"/>
    <w:rPr>
      <w:rFonts w:cs="Courier New"/>
    </w:rPr>
  </w:style>
  <w:style w:type="character" w:customStyle="1" w:styleId="ListLabel33">
    <w:name w:val="ListLabel 33"/>
    <w:qFormat/>
    <w:rsid w:val="005E6FA6"/>
    <w:rPr>
      <w:rFonts w:cs="Wingdings"/>
    </w:rPr>
  </w:style>
  <w:style w:type="character" w:customStyle="1" w:styleId="ListLabel34">
    <w:name w:val="ListLabel 34"/>
    <w:qFormat/>
    <w:rsid w:val="005E6FA6"/>
    <w:rPr>
      <w:rFonts w:cs="Symbol"/>
    </w:rPr>
  </w:style>
  <w:style w:type="character" w:customStyle="1" w:styleId="ListLabel35">
    <w:name w:val="ListLabel 35"/>
    <w:qFormat/>
    <w:rsid w:val="005E6FA6"/>
    <w:rPr>
      <w:rFonts w:cs="Courier New"/>
    </w:rPr>
  </w:style>
  <w:style w:type="character" w:customStyle="1" w:styleId="ListLabel36">
    <w:name w:val="ListLabel 36"/>
    <w:qFormat/>
    <w:rsid w:val="005E6FA6"/>
    <w:rPr>
      <w:rFonts w:cs="Wingdings"/>
    </w:rPr>
  </w:style>
  <w:style w:type="character" w:customStyle="1" w:styleId="ListLabel37">
    <w:name w:val="ListLabel 37"/>
    <w:qFormat/>
    <w:rsid w:val="005E6FA6"/>
    <w:rPr>
      <w:rFonts w:cs="Courier New"/>
    </w:rPr>
  </w:style>
  <w:style w:type="character" w:customStyle="1" w:styleId="ListLabel38">
    <w:name w:val="ListLabel 38"/>
    <w:qFormat/>
    <w:rsid w:val="005E6FA6"/>
    <w:rPr>
      <w:rFonts w:cs="Courier New"/>
    </w:rPr>
  </w:style>
  <w:style w:type="character" w:customStyle="1" w:styleId="ListLabel39">
    <w:name w:val="ListLabel 39"/>
    <w:qFormat/>
    <w:rsid w:val="005E6FA6"/>
    <w:rPr>
      <w:rFonts w:cs="Courier New"/>
    </w:rPr>
  </w:style>
  <w:style w:type="paragraph" w:styleId="Naslov">
    <w:name w:val="Title"/>
    <w:basedOn w:val="Navaden"/>
    <w:next w:val="Telobesedila"/>
    <w:qFormat/>
    <w:rsid w:val="005E6FA6"/>
    <w:pPr>
      <w:keepNext/>
      <w:spacing w:before="240" w:after="120"/>
    </w:pPr>
    <w:rPr>
      <w:rFonts w:ascii="Liberation Sans" w:eastAsia="Microsoft YaHei" w:hAnsi="Liberation Sans" w:cs="Arial"/>
      <w:sz w:val="28"/>
      <w:szCs w:val="28"/>
    </w:rPr>
  </w:style>
  <w:style w:type="paragraph" w:styleId="Telobesedila">
    <w:name w:val="Body Text"/>
    <w:basedOn w:val="Navaden"/>
    <w:rsid w:val="005E6FA6"/>
    <w:pPr>
      <w:spacing w:after="140" w:line="288" w:lineRule="auto"/>
    </w:pPr>
  </w:style>
  <w:style w:type="paragraph" w:styleId="Seznam">
    <w:name w:val="List"/>
    <w:basedOn w:val="Telobesedila"/>
    <w:rsid w:val="005E6FA6"/>
    <w:rPr>
      <w:rFonts w:cs="Arial"/>
    </w:rPr>
  </w:style>
  <w:style w:type="paragraph" w:styleId="Napis">
    <w:name w:val="caption"/>
    <w:basedOn w:val="Navaden"/>
    <w:qFormat/>
    <w:rsid w:val="005E6FA6"/>
    <w:pPr>
      <w:suppressLineNumbers/>
      <w:spacing w:before="120" w:after="120"/>
    </w:pPr>
    <w:rPr>
      <w:rFonts w:cs="Arial"/>
      <w:i/>
      <w:iCs/>
      <w:sz w:val="24"/>
      <w:szCs w:val="24"/>
    </w:rPr>
  </w:style>
  <w:style w:type="paragraph" w:customStyle="1" w:styleId="Kazalo">
    <w:name w:val="Kazalo"/>
    <w:basedOn w:val="Navaden"/>
    <w:qFormat/>
    <w:rsid w:val="005E6FA6"/>
    <w:pPr>
      <w:suppressLineNumbers/>
    </w:pPr>
    <w:rPr>
      <w:rFonts w:cs="Arial"/>
    </w:rPr>
  </w:style>
  <w:style w:type="paragraph" w:styleId="Glava">
    <w:name w:val="header"/>
    <w:basedOn w:val="Navaden"/>
    <w:link w:val="GlavaZnak"/>
    <w:rsid w:val="00711017"/>
    <w:pPr>
      <w:tabs>
        <w:tab w:val="center" w:pos="4320"/>
        <w:tab w:val="right" w:pos="8640"/>
      </w:tabs>
      <w:jc w:val="both"/>
    </w:pPr>
    <w:rPr>
      <w:rFonts w:ascii=".TimesSL" w:hAnsi=".TimesSL"/>
      <w:lang w:val="en-GB"/>
    </w:rPr>
  </w:style>
  <w:style w:type="paragraph" w:styleId="Noga">
    <w:name w:val="footer"/>
    <w:basedOn w:val="Navaden"/>
    <w:link w:val="NogaZnak"/>
    <w:rsid w:val="00711017"/>
    <w:pPr>
      <w:tabs>
        <w:tab w:val="center" w:pos="4320"/>
        <w:tab w:val="right" w:pos="8640"/>
      </w:tabs>
      <w:jc w:val="both"/>
    </w:pPr>
    <w:rPr>
      <w:rFonts w:ascii=".TimesSL" w:hAnsi=".TimesSL"/>
      <w:lang w:val="en-GB"/>
    </w:rPr>
  </w:style>
  <w:style w:type="paragraph" w:styleId="Odstavekseznama">
    <w:name w:val="List Paragraph"/>
    <w:basedOn w:val="Navaden"/>
    <w:uiPriority w:val="34"/>
    <w:qFormat/>
    <w:rsid w:val="00711017"/>
    <w:pPr>
      <w:ind w:left="720"/>
      <w:contextualSpacing/>
    </w:pPr>
  </w:style>
  <w:style w:type="paragraph" w:styleId="Besedilooblaka">
    <w:name w:val="Balloon Text"/>
    <w:basedOn w:val="Navaden"/>
    <w:link w:val="BesedilooblakaZnak"/>
    <w:uiPriority w:val="99"/>
    <w:semiHidden/>
    <w:unhideWhenUsed/>
    <w:qFormat/>
    <w:rsid w:val="00711017"/>
    <w:rPr>
      <w:rFonts w:ascii="Tahoma" w:hAnsi="Tahoma" w:cs="Tahoma"/>
      <w:sz w:val="16"/>
      <w:szCs w:val="16"/>
    </w:rPr>
  </w:style>
  <w:style w:type="paragraph" w:styleId="Navadensplet">
    <w:name w:val="Normal (Web)"/>
    <w:basedOn w:val="Navaden"/>
    <w:uiPriority w:val="99"/>
    <w:unhideWhenUsed/>
    <w:qFormat/>
    <w:rsid w:val="001525F8"/>
    <w:pPr>
      <w:suppressAutoHyphens w:val="0"/>
      <w:spacing w:beforeAutospacing="1" w:afterAutospacing="1"/>
    </w:pPr>
    <w:rPr>
      <w:rFonts w:ascii="Times New Roman" w:hAnsi="Times New Roman"/>
      <w:sz w:val="24"/>
      <w:szCs w:val="24"/>
      <w:lang w:val="sl-SI" w:eastAsia="sl-SI"/>
    </w:rPr>
  </w:style>
  <w:style w:type="table" w:styleId="Tabelamrea">
    <w:name w:val="Table Grid"/>
    <w:basedOn w:val="Navadnatabela"/>
    <w:uiPriority w:val="59"/>
    <w:rsid w:val="0003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8F6143"/>
    <w:rPr>
      <w:sz w:val="16"/>
      <w:szCs w:val="16"/>
    </w:rPr>
  </w:style>
  <w:style w:type="paragraph" w:styleId="Pripombabesedilo">
    <w:name w:val="annotation text"/>
    <w:basedOn w:val="Navaden"/>
    <w:link w:val="PripombabesediloZnak"/>
    <w:uiPriority w:val="99"/>
    <w:semiHidden/>
    <w:unhideWhenUsed/>
    <w:rsid w:val="008F6143"/>
    <w:rPr>
      <w:sz w:val="20"/>
    </w:rPr>
  </w:style>
  <w:style w:type="character" w:customStyle="1" w:styleId="PripombabesediloZnak">
    <w:name w:val="Pripomba – besedilo Znak"/>
    <w:basedOn w:val="Privzetapisavaodstavka"/>
    <w:link w:val="Pripombabesedilo"/>
    <w:uiPriority w:val="99"/>
    <w:semiHidden/>
    <w:rsid w:val="008F6143"/>
    <w:rPr>
      <w:rFonts w:ascii="Arial" w:eastAsia="Times New Roman" w:hAnsi="Arial" w:cs="Times New Roman"/>
      <w:sz w:val="20"/>
      <w:szCs w:val="20"/>
      <w:lang w:val="en-US" w:eastAsia="ar-SA"/>
    </w:rPr>
  </w:style>
  <w:style w:type="character" w:styleId="Hiperpovezava">
    <w:name w:val="Hyperlink"/>
    <w:basedOn w:val="Privzetapisavaodstavka"/>
    <w:unhideWhenUsed/>
    <w:rsid w:val="0084250C"/>
    <w:rPr>
      <w:color w:val="0000FF" w:themeColor="hyperlink"/>
      <w:u w:val="single"/>
    </w:rPr>
  </w:style>
  <w:style w:type="character" w:customStyle="1" w:styleId="apple-converted-space">
    <w:name w:val="apple-converted-space"/>
    <w:basedOn w:val="Privzetapisavaodstavka"/>
    <w:rsid w:val="006E35E9"/>
  </w:style>
  <w:style w:type="character" w:styleId="Poudarek">
    <w:name w:val="Emphasis"/>
    <w:basedOn w:val="Privzetapisavaodstavka"/>
    <w:uiPriority w:val="20"/>
    <w:qFormat/>
    <w:rsid w:val="006E3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70508">
      <w:bodyDiv w:val="1"/>
      <w:marLeft w:val="0"/>
      <w:marRight w:val="0"/>
      <w:marTop w:val="0"/>
      <w:marBottom w:val="0"/>
      <w:divBdr>
        <w:top w:val="none" w:sz="0" w:space="0" w:color="auto"/>
        <w:left w:val="none" w:sz="0" w:space="0" w:color="auto"/>
        <w:bottom w:val="none" w:sz="0" w:space="0" w:color="auto"/>
        <w:right w:val="none" w:sz="0" w:space="0" w:color="auto"/>
      </w:divBdr>
    </w:div>
    <w:div w:id="1715039987">
      <w:bodyDiv w:val="1"/>
      <w:marLeft w:val="0"/>
      <w:marRight w:val="0"/>
      <w:marTop w:val="0"/>
      <w:marBottom w:val="0"/>
      <w:divBdr>
        <w:top w:val="none" w:sz="0" w:space="0" w:color="auto"/>
        <w:left w:val="none" w:sz="0" w:space="0" w:color="auto"/>
        <w:bottom w:val="none" w:sz="0" w:space="0" w:color="auto"/>
        <w:right w:val="none" w:sz="0" w:space="0" w:color="auto"/>
      </w:divBdr>
    </w:div>
    <w:div w:id="181884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angelsyndicate.com" TargetMode="External"/><Relationship Id="rId3" Type="http://schemas.openxmlformats.org/officeDocument/2006/relationships/settings" Target="settings.xml"/><Relationship Id="rId7" Type="http://schemas.openxmlformats.org/officeDocument/2006/relationships/hyperlink" Target="mailto:nick@greenangelsyndica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2376</Words>
  <Characters>13545</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pip</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pip3</dc:creator>
  <cp:lastModifiedBy>Tea Potocnik</cp:lastModifiedBy>
  <cp:revision>2</cp:revision>
  <cp:lastPrinted>2017-05-07T16:20:00Z</cp:lastPrinted>
  <dcterms:created xsi:type="dcterms:W3CDTF">2017-11-13T08:26:00Z</dcterms:created>
  <dcterms:modified xsi:type="dcterms:W3CDTF">2017-11-13T08:26:00Z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