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8115" w14:textId="4A83886D" w:rsidR="009657AB" w:rsidRDefault="009657AB" w:rsidP="009657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666B6C"/>
          <w:lang w:eastAsia="en-GB"/>
        </w:rPr>
      </w:pPr>
      <w:r w:rsidRPr="009657AB">
        <w:rPr>
          <w:rFonts w:ascii="Arial" w:eastAsia="Times New Roman" w:hAnsi="Arial" w:cs="Arial"/>
          <w:b/>
          <w:bCs/>
          <w:i/>
          <w:iCs/>
          <w:color w:val="666B6C"/>
          <w:lang w:eastAsia="en-GB"/>
        </w:rPr>
        <w:t>March 9, 2018</w:t>
      </w:r>
    </w:p>
    <w:p w14:paraId="33159929" w14:textId="77777777" w:rsidR="009657AB" w:rsidRPr="009657AB" w:rsidRDefault="009657AB" w:rsidP="009657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666B6C"/>
          <w:lang w:eastAsia="en-GB"/>
        </w:rPr>
      </w:pPr>
    </w:p>
    <w:p w14:paraId="0CD4CBB0" w14:textId="5EA19262" w:rsidR="009657AB" w:rsidRDefault="009657AB" w:rsidP="009657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en-GB"/>
        </w:rPr>
      </w:pPr>
      <w:hyperlink r:id="rId5" w:tooltip="The waste workshop of the TRIS project has the participation of 3 General Managers" w:history="1">
        <w:r w:rsidRPr="009657AB">
          <w:rPr>
            <w:rFonts w:ascii="Times New Roman" w:eastAsia="Times New Roman" w:hAnsi="Times New Roman" w:cs="Times New Roman"/>
            <w:b/>
            <w:bCs/>
            <w:color w:val="0189AE"/>
            <w:sz w:val="53"/>
            <w:szCs w:val="53"/>
            <w:u w:val="single"/>
            <w:lang w:eastAsia="en-GB"/>
          </w:rPr>
          <w:t>The waste workshop of the TRIS project has the participation of 3 General Managers</w:t>
        </w:r>
      </w:hyperlink>
    </w:p>
    <w:p w14:paraId="7779A74B" w14:textId="77777777" w:rsidR="009657AB" w:rsidRPr="009657AB" w:rsidRDefault="009657AB" w:rsidP="009657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en-GB"/>
        </w:rPr>
      </w:pPr>
    </w:p>
    <w:p w14:paraId="4A6F7712" w14:textId="70B6892A" w:rsid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On the 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26/02/2018 </w:t>
      </w: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a 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fourth workshop </w:t>
      </w: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took place to explore 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the project, which was dedicated to a key theme in the Industrial Symbiosis (</w:t>
      </w: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t>IS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) the reuse and recycling of waste. In effect, the use of waste from a company or companies act as a raw material or entry resource for other activities </w:t>
      </w: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and 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subject to conditions the workshop sought to clarify</w:t>
      </w: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 these areas. 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 </w:t>
      </w:r>
    </w:p>
    <w:p w14:paraId="4313EF7B" w14:textId="77777777" w:rsid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</w:p>
    <w:p w14:paraId="5A96D63C" w14:textId="3137C1D6" w:rsid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For this it counted on the participation of agents involved in the waste cycle: administration, research entities (IVIA, AIDIMME), large waste producers, chamber of commerce, waste managers and local entities.</w:t>
      </w:r>
    </w:p>
    <w:p w14:paraId="43565AB3" w14:textId="77777777" w:rsidR="009657AB" w:rsidRP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</w:p>
    <w:p w14:paraId="67A59795" w14:textId="40508993" w:rsid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General Director of Economy </w:t>
      </w: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began by 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remembering the term sustainability consists of an intersection of three spheres: economic, social and environmental, and therefore</w:t>
      </w: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 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IS should take into account these three facets when deploying the set of activities</w:t>
      </w: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 </w:t>
      </w:r>
      <w:r w:rsidR="00570AF1"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incentives,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 the Regional Plan seeks.</w:t>
      </w:r>
    </w:p>
    <w:p w14:paraId="1E4D7FA1" w14:textId="77777777" w:rsidR="009657AB" w:rsidRP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</w:p>
    <w:p w14:paraId="56B51C86" w14:textId="77777777" w:rsidR="009657AB" w:rsidRP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 w:rsidRPr="009657AB">
        <w:rPr>
          <w:rFonts w:ascii="Arial" w:eastAsia="Times New Roman" w:hAnsi="Arial" w:cs="Arial"/>
          <w:noProof/>
          <w:color w:val="0189AE"/>
          <w:sz w:val="29"/>
          <w:szCs w:val="29"/>
          <w:lang w:eastAsia="en-GB"/>
        </w:rPr>
        <w:drawing>
          <wp:inline distT="0" distB="0" distL="0" distR="0" wp14:anchorId="15F71EB4" wp14:editId="44619E1B">
            <wp:extent cx="6000750" cy="2628900"/>
            <wp:effectExtent l="0" t="0" r="0" b="0"/>
            <wp:docPr id="20" name="Picture 20" descr="tris-directors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ris-directors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EFE95" w14:textId="77777777" w:rsid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</w:p>
    <w:p w14:paraId="4CEBB97D" w14:textId="77777777" w:rsid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</w:p>
    <w:p w14:paraId="7D142202" w14:textId="42E20166" w:rsid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lastRenderedPageBreak/>
        <w:t>A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 presentation </w:t>
      </w: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was produced considering 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the </w:t>
      </w:r>
      <w:r w:rsidR="00570AF1"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status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 of the recovery or use of waste against disposal in landfill</w:t>
      </w: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. An example was provided </w:t>
      </w:r>
      <w:r w:rsidR="00570AF1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in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 the case of agro-food waste exposed by Rodolfo Canet</w:t>
      </w: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,  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 in the framework of a LIFE Project exposed by AIDIMME.</w:t>
      </w:r>
    </w:p>
    <w:p w14:paraId="1BCF2E79" w14:textId="77777777" w:rsidR="009657AB" w:rsidRP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</w:p>
    <w:p w14:paraId="0869A50F" w14:textId="77777777" w:rsidR="009657AB" w:rsidRP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 w:rsidRPr="009657AB">
        <w:rPr>
          <w:rFonts w:ascii="Arial" w:eastAsia="Times New Roman" w:hAnsi="Arial" w:cs="Arial"/>
          <w:noProof/>
          <w:color w:val="0189AE"/>
          <w:sz w:val="29"/>
          <w:szCs w:val="29"/>
          <w:lang w:eastAsia="en-GB"/>
        </w:rPr>
        <w:drawing>
          <wp:inline distT="0" distB="0" distL="0" distR="0" wp14:anchorId="6FFB4CEB" wp14:editId="16C2CEC8">
            <wp:extent cx="6000750" cy="3124200"/>
            <wp:effectExtent l="0" t="0" r="0" b="0"/>
            <wp:docPr id="21" name="Picture 21" descr="tris-directors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ris-directors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B1B76" w14:textId="77777777" w:rsid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</w:p>
    <w:p w14:paraId="3AEAB1AC" w14:textId="04A828CE" w:rsid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The Director General of Canvi Climátic went on to describe the legislative framework linked to waste and by-products - contextualizing it in the operational scope of the National Circular Economy Strategy - as well as its foreseeable evolution, based on the initiatives already underwa</w:t>
      </w: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y. The 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EU are trying to modify several directives that present common interests in the matter of recycling: such as landfills, waste framework, packaging, et</w:t>
      </w: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t>c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. </w:t>
      </w:r>
    </w:p>
    <w:p w14:paraId="49661FBD" w14:textId="77777777" w:rsid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</w:p>
    <w:p w14:paraId="57EDED84" w14:textId="6DDC7232" w:rsid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Special emphasis was placed on the Ministry's initiatives for the declaration of "end of the condition of waste", as well as the sectoral interests / actions that may lead to the classification of certain waste as "by-products". This intervention served as the basis for the session to identify barriers in the use of waste.</w:t>
      </w:r>
    </w:p>
    <w:p w14:paraId="3D15CE84" w14:textId="77777777" w:rsidR="009657AB" w:rsidRP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</w:p>
    <w:p w14:paraId="5DBDBC37" w14:textId="3C83FE4E" w:rsid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It exposed the vicissitudes of a company for the use of a waste as a marketable product (SRG), the views that a waste manager (ACTECO), an association of managers (AGENOPE), and a municipality (Xilxes) have about of the generation and reuse of </w:t>
      </w:r>
      <w:r w:rsidR="00570AF1"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waste and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 updated the situation of the stock of by-products by the Chamber of Commerce of Valencia.</w:t>
      </w:r>
    </w:p>
    <w:p w14:paraId="0FD87025" w14:textId="77777777" w:rsidR="009657AB" w:rsidRP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</w:p>
    <w:p w14:paraId="52EA6CF6" w14:textId="77777777" w:rsidR="009657AB" w:rsidRP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The ideas discussed were included in an initial DAFO of the implementation of the industrial symbiosis that will circulate to all attendees for qualification, modification or complementation.</w:t>
      </w:r>
    </w:p>
    <w:p w14:paraId="724B378A" w14:textId="77777777" w:rsid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</w:p>
    <w:p w14:paraId="7BA88C00" w14:textId="77777777" w:rsidR="00570AF1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At the end of the workshop the approach for the implementation of the regional industrial symbiosis plan was briefly described, based on a sector study in which AIDIMME and IVACE are currently working and in the eventual realization of pilot tests throughout 2018</w:t>
      </w:r>
      <w:r w:rsidR="00570AF1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.</w:t>
      </w:r>
    </w:p>
    <w:p w14:paraId="5637D761" w14:textId="77777777" w:rsidR="00570AF1" w:rsidRDefault="00570AF1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</w:p>
    <w:p w14:paraId="0662F130" w14:textId="1A9EDDBF" w:rsid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It is intended the development of incentive measures take place in 2019, in areas such as matching the interests of companies, intermediation in industrial areas, feasibility studies prior to R &amp; D activities and the implementation actions themselves</w:t>
      </w:r>
      <w:r w:rsidR="00570AF1"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, </w:t>
      </w: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carried out in the cooperation modality.</w:t>
      </w:r>
    </w:p>
    <w:p w14:paraId="43317770" w14:textId="77777777" w:rsidR="009657AB" w:rsidRP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 </w:t>
      </w:r>
    </w:p>
    <w:p w14:paraId="5BBFEE29" w14:textId="5BAD9F9C" w:rsidR="009657AB" w:rsidRDefault="009657AB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iCs/>
          <w:color w:val="494A4B"/>
          <w:sz w:val="29"/>
          <w:szCs w:val="29"/>
          <w:lang w:eastAsia="en-GB"/>
        </w:rPr>
      </w:pPr>
      <w:r w:rsidRPr="009657AB">
        <w:rPr>
          <w:rFonts w:ascii="Arial" w:eastAsia="Times New Roman" w:hAnsi="Arial" w:cs="Arial"/>
          <w:i/>
          <w:iCs/>
          <w:color w:val="494A4B"/>
          <w:sz w:val="29"/>
          <w:szCs w:val="29"/>
          <w:lang w:eastAsia="en-GB"/>
        </w:rPr>
        <w:t>The Interreg TRIS project advances in the elaboration of an action plan in Industrial Symbiosis, through an interregional cooperation approach:</w:t>
      </w:r>
    </w:p>
    <w:p w14:paraId="2ED0F87E" w14:textId="77777777" w:rsidR="00570AF1" w:rsidRPr="009657AB" w:rsidRDefault="00570AF1" w:rsidP="009657A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</w:p>
    <w:p w14:paraId="6D207901" w14:textId="77777777" w:rsidR="009657AB" w:rsidRPr="009657AB" w:rsidRDefault="009657AB" w:rsidP="009657A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 w:rsidRPr="009657AB">
        <w:rPr>
          <w:rFonts w:ascii="Arial" w:eastAsia="Times New Roman" w:hAnsi="Arial" w:cs="Arial"/>
          <w:i/>
          <w:iCs/>
          <w:color w:val="494A4B"/>
          <w:sz w:val="29"/>
          <w:szCs w:val="29"/>
          <w:lang w:eastAsia="en-GB"/>
        </w:rPr>
        <w:t>Involving the actors involved in a structured participatory process</w:t>
      </w:r>
    </w:p>
    <w:p w14:paraId="11CEFA9A" w14:textId="77777777" w:rsidR="009657AB" w:rsidRPr="009657AB" w:rsidRDefault="009657AB" w:rsidP="009657A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 w:rsidRPr="009657AB">
        <w:rPr>
          <w:rFonts w:ascii="Arial" w:eastAsia="Times New Roman" w:hAnsi="Arial" w:cs="Arial"/>
          <w:i/>
          <w:iCs/>
          <w:color w:val="494A4B"/>
          <w:sz w:val="29"/>
          <w:szCs w:val="29"/>
          <w:lang w:eastAsia="en-GB"/>
        </w:rPr>
        <w:t>Identifying both facilitating elements and obstacles to their integration or elimination of the corresponding policies.</w:t>
      </w:r>
    </w:p>
    <w:p w14:paraId="4C709453" w14:textId="296F3434" w:rsidR="009657AB" w:rsidRPr="00570AF1" w:rsidRDefault="009657AB" w:rsidP="009657A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 w:rsidRPr="009657AB">
        <w:rPr>
          <w:rFonts w:ascii="Arial" w:eastAsia="Times New Roman" w:hAnsi="Arial" w:cs="Arial"/>
          <w:i/>
          <w:iCs/>
          <w:color w:val="494A4B"/>
          <w:sz w:val="29"/>
          <w:szCs w:val="29"/>
          <w:lang w:eastAsia="en-GB"/>
        </w:rPr>
        <w:t>Launches </w:t>
      </w:r>
      <w:r w:rsidR="00570AF1" w:rsidRPr="009657AB">
        <w:rPr>
          <w:rFonts w:ascii="Arial" w:eastAsia="Times New Roman" w:hAnsi="Arial" w:cs="Arial"/>
          <w:i/>
          <w:iCs/>
          <w:color w:val="494A4B"/>
          <w:sz w:val="29"/>
          <w:szCs w:val="29"/>
          <w:lang w:eastAsia="en-GB"/>
        </w:rPr>
        <w:t>NDO initiatives </w:t>
      </w:r>
      <w:r w:rsidR="00570AF1"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tangible</w:t>
      </w:r>
      <w:r w:rsidR="00570AF1" w:rsidRPr="009657AB">
        <w:rPr>
          <w:rFonts w:ascii="Arial" w:eastAsia="Times New Roman" w:hAnsi="Arial" w:cs="Arial"/>
          <w:i/>
          <w:iCs/>
          <w:color w:val="494A4B"/>
          <w:sz w:val="29"/>
          <w:szCs w:val="29"/>
          <w:lang w:eastAsia="en-GB"/>
        </w:rPr>
        <w:t> </w:t>
      </w:r>
      <w:r w:rsidR="00570AF1" w:rsidRPr="009657AB">
        <w:rPr>
          <w:rFonts w:ascii="Arial" w:eastAsia="Times New Roman" w:hAnsi="Arial" w:cs="Arial"/>
          <w:color w:val="494A4B"/>
          <w:sz w:val="29"/>
          <w:szCs w:val="29"/>
          <w:lang w:eastAsia="en-GB"/>
        </w:rPr>
        <w:t>to</w:t>
      </w:r>
      <w:r w:rsidRPr="009657AB">
        <w:rPr>
          <w:rFonts w:ascii="Arial" w:eastAsia="Times New Roman" w:hAnsi="Arial" w:cs="Arial"/>
          <w:i/>
          <w:iCs/>
          <w:color w:val="494A4B"/>
          <w:sz w:val="29"/>
          <w:szCs w:val="29"/>
          <w:lang w:eastAsia="en-GB"/>
        </w:rPr>
        <w:t xml:space="preserve"> reach SMEs.</w:t>
      </w:r>
    </w:p>
    <w:p w14:paraId="2A328941" w14:textId="6FC85EB3" w:rsidR="00570AF1" w:rsidRDefault="00570AF1" w:rsidP="00570AF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</w:p>
    <w:p w14:paraId="74E5DBEE" w14:textId="30AE7C3E" w:rsidR="00570AF1" w:rsidRPr="009657AB" w:rsidRDefault="00570AF1" w:rsidP="00570AF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94A4B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494A4B"/>
          <w:sz w:val="29"/>
          <w:szCs w:val="29"/>
          <w:lang w:eastAsia="en-GB"/>
        </w:rPr>
        <w:t xml:space="preserve">Please follow the link to read the full article - </w:t>
      </w:r>
      <w:hyperlink r:id="rId10" w:history="1">
        <w:r w:rsidRPr="00570AF1">
          <w:rPr>
            <w:rStyle w:val="Hyperlink"/>
            <w:rFonts w:ascii="Arial" w:eastAsia="Times New Roman" w:hAnsi="Arial" w:cs="Arial"/>
            <w:sz w:val="29"/>
            <w:szCs w:val="29"/>
            <w:lang w:eastAsia="en-GB"/>
          </w:rPr>
          <w:t>http://www.noticiashabitat.com/2018/el-taller-de-residuos-del-proyecto-tris-cuenta-con-la-participacion-de-3-directores-generales/</w:t>
        </w:r>
      </w:hyperlink>
      <w:bookmarkStart w:id="0" w:name="_GoBack"/>
      <w:bookmarkEnd w:id="0"/>
    </w:p>
    <w:p w14:paraId="72E226AC" w14:textId="77777777" w:rsidR="009657AB" w:rsidRDefault="009657AB"/>
    <w:sectPr w:rsidR="00965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2366E"/>
    <w:multiLevelType w:val="multilevel"/>
    <w:tmpl w:val="D508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AB"/>
    <w:rsid w:val="00570AF1"/>
    <w:rsid w:val="009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E923"/>
  <w15:chartTrackingRefBased/>
  <w15:docId w15:val="{ED88FA4F-D166-4A40-B85A-37A82388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iciashabitat.com/wp-content/uploads/sites/8/2018/03/tris-directores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iciashabitat.com/wp-content/uploads/sites/8/2018/03/tris-directores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ticiashabitat.com/2018/el-taller-de-residuos-del-proyecto-tris-cuenta-con-la-participacion-de-3-directores-generales/" TargetMode="External"/><Relationship Id="rId10" Type="http://schemas.openxmlformats.org/officeDocument/2006/relationships/hyperlink" Target="http://www.noticiashabitat.com/2018/el-taller-de-residuos-del-proyecto-tris-cuenta-con-la-participacion-de-3-directores-genera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Yorke</dc:creator>
  <cp:keywords/>
  <dc:description/>
  <cp:lastModifiedBy>Mandy Yorke</cp:lastModifiedBy>
  <cp:revision>1</cp:revision>
  <dcterms:created xsi:type="dcterms:W3CDTF">2018-06-22T07:39:00Z</dcterms:created>
  <dcterms:modified xsi:type="dcterms:W3CDTF">2018-06-22T07:54:00Z</dcterms:modified>
</cp:coreProperties>
</file>