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BDB0" w14:textId="65A300E8" w:rsidR="00990096" w:rsidRPr="00990096" w:rsidRDefault="00990096">
      <w:pPr>
        <w:rPr>
          <w:b/>
          <w:bCs/>
          <w:sz w:val="32"/>
          <w:szCs w:val="32"/>
        </w:rPr>
      </w:pPr>
      <w:r w:rsidRPr="00990096">
        <w:rPr>
          <w:b/>
          <w:bCs/>
          <w:sz w:val="32"/>
          <w:szCs w:val="32"/>
        </w:rPr>
        <w:t xml:space="preserve">Partner </w:t>
      </w:r>
      <w:proofErr w:type="spellStart"/>
      <w:r w:rsidRPr="00990096">
        <w:rPr>
          <w:b/>
          <w:bCs/>
          <w:sz w:val="32"/>
          <w:szCs w:val="32"/>
        </w:rPr>
        <w:t>search</w:t>
      </w:r>
      <w:proofErr w:type="spellEnd"/>
    </w:p>
    <w:tbl>
      <w:tblPr>
        <w:tblStyle w:val="Tabela-Siatka"/>
        <w:tblW w:w="10207" w:type="dxa"/>
        <w:tblInd w:w="-431" w:type="dxa"/>
        <w:tblLook w:val="04A0" w:firstRow="1" w:lastRow="0" w:firstColumn="1" w:lastColumn="0" w:noHBand="0" w:noVBand="1"/>
      </w:tblPr>
      <w:tblGrid>
        <w:gridCol w:w="1844"/>
        <w:gridCol w:w="8363"/>
      </w:tblGrid>
      <w:tr w:rsidR="006A70FE" w:rsidRPr="00C502E3" w14:paraId="452AE0D5" w14:textId="77777777" w:rsidTr="00AB7E81">
        <w:trPr>
          <w:trHeight w:val="411"/>
        </w:trPr>
        <w:tc>
          <w:tcPr>
            <w:tcW w:w="1844" w:type="dxa"/>
          </w:tcPr>
          <w:p w14:paraId="316A0097" w14:textId="23A33137" w:rsidR="006A70FE" w:rsidRPr="00C502E3" w:rsidRDefault="006A70FE">
            <w:pPr>
              <w:rPr>
                <w:rFonts w:cstheme="minorHAnsi"/>
                <w:b/>
                <w:bCs/>
                <w:lang w:val="en-GB"/>
              </w:rPr>
            </w:pPr>
            <w:r w:rsidRPr="00C502E3">
              <w:rPr>
                <w:rFonts w:cstheme="minorHAnsi"/>
                <w:b/>
                <w:bCs/>
                <w:lang w:val="en-GB"/>
              </w:rPr>
              <w:t>Program</w:t>
            </w:r>
            <w:r w:rsidR="00A36D65" w:rsidRPr="00C502E3">
              <w:rPr>
                <w:rFonts w:cstheme="minorHAnsi"/>
                <w:b/>
                <w:bCs/>
                <w:lang w:val="en-GB"/>
              </w:rPr>
              <w:t>me</w:t>
            </w:r>
          </w:p>
        </w:tc>
        <w:tc>
          <w:tcPr>
            <w:tcW w:w="8363" w:type="dxa"/>
          </w:tcPr>
          <w:p w14:paraId="4AA55E99" w14:textId="34041081" w:rsidR="006A70FE" w:rsidRPr="00C502E3" w:rsidRDefault="00836E67" w:rsidP="00FC250C">
            <w:pPr>
              <w:jc w:val="both"/>
              <w:rPr>
                <w:rFonts w:cstheme="minorHAnsi"/>
                <w:lang w:val="en-GB"/>
              </w:rPr>
            </w:pPr>
            <w:r w:rsidRPr="00C502E3">
              <w:rPr>
                <w:rFonts w:cstheme="minorHAnsi"/>
                <w:lang w:val="en-GB"/>
              </w:rPr>
              <w:t xml:space="preserve">INTERREG </w:t>
            </w:r>
            <w:r w:rsidR="00D873E8" w:rsidRPr="00C502E3">
              <w:rPr>
                <w:rFonts w:cstheme="minorHAnsi"/>
                <w:lang w:val="en-GB"/>
              </w:rPr>
              <w:t>Europ</w:t>
            </w:r>
            <w:r w:rsidR="007E01A8" w:rsidRPr="00C502E3">
              <w:rPr>
                <w:rFonts w:cstheme="minorHAnsi"/>
                <w:lang w:val="en-GB"/>
              </w:rPr>
              <w:t>e</w:t>
            </w:r>
          </w:p>
        </w:tc>
      </w:tr>
      <w:tr w:rsidR="00EF130D" w:rsidRPr="00C502E3" w14:paraId="0EB5344B" w14:textId="77777777" w:rsidTr="00AB7E81">
        <w:trPr>
          <w:trHeight w:val="411"/>
        </w:trPr>
        <w:tc>
          <w:tcPr>
            <w:tcW w:w="1844" w:type="dxa"/>
          </w:tcPr>
          <w:p w14:paraId="5E8F7200" w14:textId="31C2A159" w:rsidR="00EF130D" w:rsidRPr="00C502E3" w:rsidRDefault="00EF130D">
            <w:pPr>
              <w:rPr>
                <w:rFonts w:cstheme="minorHAnsi"/>
                <w:b/>
                <w:bCs/>
                <w:lang w:val="en-GB"/>
              </w:rPr>
            </w:pPr>
            <w:r w:rsidRPr="00C502E3">
              <w:rPr>
                <w:rFonts w:cstheme="minorHAnsi"/>
                <w:b/>
                <w:bCs/>
                <w:lang w:val="en-GB"/>
              </w:rPr>
              <w:t>Call for proposals</w:t>
            </w:r>
          </w:p>
        </w:tc>
        <w:tc>
          <w:tcPr>
            <w:tcW w:w="8363" w:type="dxa"/>
          </w:tcPr>
          <w:p w14:paraId="40155D9D" w14:textId="15CC4C34" w:rsidR="00EF130D" w:rsidRPr="00C502E3" w:rsidRDefault="00E71893" w:rsidP="00FC250C">
            <w:pPr>
              <w:jc w:val="both"/>
              <w:rPr>
                <w:rFonts w:cstheme="minorHAnsi"/>
                <w:lang w:val="en-GB"/>
              </w:rPr>
            </w:pPr>
            <w:r w:rsidRPr="00C502E3">
              <w:rPr>
                <w:rFonts w:cstheme="minorHAnsi"/>
                <w:lang w:val="en-GB"/>
              </w:rPr>
              <w:t>5.04 – 31.05.2022</w:t>
            </w:r>
          </w:p>
        </w:tc>
      </w:tr>
      <w:tr w:rsidR="006A70FE" w:rsidRPr="00C502E3" w14:paraId="4F6F9CA5" w14:textId="77777777" w:rsidTr="00AB7E81">
        <w:trPr>
          <w:trHeight w:val="133"/>
        </w:trPr>
        <w:tc>
          <w:tcPr>
            <w:tcW w:w="1844" w:type="dxa"/>
          </w:tcPr>
          <w:p w14:paraId="22A65305" w14:textId="1CF6625F" w:rsidR="007E01A8" w:rsidRPr="00C502E3" w:rsidRDefault="007E01A8" w:rsidP="007E01A8">
            <w:pPr>
              <w:pStyle w:val="Default"/>
              <w:rPr>
                <w:rFonts w:asciiTheme="minorHAnsi" w:hAnsiTheme="minorHAnsi" w:cstheme="minorHAnsi"/>
                <w:sz w:val="22"/>
                <w:szCs w:val="22"/>
                <w:lang w:val="en-GB"/>
              </w:rPr>
            </w:pPr>
            <w:r w:rsidRPr="00C502E3">
              <w:rPr>
                <w:rFonts w:asciiTheme="minorHAnsi" w:hAnsiTheme="minorHAnsi" w:cstheme="minorHAnsi"/>
                <w:b/>
                <w:bCs/>
                <w:color w:val="auto"/>
                <w:sz w:val="22"/>
                <w:szCs w:val="22"/>
                <w:lang w:val="en-GB"/>
              </w:rPr>
              <w:t>Specific objective</w:t>
            </w:r>
          </w:p>
          <w:p w14:paraId="19002FA3" w14:textId="6898FEDA" w:rsidR="006A70FE" w:rsidRPr="00C502E3" w:rsidRDefault="006A70FE">
            <w:pPr>
              <w:rPr>
                <w:rFonts w:cstheme="minorHAnsi"/>
                <w:lang w:val="en-GB"/>
              </w:rPr>
            </w:pPr>
          </w:p>
        </w:tc>
        <w:tc>
          <w:tcPr>
            <w:tcW w:w="8363" w:type="dxa"/>
          </w:tcPr>
          <w:p w14:paraId="3730350A" w14:textId="6D41F09B" w:rsidR="006A70FE" w:rsidRPr="00C502E3" w:rsidRDefault="007E01A8" w:rsidP="007E01A8">
            <w:pPr>
              <w:pStyle w:val="Default"/>
              <w:rPr>
                <w:rFonts w:asciiTheme="minorHAnsi" w:hAnsiTheme="minorHAnsi" w:cstheme="minorHAnsi"/>
                <w:color w:val="auto"/>
                <w:sz w:val="22"/>
                <w:szCs w:val="22"/>
                <w:lang w:val="en-GB"/>
              </w:rPr>
            </w:pPr>
            <w:r w:rsidRPr="00C502E3">
              <w:rPr>
                <w:rFonts w:asciiTheme="minorHAnsi" w:hAnsiTheme="minorHAnsi" w:cstheme="minorHAnsi"/>
                <w:color w:val="auto"/>
                <w:sz w:val="22"/>
                <w:szCs w:val="22"/>
                <w:lang w:val="en-GB"/>
              </w:rPr>
              <w:t xml:space="preserve">Equal access to health care, health systems resilience, family-based and community-based care </w:t>
            </w:r>
          </w:p>
        </w:tc>
      </w:tr>
      <w:tr w:rsidR="006A70FE" w:rsidRPr="00C502E3" w14:paraId="7169DDD7" w14:textId="77777777" w:rsidTr="00AB7E81">
        <w:trPr>
          <w:trHeight w:val="351"/>
        </w:trPr>
        <w:tc>
          <w:tcPr>
            <w:tcW w:w="1844" w:type="dxa"/>
          </w:tcPr>
          <w:p w14:paraId="07D941E2" w14:textId="5664D546" w:rsidR="006A70FE" w:rsidRPr="00C502E3" w:rsidRDefault="00A36D65">
            <w:pPr>
              <w:rPr>
                <w:rFonts w:cstheme="minorHAnsi"/>
                <w:b/>
                <w:bCs/>
                <w:lang w:val="en-GB"/>
              </w:rPr>
            </w:pPr>
            <w:bookmarkStart w:id="0" w:name="_Hlk97893705"/>
            <w:r w:rsidRPr="00C502E3">
              <w:rPr>
                <w:rFonts w:cstheme="minorHAnsi"/>
                <w:b/>
                <w:bCs/>
                <w:lang w:val="en-GB"/>
              </w:rPr>
              <w:t>Project Title</w:t>
            </w:r>
          </w:p>
        </w:tc>
        <w:tc>
          <w:tcPr>
            <w:tcW w:w="8363" w:type="dxa"/>
          </w:tcPr>
          <w:p w14:paraId="34C129B5" w14:textId="0A3E7EA3" w:rsidR="006A70FE" w:rsidRPr="00C502E3" w:rsidRDefault="008513EC" w:rsidP="00836E67">
            <w:pPr>
              <w:jc w:val="both"/>
              <w:rPr>
                <w:rFonts w:cstheme="minorHAnsi"/>
                <w:lang w:val="en-GB"/>
              </w:rPr>
            </w:pPr>
            <w:r w:rsidRPr="00C502E3">
              <w:rPr>
                <w:rFonts w:cstheme="minorHAnsi"/>
                <w:lang w:val="en-GB"/>
              </w:rPr>
              <w:t xml:space="preserve">Remote </w:t>
            </w:r>
            <w:r w:rsidR="00836E67" w:rsidRPr="00C502E3">
              <w:rPr>
                <w:rFonts w:cstheme="minorHAnsi"/>
                <w:lang w:val="en-GB"/>
              </w:rPr>
              <w:t>Healthcare for Silver Europe</w:t>
            </w:r>
            <w:r w:rsidR="00DC3253" w:rsidRPr="00C502E3">
              <w:rPr>
                <w:rFonts w:cstheme="minorHAnsi"/>
                <w:lang w:val="en-GB"/>
              </w:rPr>
              <w:t xml:space="preserve"> (CARES)</w:t>
            </w:r>
          </w:p>
        </w:tc>
      </w:tr>
      <w:bookmarkEnd w:id="0"/>
      <w:tr w:rsidR="006A70FE" w:rsidRPr="00C502E3" w14:paraId="3972328B" w14:textId="77777777" w:rsidTr="00AB7E81">
        <w:trPr>
          <w:trHeight w:val="413"/>
        </w:trPr>
        <w:tc>
          <w:tcPr>
            <w:tcW w:w="1844" w:type="dxa"/>
          </w:tcPr>
          <w:p w14:paraId="05708030" w14:textId="07454211" w:rsidR="006A70FE" w:rsidRPr="00C502E3" w:rsidRDefault="00A36D65">
            <w:pPr>
              <w:rPr>
                <w:rFonts w:cstheme="minorHAnsi"/>
                <w:b/>
                <w:bCs/>
                <w:lang w:val="en-GB"/>
              </w:rPr>
            </w:pPr>
            <w:proofErr w:type="spellStart"/>
            <w:r w:rsidRPr="00C502E3">
              <w:rPr>
                <w:rFonts w:cstheme="minorHAnsi"/>
                <w:b/>
                <w:bCs/>
                <w:lang w:val="en-GB"/>
              </w:rPr>
              <w:t>Challange</w:t>
            </w:r>
            <w:proofErr w:type="spellEnd"/>
            <w:r w:rsidR="00257B2B" w:rsidRPr="00C502E3">
              <w:rPr>
                <w:rFonts w:cstheme="minorHAnsi"/>
                <w:b/>
                <w:bCs/>
                <w:lang w:val="en-GB"/>
              </w:rPr>
              <w:t xml:space="preserve"> </w:t>
            </w:r>
          </w:p>
        </w:tc>
        <w:tc>
          <w:tcPr>
            <w:tcW w:w="8363" w:type="dxa"/>
          </w:tcPr>
          <w:p w14:paraId="300F78DD" w14:textId="7793C066" w:rsidR="009D126E" w:rsidRPr="00C502E3" w:rsidRDefault="006A3B81" w:rsidP="009D126E">
            <w:pPr>
              <w:jc w:val="both"/>
              <w:rPr>
                <w:rFonts w:cstheme="minorHAnsi"/>
                <w:lang w:val="en-GB"/>
              </w:rPr>
            </w:pPr>
            <w:r w:rsidRPr="00C502E3">
              <w:rPr>
                <w:rFonts w:cstheme="minorHAnsi"/>
                <w:lang w:val="en-GB"/>
              </w:rPr>
              <w:t xml:space="preserve">The process of ageing of </w:t>
            </w:r>
            <w:r w:rsidR="000A1A46" w:rsidRPr="00C502E3">
              <w:rPr>
                <w:rFonts w:cstheme="minorHAnsi"/>
                <w:lang w:val="en-GB"/>
              </w:rPr>
              <w:t>E</w:t>
            </w:r>
            <w:r w:rsidRPr="00C502E3">
              <w:rPr>
                <w:rFonts w:cstheme="minorHAnsi"/>
                <w:lang w:val="en-GB"/>
              </w:rPr>
              <w:t xml:space="preserve">uropean citizens is progressing at a rapid pace and </w:t>
            </w:r>
            <w:r w:rsidR="000A1A46" w:rsidRPr="00C502E3">
              <w:rPr>
                <w:rFonts w:cstheme="minorHAnsi"/>
                <w:lang w:val="en-GB"/>
              </w:rPr>
              <w:t xml:space="preserve">it </w:t>
            </w:r>
            <w:r w:rsidRPr="00C502E3">
              <w:rPr>
                <w:rFonts w:cstheme="minorHAnsi"/>
                <w:lang w:val="en-GB"/>
              </w:rPr>
              <w:t xml:space="preserve">is defined as one of the most serious challenges for Europe in 21st century. </w:t>
            </w:r>
            <w:r w:rsidR="001117B5" w:rsidRPr="00C502E3">
              <w:rPr>
                <w:rFonts w:cstheme="minorHAnsi"/>
                <w:lang w:val="en-GB"/>
              </w:rPr>
              <w:t>The population of the EU on 1 January 2021 was estimated at 447.2 million. Older people (aged 65 or over) had a 20.8% share (an increase of 0.2</w:t>
            </w:r>
            <w:r w:rsidR="00477753" w:rsidRPr="00C502E3">
              <w:rPr>
                <w:rFonts w:cstheme="minorHAnsi"/>
                <w:lang w:val="en-GB"/>
              </w:rPr>
              <w:t xml:space="preserve">% </w:t>
            </w:r>
            <w:r w:rsidR="001117B5" w:rsidRPr="00C502E3">
              <w:rPr>
                <w:rFonts w:cstheme="minorHAnsi"/>
                <w:lang w:val="en-GB"/>
              </w:rPr>
              <w:t>compared with the previous year and an increase of 3</w:t>
            </w:r>
            <w:r w:rsidR="00477753" w:rsidRPr="00C502E3">
              <w:rPr>
                <w:rFonts w:cstheme="minorHAnsi"/>
                <w:lang w:val="en-GB"/>
              </w:rPr>
              <w:t xml:space="preserve">% </w:t>
            </w:r>
            <w:r w:rsidR="001117B5" w:rsidRPr="00C502E3">
              <w:rPr>
                <w:rFonts w:cstheme="minorHAnsi"/>
                <w:lang w:val="en-GB"/>
              </w:rPr>
              <w:t xml:space="preserve">compared with 10 years earlier). </w:t>
            </w:r>
            <w:r w:rsidR="00771662" w:rsidRPr="00C502E3">
              <w:rPr>
                <w:rFonts w:cstheme="minorHAnsi"/>
                <w:lang w:val="en-GB"/>
              </w:rPr>
              <w:t>The</w:t>
            </w:r>
            <w:r w:rsidR="00C022F1" w:rsidRPr="00C502E3">
              <w:rPr>
                <w:rFonts w:cstheme="minorHAnsi"/>
                <w:lang w:val="en-GB"/>
              </w:rPr>
              <w:t xml:space="preserve"> ag</w:t>
            </w:r>
            <w:r w:rsidR="00E610E7" w:rsidRPr="00C502E3">
              <w:rPr>
                <w:rFonts w:cstheme="minorHAnsi"/>
                <w:lang w:val="en-GB"/>
              </w:rPr>
              <w:t>e</w:t>
            </w:r>
            <w:r w:rsidR="00C022F1" w:rsidRPr="00C502E3">
              <w:rPr>
                <w:rFonts w:cstheme="minorHAnsi"/>
                <w:lang w:val="en-GB"/>
              </w:rPr>
              <w:t xml:space="preserve">ing </w:t>
            </w:r>
            <w:r w:rsidR="00E610E7" w:rsidRPr="00C502E3">
              <w:rPr>
                <w:rFonts w:cstheme="minorHAnsi"/>
                <w:lang w:val="en-GB"/>
              </w:rPr>
              <w:t xml:space="preserve">population </w:t>
            </w:r>
            <w:r w:rsidR="00771662" w:rsidRPr="00C502E3">
              <w:rPr>
                <w:rFonts w:cstheme="minorHAnsi"/>
                <w:lang w:val="en-GB"/>
              </w:rPr>
              <w:t xml:space="preserve">of </w:t>
            </w:r>
            <w:r w:rsidR="0058411A" w:rsidRPr="00C502E3">
              <w:rPr>
                <w:rFonts w:cstheme="minorHAnsi"/>
                <w:lang w:val="en-GB"/>
              </w:rPr>
              <w:t>Europe</w:t>
            </w:r>
            <w:r w:rsidR="00E610E7" w:rsidRPr="00C502E3">
              <w:rPr>
                <w:rFonts w:cstheme="minorHAnsi"/>
                <w:lang w:val="en-GB"/>
              </w:rPr>
              <w:t xml:space="preserve"> is a demographic</w:t>
            </w:r>
            <w:r w:rsidR="000A1A46" w:rsidRPr="00C502E3">
              <w:rPr>
                <w:rFonts w:cstheme="minorHAnsi"/>
                <w:lang w:val="en-GB"/>
              </w:rPr>
              <w:t xml:space="preserve"> </w:t>
            </w:r>
            <w:r w:rsidR="00E610E7" w:rsidRPr="00C502E3">
              <w:rPr>
                <w:rFonts w:cstheme="minorHAnsi"/>
                <w:lang w:val="en-GB"/>
              </w:rPr>
              <w:t>challenge</w:t>
            </w:r>
            <w:r w:rsidR="00771662" w:rsidRPr="00C502E3">
              <w:rPr>
                <w:rFonts w:cstheme="minorHAnsi"/>
                <w:lang w:val="en-GB"/>
              </w:rPr>
              <w:t>,</w:t>
            </w:r>
            <w:r w:rsidR="00B56212" w:rsidRPr="00C502E3">
              <w:rPr>
                <w:rFonts w:cstheme="minorHAnsi"/>
                <w:lang w:val="en-GB"/>
              </w:rPr>
              <w:t xml:space="preserve"> </w:t>
            </w:r>
            <w:r w:rsidR="00771662" w:rsidRPr="00C502E3">
              <w:rPr>
                <w:rFonts w:cstheme="minorHAnsi"/>
                <w:lang w:val="en-GB"/>
              </w:rPr>
              <w:t xml:space="preserve">therefore, </w:t>
            </w:r>
            <w:r w:rsidR="00E610E7" w:rsidRPr="00C502E3">
              <w:rPr>
                <w:rFonts w:cstheme="minorHAnsi"/>
                <w:lang w:val="en-GB"/>
              </w:rPr>
              <w:t>European countries are facing the increased cost for caring</w:t>
            </w:r>
            <w:r w:rsidR="00771662" w:rsidRPr="00C502E3">
              <w:rPr>
                <w:rFonts w:cstheme="minorHAnsi"/>
                <w:lang w:val="en-GB"/>
              </w:rPr>
              <w:t>.</w:t>
            </w:r>
            <w:r w:rsidR="000A1A46" w:rsidRPr="00C502E3">
              <w:rPr>
                <w:rFonts w:cstheme="minorHAnsi"/>
                <w:lang w:val="en-GB"/>
              </w:rPr>
              <w:t xml:space="preserve"> </w:t>
            </w:r>
            <w:r w:rsidR="009F0E45" w:rsidRPr="00C502E3">
              <w:rPr>
                <w:rFonts w:cstheme="minorHAnsi"/>
                <w:lang w:val="en-GB"/>
              </w:rPr>
              <w:t xml:space="preserve">The public health care system is supposed to respond to growing health care needs and guarantee the availability of services in a range and time adjusted to justified health care needs and not limited by geographical considerations, material status or architectural barriers, etc. </w:t>
            </w:r>
            <w:r w:rsidR="009D126E" w:rsidRPr="00C502E3">
              <w:rPr>
                <w:rFonts w:cstheme="minorHAnsi"/>
                <w:lang w:val="en-GB"/>
              </w:rPr>
              <w:t xml:space="preserve">It should also be emphasized, that deficiencies in accessibility are often a consequence of staff or infrastructure shortages, so in the longer term the availability of services is strongly linked to the development of the health system's staff and infrastructure. Therefore, in the face of demographic changes, actions aiming at </w:t>
            </w:r>
            <w:r w:rsidR="00B56212" w:rsidRPr="00C502E3">
              <w:rPr>
                <w:rFonts w:cstheme="minorHAnsi"/>
                <w:lang w:val="en-GB"/>
              </w:rPr>
              <w:t xml:space="preserve">disperse </w:t>
            </w:r>
            <w:r w:rsidR="00A13EAE" w:rsidRPr="00C502E3">
              <w:rPr>
                <w:rFonts w:cstheme="minorHAnsi"/>
                <w:lang w:val="en-GB"/>
              </w:rPr>
              <w:t>and increase the access to</w:t>
            </w:r>
            <w:r w:rsidR="009D126E" w:rsidRPr="00C502E3">
              <w:rPr>
                <w:rFonts w:cstheme="minorHAnsi"/>
                <w:lang w:val="en-GB"/>
              </w:rPr>
              <w:t xml:space="preserve"> healthcare</w:t>
            </w:r>
            <w:r w:rsidR="00B56212" w:rsidRPr="00C502E3">
              <w:rPr>
                <w:rFonts w:cstheme="minorHAnsi"/>
                <w:lang w:val="en-GB"/>
              </w:rPr>
              <w:t xml:space="preserve"> services</w:t>
            </w:r>
            <w:r w:rsidR="009D126E" w:rsidRPr="00C502E3">
              <w:rPr>
                <w:rFonts w:cstheme="minorHAnsi"/>
                <w:lang w:val="en-GB"/>
              </w:rPr>
              <w:t>, e.g. through development of homecare and social care and wider use of telemedical solutions, are of crucial importance</w:t>
            </w:r>
            <w:r w:rsidR="0087023A" w:rsidRPr="00C502E3">
              <w:rPr>
                <w:rFonts w:cstheme="minorHAnsi"/>
                <w:lang w:val="en-GB"/>
              </w:rPr>
              <w:t xml:space="preserve">. </w:t>
            </w:r>
          </w:p>
          <w:p w14:paraId="5C9C943E" w14:textId="28401F79" w:rsidR="009D126E" w:rsidRPr="00C502E3" w:rsidRDefault="009D126E" w:rsidP="009D126E">
            <w:pPr>
              <w:jc w:val="both"/>
              <w:rPr>
                <w:rFonts w:cstheme="minorHAnsi"/>
                <w:lang w:val="en-GB"/>
              </w:rPr>
            </w:pPr>
            <w:r w:rsidRPr="00C502E3">
              <w:rPr>
                <w:rFonts w:cstheme="minorHAnsi"/>
                <w:lang w:val="en-GB"/>
              </w:rPr>
              <w:t>In the context of the ongoing epidemic of COVID-19, it is also very important to adapt the healthcare system infrastructure, including solutions with the use of telemedicine, to take quick, effective and efficient actions in crisis situations and to ensure continuity and safety of health care services at all levels of the healthcare and social care system.</w:t>
            </w:r>
          </w:p>
          <w:p w14:paraId="7DF0062E" w14:textId="0963FF45" w:rsidR="009D126E" w:rsidRPr="00C502E3" w:rsidRDefault="00771662" w:rsidP="009D126E">
            <w:pPr>
              <w:jc w:val="both"/>
              <w:rPr>
                <w:rFonts w:cstheme="minorHAnsi"/>
                <w:lang w:val="en-GB"/>
              </w:rPr>
            </w:pPr>
            <w:r w:rsidRPr="00C502E3">
              <w:rPr>
                <w:rFonts w:cstheme="minorHAnsi"/>
                <w:lang w:val="en-GB"/>
              </w:rPr>
              <w:t xml:space="preserve">The </w:t>
            </w:r>
            <w:r w:rsidR="009D126E" w:rsidRPr="00C502E3">
              <w:rPr>
                <w:rFonts w:cstheme="minorHAnsi"/>
                <w:lang w:val="en-GB"/>
              </w:rPr>
              <w:t xml:space="preserve">demand for </w:t>
            </w:r>
            <w:r w:rsidR="0087023A" w:rsidRPr="00C502E3">
              <w:rPr>
                <w:rFonts w:cstheme="minorHAnsi"/>
                <w:lang w:val="en-GB"/>
              </w:rPr>
              <w:t>remote</w:t>
            </w:r>
            <w:r w:rsidR="009D126E" w:rsidRPr="00C502E3">
              <w:rPr>
                <w:rFonts w:cstheme="minorHAnsi"/>
                <w:lang w:val="en-GB"/>
              </w:rPr>
              <w:t xml:space="preserve"> solutions in healthcare and social care is expected to grow rapidly in the forthcoming years. </w:t>
            </w:r>
            <w:r w:rsidR="00641B6A" w:rsidRPr="00C502E3">
              <w:rPr>
                <w:rFonts w:cstheme="minorHAnsi"/>
                <w:lang w:val="en-GB"/>
              </w:rPr>
              <w:t xml:space="preserve">Technological progress in the development of innovative digital services has proven to be one of the key drivers for the implementation of telehealth. </w:t>
            </w:r>
            <w:r w:rsidR="002B1451" w:rsidRPr="00C502E3">
              <w:rPr>
                <w:rFonts w:cstheme="minorHAnsi"/>
                <w:lang w:val="en-GB"/>
              </w:rPr>
              <w:t xml:space="preserve">It is expected that the </w:t>
            </w:r>
            <w:r w:rsidR="00A62142" w:rsidRPr="00C502E3">
              <w:rPr>
                <w:rFonts w:cstheme="minorHAnsi"/>
                <w:lang w:val="en-GB"/>
              </w:rPr>
              <w:t>digitization</w:t>
            </w:r>
            <w:r w:rsidR="002B1451" w:rsidRPr="00C502E3">
              <w:rPr>
                <w:rFonts w:cstheme="minorHAnsi"/>
                <w:lang w:val="en-GB"/>
              </w:rPr>
              <w:t xml:space="preserve"> process will progress both in terms of systemic digital health services, consolidation and use of health data, and the development of remote forms of service delivery</w:t>
            </w:r>
            <w:r w:rsidR="009D5794" w:rsidRPr="00C502E3">
              <w:rPr>
                <w:rFonts w:cstheme="minorHAnsi"/>
                <w:lang w:val="en-GB"/>
              </w:rPr>
              <w:t>.</w:t>
            </w:r>
          </w:p>
          <w:p w14:paraId="47F26750" w14:textId="5B331B19" w:rsidR="006A70FE" w:rsidRPr="00C502E3" w:rsidRDefault="009D5794" w:rsidP="00416C7E">
            <w:pPr>
              <w:jc w:val="both"/>
              <w:rPr>
                <w:rFonts w:cstheme="minorHAnsi"/>
                <w:lang w:val="en-GB"/>
              </w:rPr>
            </w:pPr>
            <w:r w:rsidRPr="00C502E3">
              <w:rPr>
                <w:rFonts w:cstheme="minorHAnsi"/>
                <w:lang w:val="en-GB"/>
              </w:rPr>
              <w:t>Considering the above, th</w:t>
            </w:r>
            <w:r w:rsidR="002E2FEB" w:rsidRPr="00C502E3">
              <w:rPr>
                <w:rFonts w:cstheme="minorHAnsi"/>
                <w:lang w:val="en-GB"/>
              </w:rPr>
              <w:t>e</w:t>
            </w:r>
            <w:r w:rsidRPr="00C502E3">
              <w:rPr>
                <w:rFonts w:cstheme="minorHAnsi"/>
                <w:lang w:val="en-GB"/>
              </w:rPr>
              <w:t xml:space="preserve"> project addresses the challenges of universal access to remote medical and care services for </w:t>
            </w:r>
            <w:r w:rsidR="005E58D1" w:rsidRPr="00C502E3">
              <w:rPr>
                <w:rFonts w:cstheme="minorHAnsi"/>
                <w:lang w:val="en-GB"/>
              </w:rPr>
              <w:t xml:space="preserve">the elderly </w:t>
            </w:r>
            <w:r w:rsidR="00A13EAE" w:rsidRPr="00C502E3">
              <w:rPr>
                <w:rFonts w:cstheme="minorHAnsi"/>
                <w:lang w:val="en-GB"/>
              </w:rPr>
              <w:t>and disabled</w:t>
            </w:r>
            <w:r w:rsidRPr="00C502E3">
              <w:rPr>
                <w:rFonts w:cstheme="minorHAnsi"/>
                <w:lang w:val="en-GB"/>
              </w:rPr>
              <w:t xml:space="preserve"> people in European countries. Through interregional cooperation, including exchange of experiences and good practices, the aim is to improve local and regional policies that will be responsible for the systemic implementation of telecare and telemedicine solutions</w:t>
            </w:r>
            <w:r w:rsidR="00416C7E" w:rsidRPr="00C502E3">
              <w:rPr>
                <w:rFonts w:cstheme="minorHAnsi"/>
                <w:lang w:val="en-GB"/>
              </w:rPr>
              <w:t>.</w:t>
            </w:r>
          </w:p>
        </w:tc>
      </w:tr>
      <w:tr w:rsidR="00FC250C" w:rsidRPr="00C502E3" w14:paraId="3A2DC38C" w14:textId="77777777" w:rsidTr="00AB7E81">
        <w:trPr>
          <w:trHeight w:val="4102"/>
        </w:trPr>
        <w:tc>
          <w:tcPr>
            <w:tcW w:w="1844" w:type="dxa"/>
          </w:tcPr>
          <w:p w14:paraId="6D09C719" w14:textId="1D835AB2" w:rsidR="00FC250C" w:rsidRPr="00C502E3" w:rsidRDefault="00FC250C" w:rsidP="00F774BE">
            <w:pPr>
              <w:rPr>
                <w:rFonts w:cstheme="minorHAnsi"/>
                <w:b/>
                <w:bCs/>
                <w:lang w:val="en-GB"/>
              </w:rPr>
            </w:pPr>
            <w:r w:rsidRPr="00C502E3">
              <w:rPr>
                <w:rFonts w:cstheme="minorHAnsi"/>
                <w:b/>
                <w:bCs/>
                <w:lang w:val="en-GB"/>
              </w:rPr>
              <w:t>Key Objectives</w:t>
            </w:r>
          </w:p>
        </w:tc>
        <w:tc>
          <w:tcPr>
            <w:tcW w:w="8363" w:type="dxa"/>
          </w:tcPr>
          <w:p w14:paraId="5D3FD257" w14:textId="21AC27E6" w:rsidR="00FC250C" w:rsidRPr="00C502E3" w:rsidRDefault="00FC250C" w:rsidP="00F774BE">
            <w:pPr>
              <w:rPr>
                <w:rFonts w:cstheme="minorHAnsi"/>
                <w:lang w:val="en-GB"/>
              </w:rPr>
            </w:pPr>
            <w:r w:rsidRPr="00C502E3">
              <w:rPr>
                <w:rFonts w:cstheme="minorHAnsi"/>
                <w:lang w:val="en-GB"/>
              </w:rPr>
              <w:t xml:space="preserve">The key objective of the project is to improve policy instruments among the participating partner regions, related to both structural funds and regional policies, in order to specialize and disseminate telehealth services for the elderly and </w:t>
            </w:r>
            <w:r w:rsidR="00A13EAE" w:rsidRPr="00C502E3">
              <w:rPr>
                <w:rFonts w:cstheme="minorHAnsi"/>
                <w:lang w:val="en-GB"/>
              </w:rPr>
              <w:t xml:space="preserve">disabled </w:t>
            </w:r>
            <w:r w:rsidRPr="00C502E3">
              <w:rPr>
                <w:rFonts w:cstheme="minorHAnsi"/>
                <w:lang w:val="en-GB"/>
              </w:rPr>
              <w:t>people</w:t>
            </w:r>
            <w:r w:rsidR="00A13EAE" w:rsidRPr="00C502E3">
              <w:rPr>
                <w:rFonts w:cstheme="minorHAnsi"/>
                <w:lang w:val="en-GB"/>
              </w:rPr>
              <w:t>.</w:t>
            </w:r>
          </w:p>
          <w:p w14:paraId="74753156" w14:textId="77777777" w:rsidR="00FC250C" w:rsidRPr="00C502E3" w:rsidRDefault="00FC250C" w:rsidP="00EC64FE">
            <w:pPr>
              <w:rPr>
                <w:rFonts w:cstheme="minorHAnsi"/>
                <w:lang w:val="en-GB"/>
              </w:rPr>
            </w:pPr>
            <w:r w:rsidRPr="00C502E3">
              <w:rPr>
                <w:rFonts w:cstheme="minorHAnsi"/>
                <w:lang w:val="en-GB"/>
              </w:rPr>
              <w:t>The project will address 3 thematic fields, which are at the same time specific objectives of the project:</w:t>
            </w:r>
          </w:p>
          <w:p w14:paraId="4EF2B95C" w14:textId="7C72D740" w:rsidR="00FC250C" w:rsidRPr="00C502E3" w:rsidRDefault="00FC250C" w:rsidP="00EC64FE">
            <w:pPr>
              <w:rPr>
                <w:rFonts w:cstheme="minorHAnsi"/>
                <w:lang w:val="en-GB"/>
              </w:rPr>
            </w:pPr>
            <w:r w:rsidRPr="00C502E3">
              <w:rPr>
                <w:rFonts w:cstheme="minorHAnsi"/>
                <w:lang w:val="en-GB"/>
              </w:rPr>
              <w:t>1. Increased availability of telecare and telemedicine services for the European population, making care fairer within the region;</w:t>
            </w:r>
          </w:p>
          <w:p w14:paraId="50BDE7D8" w14:textId="5CB89B00" w:rsidR="00FC250C" w:rsidRPr="00C502E3" w:rsidRDefault="00FC250C" w:rsidP="00EC64FE">
            <w:pPr>
              <w:rPr>
                <w:rFonts w:cstheme="minorHAnsi"/>
                <w:lang w:val="en-GB"/>
              </w:rPr>
            </w:pPr>
            <w:r w:rsidRPr="00C502E3">
              <w:rPr>
                <w:rFonts w:cstheme="minorHAnsi"/>
                <w:lang w:val="en-GB"/>
              </w:rPr>
              <w:t>2. Widespread use of innovative tools for medical care and diagnosis (easy-to-use tools that enable shorter time until diagnosis and possible treatment with the reduction of the number of hospital stays);</w:t>
            </w:r>
          </w:p>
          <w:p w14:paraId="49B0A95C" w14:textId="77777777" w:rsidR="00FC250C" w:rsidRPr="00C502E3" w:rsidRDefault="00FC250C" w:rsidP="00EC64FE">
            <w:pPr>
              <w:rPr>
                <w:rFonts w:cstheme="minorHAnsi"/>
                <w:lang w:val="en-GB"/>
              </w:rPr>
            </w:pPr>
            <w:r w:rsidRPr="00C502E3">
              <w:rPr>
                <w:rFonts w:cstheme="minorHAnsi"/>
                <w:lang w:val="en-GB"/>
              </w:rPr>
              <w:t xml:space="preserve">3. Greater institutional capacity and educated staff (management platforms, coordination </w:t>
            </w:r>
            <w:proofErr w:type="spellStart"/>
            <w:r w:rsidRPr="00C502E3">
              <w:rPr>
                <w:rFonts w:cstheme="minorHAnsi"/>
                <w:lang w:val="en-GB"/>
              </w:rPr>
              <w:t>centers</w:t>
            </w:r>
            <w:proofErr w:type="spellEnd"/>
            <w:r w:rsidRPr="00C502E3">
              <w:rPr>
                <w:rFonts w:cstheme="minorHAnsi"/>
                <w:lang w:val="en-GB"/>
              </w:rPr>
              <w:t>, staff trainings).</w:t>
            </w:r>
          </w:p>
          <w:p w14:paraId="2B280AA9" w14:textId="466370D1" w:rsidR="008079A4" w:rsidRPr="00C502E3" w:rsidRDefault="008079A4" w:rsidP="00EC64FE">
            <w:pPr>
              <w:rPr>
                <w:rFonts w:cstheme="minorHAnsi"/>
                <w:lang w:val="en-GB"/>
              </w:rPr>
            </w:pPr>
          </w:p>
        </w:tc>
      </w:tr>
      <w:tr w:rsidR="00F774BE" w:rsidRPr="00C502E3" w14:paraId="0C33ED03" w14:textId="77777777" w:rsidTr="00AB7E81">
        <w:trPr>
          <w:trHeight w:val="916"/>
        </w:trPr>
        <w:tc>
          <w:tcPr>
            <w:tcW w:w="1844" w:type="dxa"/>
          </w:tcPr>
          <w:p w14:paraId="2998651F" w14:textId="1AED2030" w:rsidR="00F774BE" w:rsidRPr="00C502E3" w:rsidRDefault="00F774BE" w:rsidP="00F774BE">
            <w:pPr>
              <w:rPr>
                <w:rFonts w:cstheme="minorHAnsi"/>
                <w:b/>
                <w:bCs/>
                <w:lang w:val="en-GB"/>
              </w:rPr>
            </w:pPr>
            <w:r w:rsidRPr="00C502E3">
              <w:rPr>
                <w:rFonts w:cstheme="minorHAnsi"/>
                <w:b/>
                <w:bCs/>
                <w:lang w:val="en-GB"/>
              </w:rPr>
              <w:lastRenderedPageBreak/>
              <w:t xml:space="preserve">Activities </w:t>
            </w:r>
          </w:p>
        </w:tc>
        <w:tc>
          <w:tcPr>
            <w:tcW w:w="8363" w:type="dxa"/>
          </w:tcPr>
          <w:p w14:paraId="2AC81AFB" w14:textId="6D804089" w:rsidR="00CB27E0" w:rsidRPr="00C502E3" w:rsidRDefault="00594CAD" w:rsidP="00CB27E0">
            <w:pPr>
              <w:rPr>
                <w:rFonts w:cstheme="minorHAnsi"/>
                <w:b/>
                <w:bCs/>
                <w:lang w:val="en-GB"/>
              </w:rPr>
            </w:pPr>
            <w:r w:rsidRPr="00C502E3">
              <w:rPr>
                <w:rFonts w:cstheme="minorHAnsi"/>
                <w:b/>
                <w:bCs/>
                <w:lang w:val="en-GB"/>
              </w:rPr>
              <w:t>Section</w:t>
            </w:r>
            <w:r w:rsidR="00CB27E0" w:rsidRPr="00C502E3">
              <w:rPr>
                <w:rFonts w:cstheme="minorHAnsi"/>
                <w:b/>
                <w:bCs/>
                <w:lang w:val="en-GB"/>
              </w:rPr>
              <w:t xml:space="preserve"> 1 - Exchange of experience and mutual learning</w:t>
            </w:r>
          </w:p>
          <w:p w14:paraId="59BFE08E" w14:textId="76FC8454" w:rsidR="00CB27E0" w:rsidRPr="00C502E3" w:rsidRDefault="00CB27E0" w:rsidP="00CB27E0">
            <w:pPr>
              <w:rPr>
                <w:rFonts w:cstheme="minorHAnsi"/>
                <w:lang w:val="en-GB"/>
              </w:rPr>
            </w:pPr>
            <w:r w:rsidRPr="00C502E3">
              <w:rPr>
                <w:rFonts w:cstheme="minorHAnsi"/>
                <w:lang w:val="en-GB"/>
              </w:rPr>
              <w:t xml:space="preserve">a) </w:t>
            </w:r>
            <w:r w:rsidR="004D781F" w:rsidRPr="00C502E3">
              <w:rPr>
                <w:rFonts w:cstheme="minorHAnsi"/>
                <w:lang w:val="en-GB"/>
              </w:rPr>
              <w:t>P</w:t>
            </w:r>
            <w:r w:rsidRPr="00C502E3">
              <w:rPr>
                <w:rFonts w:cstheme="minorHAnsi"/>
                <w:lang w:val="en-GB"/>
              </w:rPr>
              <w:t>reparation of Policy Context Analysis (PCA) - the description of the competences of the institutions involved, description of the policy instrument, internal regulations, EU and national law</w:t>
            </w:r>
            <w:r w:rsidR="00D77B66" w:rsidRPr="00C502E3">
              <w:rPr>
                <w:rFonts w:cstheme="minorHAnsi"/>
                <w:lang w:val="en-GB"/>
              </w:rPr>
              <w:t>s</w:t>
            </w:r>
            <w:r w:rsidR="004D781F" w:rsidRPr="00C502E3">
              <w:rPr>
                <w:rFonts w:cstheme="minorHAnsi"/>
                <w:lang w:val="en-GB"/>
              </w:rPr>
              <w:t xml:space="preserve"> in terms of healthcare.</w:t>
            </w:r>
          </w:p>
          <w:p w14:paraId="31168B77" w14:textId="74D9B962" w:rsidR="00CB27E0" w:rsidRPr="00C502E3" w:rsidRDefault="00CB27E0" w:rsidP="00CB27E0">
            <w:pPr>
              <w:rPr>
                <w:rFonts w:cstheme="minorHAnsi"/>
                <w:lang w:val="en-GB"/>
              </w:rPr>
            </w:pPr>
            <w:r w:rsidRPr="00C502E3">
              <w:rPr>
                <w:rFonts w:cstheme="minorHAnsi"/>
                <w:lang w:val="en-GB"/>
              </w:rPr>
              <w:t xml:space="preserve">b) </w:t>
            </w:r>
            <w:r w:rsidR="004D781F" w:rsidRPr="00C502E3">
              <w:rPr>
                <w:rFonts w:cstheme="minorHAnsi"/>
                <w:lang w:val="en-GB"/>
              </w:rPr>
              <w:t>E</w:t>
            </w:r>
            <w:r w:rsidRPr="00C502E3">
              <w:rPr>
                <w:rFonts w:cstheme="minorHAnsi"/>
                <w:lang w:val="en-GB"/>
              </w:rPr>
              <w:t xml:space="preserve">stablishment of a </w:t>
            </w:r>
            <w:r w:rsidR="00C502E3" w:rsidRPr="00C502E3">
              <w:rPr>
                <w:rFonts w:cstheme="minorHAnsi"/>
                <w:lang w:val="en-GB"/>
              </w:rPr>
              <w:t>stakeholders</w:t>
            </w:r>
            <w:r w:rsidRPr="00C502E3">
              <w:rPr>
                <w:rFonts w:cstheme="minorHAnsi"/>
                <w:lang w:val="en-GB"/>
              </w:rPr>
              <w:t xml:space="preserve"> group</w:t>
            </w:r>
            <w:r w:rsidR="004D781F" w:rsidRPr="00C502E3">
              <w:rPr>
                <w:rFonts w:cstheme="minorHAnsi"/>
                <w:lang w:val="en-GB"/>
              </w:rPr>
              <w:t>.</w:t>
            </w:r>
          </w:p>
          <w:p w14:paraId="035CB4D7" w14:textId="7141C405" w:rsidR="004F5438" w:rsidRPr="00C502E3" w:rsidRDefault="00CB27E0" w:rsidP="00CB27E0">
            <w:pPr>
              <w:rPr>
                <w:rFonts w:cstheme="minorHAnsi"/>
                <w:lang w:val="en-GB"/>
              </w:rPr>
            </w:pPr>
            <w:r w:rsidRPr="00C502E3">
              <w:rPr>
                <w:rFonts w:cstheme="minorHAnsi"/>
                <w:lang w:val="en-GB"/>
              </w:rPr>
              <w:t xml:space="preserve">c) Good practice </w:t>
            </w:r>
            <w:r w:rsidR="00BD263D" w:rsidRPr="00C502E3">
              <w:rPr>
                <w:rFonts w:cstheme="minorHAnsi"/>
                <w:lang w:val="en-GB"/>
              </w:rPr>
              <w:t>pool</w:t>
            </w:r>
            <w:r w:rsidRPr="00C502E3">
              <w:rPr>
                <w:rFonts w:cstheme="minorHAnsi"/>
                <w:lang w:val="en-GB"/>
              </w:rPr>
              <w:t xml:space="preserve"> - identification of 3</w:t>
            </w:r>
            <w:r w:rsidR="004D781F" w:rsidRPr="00C502E3">
              <w:rPr>
                <w:rFonts w:cstheme="minorHAnsi"/>
                <w:lang w:val="en-GB"/>
              </w:rPr>
              <w:t>-5</w:t>
            </w:r>
            <w:r w:rsidRPr="00C502E3">
              <w:rPr>
                <w:rFonts w:cstheme="minorHAnsi"/>
                <w:lang w:val="en-GB"/>
              </w:rPr>
              <w:t xml:space="preserve"> good practices per partner</w:t>
            </w:r>
            <w:r w:rsidR="00D77B66" w:rsidRPr="00C502E3">
              <w:rPr>
                <w:rFonts w:cstheme="minorHAnsi"/>
                <w:lang w:val="en-GB"/>
              </w:rPr>
              <w:t xml:space="preserve"> </w:t>
            </w:r>
            <w:r w:rsidRPr="00C502E3">
              <w:rPr>
                <w:rFonts w:cstheme="minorHAnsi"/>
                <w:lang w:val="en-GB"/>
              </w:rPr>
              <w:t xml:space="preserve">divided into 3 </w:t>
            </w:r>
            <w:r w:rsidR="00D77B66" w:rsidRPr="00C502E3">
              <w:rPr>
                <w:rFonts w:cstheme="minorHAnsi"/>
                <w:lang w:val="en-GB"/>
              </w:rPr>
              <w:t>macro-</w:t>
            </w:r>
            <w:r w:rsidRPr="00C502E3">
              <w:rPr>
                <w:rFonts w:cstheme="minorHAnsi"/>
                <w:lang w:val="en-GB"/>
              </w:rPr>
              <w:t>categories:</w:t>
            </w:r>
          </w:p>
          <w:p w14:paraId="683C11CD" w14:textId="0004E176" w:rsidR="00CB27E0" w:rsidRPr="00C502E3" w:rsidRDefault="00D77B66" w:rsidP="00BD263D">
            <w:pPr>
              <w:ind w:left="708"/>
              <w:rPr>
                <w:rFonts w:cstheme="minorHAnsi"/>
                <w:lang w:val="en-GB"/>
              </w:rPr>
            </w:pPr>
            <w:r w:rsidRPr="00C502E3">
              <w:rPr>
                <w:rFonts w:cstheme="minorHAnsi"/>
                <w:lang w:val="en-GB"/>
              </w:rPr>
              <w:t xml:space="preserve">1) </w:t>
            </w:r>
            <w:r w:rsidR="0027778D" w:rsidRPr="00C502E3">
              <w:rPr>
                <w:rFonts w:cstheme="minorHAnsi"/>
                <w:lang w:val="en-GB"/>
              </w:rPr>
              <w:t>A</w:t>
            </w:r>
            <w:r w:rsidR="00CB27E0" w:rsidRPr="00C502E3">
              <w:rPr>
                <w:rFonts w:cstheme="minorHAnsi"/>
                <w:lang w:val="en-GB"/>
              </w:rPr>
              <w:t>ccess to services</w:t>
            </w:r>
          </w:p>
          <w:p w14:paraId="2A0311A1" w14:textId="39D3738E" w:rsidR="0027778D" w:rsidRPr="00C502E3" w:rsidRDefault="00D77B66" w:rsidP="00BD263D">
            <w:pPr>
              <w:ind w:left="708"/>
              <w:rPr>
                <w:rFonts w:cstheme="minorHAnsi"/>
                <w:lang w:val="en-GB"/>
              </w:rPr>
            </w:pPr>
            <w:r w:rsidRPr="00C502E3">
              <w:rPr>
                <w:rFonts w:cstheme="minorHAnsi"/>
                <w:lang w:val="en-GB"/>
              </w:rPr>
              <w:t xml:space="preserve">2) </w:t>
            </w:r>
            <w:r w:rsidR="0027778D" w:rsidRPr="00C502E3">
              <w:rPr>
                <w:rFonts w:cstheme="minorHAnsi"/>
                <w:lang w:val="en-GB"/>
              </w:rPr>
              <w:t>M</w:t>
            </w:r>
            <w:r w:rsidR="00CB27E0" w:rsidRPr="00C502E3">
              <w:rPr>
                <w:rFonts w:cstheme="minorHAnsi"/>
                <w:lang w:val="en-GB"/>
              </w:rPr>
              <w:t xml:space="preserve">odern </w:t>
            </w:r>
            <w:r w:rsidR="0027778D" w:rsidRPr="00C502E3">
              <w:rPr>
                <w:rFonts w:cstheme="minorHAnsi"/>
                <w:lang w:val="en-GB"/>
              </w:rPr>
              <w:t xml:space="preserve">distance healthcare </w:t>
            </w:r>
            <w:r w:rsidR="00CB27E0" w:rsidRPr="00C502E3">
              <w:rPr>
                <w:rFonts w:cstheme="minorHAnsi"/>
                <w:lang w:val="en-GB"/>
              </w:rPr>
              <w:t>tools</w:t>
            </w:r>
          </w:p>
          <w:p w14:paraId="602B78B3" w14:textId="23AACE95" w:rsidR="004F5438" w:rsidRPr="00C502E3" w:rsidRDefault="0027778D" w:rsidP="00BD263D">
            <w:pPr>
              <w:ind w:left="708"/>
              <w:rPr>
                <w:rFonts w:cstheme="minorHAnsi"/>
                <w:lang w:val="en-GB"/>
              </w:rPr>
            </w:pPr>
            <w:r w:rsidRPr="00C502E3">
              <w:rPr>
                <w:rFonts w:cstheme="minorHAnsi"/>
                <w:lang w:val="en-GB"/>
              </w:rPr>
              <w:t>3) I</w:t>
            </w:r>
            <w:r w:rsidR="00CB27E0" w:rsidRPr="00C502E3">
              <w:rPr>
                <w:rFonts w:cstheme="minorHAnsi"/>
                <w:lang w:val="en-GB"/>
              </w:rPr>
              <w:t>ncreased institutional capacity</w:t>
            </w:r>
          </w:p>
          <w:p w14:paraId="60DAD860" w14:textId="72578C35" w:rsidR="00CB27E0" w:rsidRPr="00C502E3" w:rsidRDefault="004F5438" w:rsidP="00CB27E0">
            <w:pPr>
              <w:rPr>
                <w:rFonts w:cstheme="minorHAnsi"/>
                <w:lang w:val="en-GB"/>
              </w:rPr>
            </w:pPr>
            <w:r w:rsidRPr="00C502E3">
              <w:rPr>
                <w:rFonts w:cstheme="minorHAnsi"/>
                <w:lang w:val="en-GB"/>
              </w:rPr>
              <w:t>All g</w:t>
            </w:r>
            <w:r w:rsidR="00CB27E0" w:rsidRPr="00C502E3">
              <w:rPr>
                <w:rFonts w:cstheme="minorHAnsi"/>
                <w:lang w:val="en-GB"/>
              </w:rPr>
              <w:t xml:space="preserve">ood practices </w:t>
            </w:r>
            <w:r w:rsidRPr="00C502E3">
              <w:rPr>
                <w:rFonts w:cstheme="minorHAnsi"/>
                <w:lang w:val="en-GB"/>
              </w:rPr>
              <w:t xml:space="preserve">gathered within the project </w:t>
            </w:r>
            <w:r w:rsidR="00CB27E0" w:rsidRPr="00C502E3">
              <w:rPr>
                <w:rFonts w:cstheme="minorHAnsi"/>
                <w:lang w:val="en-GB"/>
              </w:rPr>
              <w:t xml:space="preserve">will be reviewed and evaluated by project partners and external experts </w:t>
            </w:r>
            <w:r w:rsidRPr="00C502E3">
              <w:rPr>
                <w:rFonts w:cstheme="minorHAnsi"/>
                <w:lang w:val="en-GB"/>
              </w:rPr>
              <w:t>(</w:t>
            </w:r>
            <w:r w:rsidR="00CB27E0" w:rsidRPr="00C502E3">
              <w:rPr>
                <w:rFonts w:cstheme="minorHAnsi"/>
                <w:lang w:val="en-GB"/>
              </w:rPr>
              <w:t>ranking list</w:t>
            </w:r>
            <w:r w:rsidRPr="00C502E3">
              <w:rPr>
                <w:rFonts w:cstheme="minorHAnsi"/>
                <w:lang w:val="en-GB"/>
              </w:rPr>
              <w:t>).</w:t>
            </w:r>
          </w:p>
          <w:p w14:paraId="46ABD096" w14:textId="6A43E5E4" w:rsidR="00CB27E0" w:rsidRPr="00C502E3" w:rsidRDefault="00CB27E0" w:rsidP="00CB27E0">
            <w:pPr>
              <w:rPr>
                <w:rFonts w:cstheme="minorHAnsi"/>
                <w:lang w:val="en-GB"/>
              </w:rPr>
            </w:pPr>
            <w:r w:rsidRPr="00C502E3">
              <w:rPr>
                <w:rFonts w:cstheme="minorHAnsi"/>
                <w:lang w:val="en-GB"/>
              </w:rPr>
              <w:t xml:space="preserve">d) </w:t>
            </w:r>
            <w:r w:rsidR="00A62142" w:rsidRPr="00C502E3">
              <w:rPr>
                <w:rFonts w:cstheme="minorHAnsi"/>
                <w:lang w:val="en-GB"/>
              </w:rPr>
              <w:t>Organization</w:t>
            </w:r>
            <w:r w:rsidRPr="00C502E3">
              <w:rPr>
                <w:rFonts w:cstheme="minorHAnsi"/>
                <w:lang w:val="en-GB"/>
              </w:rPr>
              <w:t xml:space="preserve"> of 3 </w:t>
            </w:r>
            <w:r w:rsidR="004F5438" w:rsidRPr="00C502E3">
              <w:rPr>
                <w:rFonts w:cstheme="minorHAnsi"/>
                <w:lang w:val="en-GB"/>
              </w:rPr>
              <w:t>T</w:t>
            </w:r>
            <w:r w:rsidRPr="00C502E3">
              <w:rPr>
                <w:rFonts w:cstheme="minorHAnsi"/>
                <w:lang w:val="en-GB"/>
              </w:rPr>
              <w:t xml:space="preserve">utoring </w:t>
            </w:r>
            <w:r w:rsidR="004F5438" w:rsidRPr="00C502E3">
              <w:rPr>
                <w:rFonts w:cstheme="minorHAnsi"/>
                <w:lang w:val="en-GB"/>
              </w:rPr>
              <w:t>S</w:t>
            </w:r>
            <w:r w:rsidRPr="00C502E3">
              <w:rPr>
                <w:rFonts w:cstheme="minorHAnsi"/>
                <w:lang w:val="en-GB"/>
              </w:rPr>
              <w:t>essions</w:t>
            </w:r>
            <w:r w:rsidR="004F5438" w:rsidRPr="00C502E3">
              <w:rPr>
                <w:rFonts w:cstheme="minorHAnsi"/>
                <w:lang w:val="en-GB"/>
              </w:rPr>
              <w:t xml:space="preserve"> (TS)</w:t>
            </w:r>
            <w:r w:rsidRPr="00C502E3">
              <w:rPr>
                <w:rFonts w:cstheme="minorHAnsi"/>
                <w:lang w:val="en-GB"/>
              </w:rPr>
              <w:t xml:space="preserve"> - 1 session for each of the 3 categories</w:t>
            </w:r>
            <w:r w:rsidR="004D781F" w:rsidRPr="00C502E3">
              <w:rPr>
                <w:rFonts w:cstheme="minorHAnsi"/>
                <w:lang w:val="en-GB"/>
              </w:rPr>
              <w:t>.</w:t>
            </w:r>
          </w:p>
          <w:p w14:paraId="486DF20B" w14:textId="04C56B1A" w:rsidR="00CB27E0" w:rsidRPr="00C502E3" w:rsidRDefault="00CB27E0" w:rsidP="00CB27E0">
            <w:pPr>
              <w:rPr>
                <w:rFonts w:cstheme="minorHAnsi"/>
                <w:lang w:val="en-GB"/>
              </w:rPr>
            </w:pPr>
            <w:r w:rsidRPr="00C502E3">
              <w:rPr>
                <w:rFonts w:cstheme="minorHAnsi"/>
                <w:lang w:val="en-GB"/>
              </w:rPr>
              <w:t xml:space="preserve">e) </w:t>
            </w:r>
            <w:r w:rsidR="00A62142" w:rsidRPr="00C502E3">
              <w:rPr>
                <w:rFonts w:cstheme="minorHAnsi"/>
                <w:lang w:val="en-GB"/>
              </w:rPr>
              <w:t>Organization</w:t>
            </w:r>
            <w:r w:rsidRPr="00C502E3">
              <w:rPr>
                <w:rFonts w:cstheme="minorHAnsi"/>
                <w:lang w:val="en-GB"/>
              </w:rPr>
              <w:t xml:space="preserve"> of </w:t>
            </w:r>
            <w:r w:rsidR="00E1125D" w:rsidRPr="00C502E3">
              <w:rPr>
                <w:rFonts w:cstheme="minorHAnsi"/>
                <w:lang w:val="en-GB"/>
              </w:rPr>
              <w:t>S</w:t>
            </w:r>
            <w:r w:rsidRPr="00C502E3">
              <w:rPr>
                <w:rFonts w:cstheme="minorHAnsi"/>
                <w:lang w:val="en-GB"/>
              </w:rPr>
              <w:t xml:space="preserve">tudy </w:t>
            </w:r>
            <w:r w:rsidR="00E1125D" w:rsidRPr="00C502E3">
              <w:rPr>
                <w:rFonts w:cstheme="minorHAnsi"/>
                <w:lang w:val="en-GB"/>
              </w:rPr>
              <w:t>V</w:t>
            </w:r>
            <w:r w:rsidRPr="00C502E3">
              <w:rPr>
                <w:rFonts w:cstheme="minorHAnsi"/>
                <w:lang w:val="en-GB"/>
              </w:rPr>
              <w:t xml:space="preserve">isits </w:t>
            </w:r>
            <w:r w:rsidR="00A62142" w:rsidRPr="00C502E3">
              <w:rPr>
                <w:rFonts w:cstheme="minorHAnsi"/>
                <w:lang w:val="en-GB"/>
              </w:rPr>
              <w:t xml:space="preserve">to </w:t>
            </w:r>
            <w:r w:rsidRPr="00C502E3">
              <w:rPr>
                <w:rFonts w:cstheme="minorHAnsi"/>
                <w:lang w:val="en-GB"/>
              </w:rPr>
              <w:t>present</w:t>
            </w:r>
            <w:r w:rsidR="00A62142" w:rsidRPr="00C502E3">
              <w:rPr>
                <w:rFonts w:cstheme="minorHAnsi"/>
                <w:lang w:val="en-GB"/>
              </w:rPr>
              <w:t xml:space="preserve"> the </w:t>
            </w:r>
            <w:r w:rsidRPr="00C502E3">
              <w:rPr>
                <w:rFonts w:cstheme="minorHAnsi"/>
                <w:lang w:val="en-GB"/>
              </w:rPr>
              <w:t>selected good practices</w:t>
            </w:r>
            <w:r w:rsidR="004D781F" w:rsidRPr="00C502E3">
              <w:rPr>
                <w:rFonts w:cstheme="minorHAnsi"/>
                <w:lang w:val="en-GB"/>
              </w:rPr>
              <w:t xml:space="preserve"> and conduct</w:t>
            </w:r>
            <w:r w:rsidRPr="00C502E3">
              <w:rPr>
                <w:rFonts w:cstheme="minorHAnsi"/>
                <w:lang w:val="en-GB"/>
              </w:rPr>
              <w:t xml:space="preserve"> technical meetings and workshops.</w:t>
            </w:r>
          </w:p>
          <w:p w14:paraId="0F42D9C3" w14:textId="77777777" w:rsidR="00BD263D" w:rsidRPr="00C502E3" w:rsidRDefault="00BD263D" w:rsidP="00CB27E0">
            <w:pPr>
              <w:rPr>
                <w:rFonts w:cstheme="minorHAnsi"/>
                <w:lang w:val="en-GB"/>
              </w:rPr>
            </w:pPr>
          </w:p>
          <w:p w14:paraId="3CEB6AE2" w14:textId="709CA093" w:rsidR="00CB27E0" w:rsidRPr="00C502E3" w:rsidRDefault="00594CAD" w:rsidP="00CB27E0">
            <w:pPr>
              <w:rPr>
                <w:rFonts w:cstheme="minorHAnsi"/>
                <w:b/>
                <w:bCs/>
                <w:lang w:val="en-GB"/>
              </w:rPr>
            </w:pPr>
            <w:r w:rsidRPr="00C502E3">
              <w:rPr>
                <w:rFonts w:cstheme="minorHAnsi"/>
                <w:b/>
                <w:bCs/>
                <w:lang w:val="en-GB"/>
              </w:rPr>
              <w:t>Section</w:t>
            </w:r>
            <w:r w:rsidR="00CB27E0" w:rsidRPr="00C502E3">
              <w:rPr>
                <w:rFonts w:cstheme="minorHAnsi"/>
                <w:b/>
                <w:bCs/>
                <w:lang w:val="en-GB"/>
              </w:rPr>
              <w:t xml:space="preserve"> 2 - New and improved policy instruments</w:t>
            </w:r>
          </w:p>
          <w:p w14:paraId="2E70469B" w14:textId="51ADC69E" w:rsidR="00CB27E0" w:rsidRPr="00C502E3" w:rsidRDefault="00CB27E0" w:rsidP="00CB27E0">
            <w:pPr>
              <w:rPr>
                <w:rFonts w:cstheme="minorHAnsi"/>
                <w:lang w:val="en-GB"/>
              </w:rPr>
            </w:pPr>
            <w:r w:rsidRPr="00C502E3">
              <w:rPr>
                <w:rFonts w:cstheme="minorHAnsi"/>
                <w:lang w:val="en-GB"/>
              </w:rPr>
              <w:t xml:space="preserve">a) </w:t>
            </w:r>
            <w:r w:rsidR="004D781F" w:rsidRPr="00C502E3">
              <w:rPr>
                <w:rFonts w:cstheme="minorHAnsi"/>
                <w:lang w:val="en-GB"/>
              </w:rPr>
              <w:t>I</w:t>
            </w:r>
            <w:r w:rsidRPr="00C502E3">
              <w:rPr>
                <w:rFonts w:cstheme="minorHAnsi"/>
                <w:lang w:val="en-GB"/>
              </w:rPr>
              <w:t xml:space="preserve">dentification of </w:t>
            </w:r>
            <w:r w:rsidR="003F304A" w:rsidRPr="00C502E3">
              <w:rPr>
                <w:rFonts w:cstheme="minorHAnsi"/>
                <w:lang w:val="en-GB"/>
              </w:rPr>
              <w:t xml:space="preserve">selected </w:t>
            </w:r>
            <w:r w:rsidRPr="00C502E3">
              <w:rPr>
                <w:rFonts w:cstheme="minorHAnsi"/>
                <w:lang w:val="en-GB"/>
              </w:rPr>
              <w:t>good practices</w:t>
            </w:r>
            <w:r w:rsidR="004D781F" w:rsidRPr="00C502E3">
              <w:rPr>
                <w:rFonts w:cstheme="minorHAnsi"/>
                <w:lang w:val="en-GB"/>
              </w:rPr>
              <w:t>.</w:t>
            </w:r>
          </w:p>
          <w:p w14:paraId="24516E5E" w14:textId="1751ED11" w:rsidR="00CB27E0" w:rsidRPr="00C502E3" w:rsidRDefault="00CB27E0" w:rsidP="00CB27E0">
            <w:pPr>
              <w:rPr>
                <w:rFonts w:cstheme="minorHAnsi"/>
                <w:lang w:val="en-GB"/>
              </w:rPr>
            </w:pPr>
            <w:r w:rsidRPr="00C502E3">
              <w:rPr>
                <w:rFonts w:cstheme="minorHAnsi"/>
                <w:lang w:val="en-GB"/>
              </w:rPr>
              <w:t xml:space="preserve">b) </w:t>
            </w:r>
            <w:r w:rsidR="00336942" w:rsidRPr="00C502E3">
              <w:rPr>
                <w:rFonts w:cstheme="minorHAnsi"/>
                <w:lang w:val="en-GB"/>
              </w:rPr>
              <w:t>peer r</w:t>
            </w:r>
            <w:r w:rsidRPr="00C502E3">
              <w:rPr>
                <w:rFonts w:cstheme="minorHAnsi"/>
                <w:lang w:val="en-GB"/>
              </w:rPr>
              <w:t>eview</w:t>
            </w:r>
            <w:r w:rsidR="003F304A" w:rsidRPr="00C502E3">
              <w:rPr>
                <w:rFonts w:cstheme="minorHAnsi"/>
                <w:lang w:val="en-GB"/>
              </w:rPr>
              <w:t xml:space="preserve"> of </w:t>
            </w:r>
            <w:r w:rsidR="00336942" w:rsidRPr="00C502E3">
              <w:rPr>
                <w:rFonts w:cstheme="minorHAnsi"/>
                <w:lang w:val="en-GB"/>
              </w:rPr>
              <w:t xml:space="preserve">earmarked </w:t>
            </w:r>
            <w:r w:rsidR="003F304A" w:rsidRPr="00C502E3">
              <w:rPr>
                <w:rFonts w:cstheme="minorHAnsi"/>
                <w:lang w:val="en-GB"/>
              </w:rPr>
              <w:t>policy instrument</w:t>
            </w:r>
            <w:r w:rsidR="00336942" w:rsidRPr="00C502E3">
              <w:rPr>
                <w:rFonts w:cstheme="minorHAnsi"/>
                <w:lang w:val="en-GB"/>
              </w:rPr>
              <w:t>s</w:t>
            </w:r>
            <w:r w:rsidRPr="00C502E3">
              <w:rPr>
                <w:rFonts w:cstheme="minorHAnsi"/>
                <w:lang w:val="en-GB"/>
              </w:rPr>
              <w:t xml:space="preserve"> (each partner)</w:t>
            </w:r>
            <w:r w:rsidR="00336942" w:rsidRPr="00C502E3">
              <w:rPr>
                <w:rFonts w:cstheme="minorHAnsi"/>
                <w:lang w:val="en-GB"/>
              </w:rPr>
              <w:t>,</w:t>
            </w:r>
          </w:p>
          <w:p w14:paraId="6303DF9E" w14:textId="0F94E2BA" w:rsidR="00CB27E0" w:rsidRPr="00C502E3" w:rsidRDefault="00CB27E0" w:rsidP="00CB27E0">
            <w:pPr>
              <w:rPr>
                <w:rFonts w:cstheme="minorHAnsi"/>
                <w:lang w:val="en-GB"/>
              </w:rPr>
            </w:pPr>
            <w:r w:rsidRPr="00C502E3">
              <w:rPr>
                <w:rFonts w:cstheme="minorHAnsi"/>
                <w:lang w:val="en-GB"/>
              </w:rPr>
              <w:t xml:space="preserve">c) </w:t>
            </w:r>
            <w:r w:rsidR="004D781F" w:rsidRPr="00C502E3">
              <w:rPr>
                <w:rFonts w:cstheme="minorHAnsi"/>
                <w:lang w:val="en-GB"/>
              </w:rPr>
              <w:t xml:space="preserve">the </w:t>
            </w:r>
            <w:r w:rsidR="00336942" w:rsidRPr="00C502E3">
              <w:rPr>
                <w:rFonts w:cstheme="minorHAnsi"/>
                <w:lang w:val="en-GB"/>
              </w:rPr>
              <w:t>r</w:t>
            </w:r>
            <w:r w:rsidRPr="00C502E3">
              <w:rPr>
                <w:rFonts w:cstheme="minorHAnsi"/>
                <w:lang w:val="en-GB"/>
              </w:rPr>
              <w:t xml:space="preserve">oadmap - </w:t>
            </w:r>
            <w:r w:rsidR="00336942" w:rsidRPr="00C502E3">
              <w:rPr>
                <w:rFonts w:cstheme="minorHAnsi"/>
                <w:lang w:val="en-GB"/>
              </w:rPr>
              <w:t>i</w:t>
            </w:r>
            <w:r w:rsidRPr="00C502E3">
              <w:rPr>
                <w:rFonts w:cstheme="minorHAnsi"/>
                <w:lang w:val="en-GB"/>
              </w:rPr>
              <w:t>mplementation scheme for building/improving a policy instrument</w:t>
            </w:r>
          </w:p>
          <w:p w14:paraId="26A69794" w14:textId="710C86C5" w:rsidR="00CB27E0" w:rsidRPr="00C502E3" w:rsidRDefault="00CB27E0" w:rsidP="00CB27E0">
            <w:pPr>
              <w:rPr>
                <w:rFonts w:cstheme="minorHAnsi"/>
                <w:lang w:val="en-GB"/>
              </w:rPr>
            </w:pPr>
            <w:r w:rsidRPr="00C502E3">
              <w:rPr>
                <w:rFonts w:cstheme="minorHAnsi"/>
                <w:lang w:val="en-GB"/>
              </w:rPr>
              <w:t xml:space="preserve">d) </w:t>
            </w:r>
            <w:r w:rsidR="00AF7975" w:rsidRPr="00C502E3">
              <w:rPr>
                <w:rFonts w:cstheme="minorHAnsi"/>
                <w:lang w:val="en-GB"/>
              </w:rPr>
              <w:t xml:space="preserve">Summary </w:t>
            </w:r>
            <w:r w:rsidR="004D781F" w:rsidRPr="00C502E3">
              <w:rPr>
                <w:rFonts w:cstheme="minorHAnsi"/>
                <w:lang w:val="en-GB"/>
              </w:rPr>
              <w:t>r</w:t>
            </w:r>
            <w:r w:rsidR="00AF7975" w:rsidRPr="00C502E3">
              <w:rPr>
                <w:rFonts w:cstheme="minorHAnsi"/>
                <w:lang w:val="en-GB"/>
              </w:rPr>
              <w:t>eport</w:t>
            </w:r>
            <w:r w:rsidRPr="00C502E3">
              <w:rPr>
                <w:rFonts w:cstheme="minorHAnsi"/>
                <w:lang w:val="en-GB"/>
              </w:rPr>
              <w:t xml:space="preserve"> (</w:t>
            </w:r>
            <w:r w:rsidR="004D781F" w:rsidRPr="00C502E3">
              <w:rPr>
                <w:rFonts w:cstheme="minorHAnsi"/>
                <w:lang w:val="en-GB"/>
              </w:rPr>
              <w:t xml:space="preserve">or </w:t>
            </w:r>
            <w:r w:rsidRPr="00C502E3">
              <w:rPr>
                <w:rFonts w:cstheme="minorHAnsi"/>
                <w:lang w:val="en-GB"/>
              </w:rPr>
              <w:t>Action Plan</w:t>
            </w:r>
            <w:r w:rsidR="004D781F" w:rsidRPr="00C502E3">
              <w:rPr>
                <w:rFonts w:cstheme="minorHAnsi"/>
                <w:lang w:val="en-GB"/>
              </w:rPr>
              <w:t>,</w:t>
            </w:r>
            <w:r w:rsidR="00F250BE" w:rsidRPr="00C502E3">
              <w:rPr>
                <w:rFonts w:cstheme="minorHAnsi"/>
                <w:lang w:val="en-GB"/>
              </w:rPr>
              <w:t xml:space="preserve"> if needed</w:t>
            </w:r>
            <w:r w:rsidRPr="00C502E3">
              <w:rPr>
                <w:rFonts w:cstheme="minorHAnsi"/>
                <w:lang w:val="en-GB"/>
              </w:rPr>
              <w:t>)</w:t>
            </w:r>
          </w:p>
          <w:p w14:paraId="6D3B670C" w14:textId="77777777" w:rsidR="00BD263D" w:rsidRPr="00C502E3" w:rsidRDefault="00BD263D" w:rsidP="00CB27E0">
            <w:pPr>
              <w:rPr>
                <w:rFonts w:cstheme="minorHAnsi"/>
                <w:lang w:val="en-GB"/>
              </w:rPr>
            </w:pPr>
          </w:p>
          <w:p w14:paraId="566C1A25" w14:textId="3F5D3878" w:rsidR="00F774BE" w:rsidRPr="00C502E3" w:rsidRDefault="00594CAD" w:rsidP="00CB27E0">
            <w:pPr>
              <w:rPr>
                <w:rFonts w:cstheme="minorHAnsi"/>
                <w:b/>
                <w:bCs/>
                <w:lang w:val="en-GB"/>
              </w:rPr>
            </w:pPr>
            <w:r w:rsidRPr="00C502E3">
              <w:rPr>
                <w:rFonts w:cstheme="minorHAnsi"/>
                <w:b/>
                <w:bCs/>
                <w:lang w:val="en-GB"/>
              </w:rPr>
              <w:t>Section</w:t>
            </w:r>
            <w:r w:rsidR="00CB27E0" w:rsidRPr="00C502E3">
              <w:rPr>
                <w:rFonts w:cstheme="minorHAnsi"/>
                <w:b/>
                <w:bCs/>
                <w:lang w:val="en-GB"/>
              </w:rPr>
              <w:t xml:space="preserve"> 3 </w:t>
            </w:r>
            <w:r w:rsidR="00F250BE" w:rsidRPr="00C502E3">
              <w:rPr>
                <w:rFonts w:cstheme="minorHAnsi"/>
                <w:b/>
                <w:bCs/>
                <w:lang w:val="en-GB"/>
              </w:rPr>
              <w:t>–</w:t>
            </w:r>
            <w:r w:rsidR="00CB27E0" w:rsidRPr="00C502E3">
              <w:rPr>
                <w:rFonts w:cstheme="minorHAnsi"/>
                <w:b/>
                <w:bCs/>
                <w:lang w:val="en-GB"/>
              </w:rPr>
              <w:t xml:space="preserve"> </w:t>
            </w:r>
            <w:r w:rsidR="00F250BE" w:rsidRPr="00C502E3">
              <w:rPr>
                <w:rFonts w:cstheme="minorHAnsi"/>
                <w:b/>
                <w:bCs/>
                <w:lang w:val="en-GB"/>
              </w:rPr>
              <w:t>Follow-up phase - m</w:t>
            </w:r>
            <w:r w:rsidR="00CB27E0" w:rsidRPr="00C502E3">
              <w:rPr>
                <w:rFonts w:cstheme="minorHAnsi"/>
                <w:b/>
                <w:bCs/>
                <w:lang w:val="en-GB"/>
              </w:rPr>
              <w:t>onitoring the effectiveness of implementation</w:t>
            </w:r>
          </w:p>
        </w:tc>
      </w:tr>
      <w:tr w:rsidR="00AF7975" w:rsidRPr="00C502E3" w14:paraId="5C892050" w14:textId="77777777" w:rsidTr="00AB7E81">
        <w:trPr>
          <w:trHeight w:val="572"/>
        </w:trPr>
        <w:tc>
          <w:tcPr>
            <w:tcW w:w="1844" w:type="dxa"/>
          </w:tcPr>
          <w:p w14:paraId="4E159AAC" w14:textId="302DE482" w:rsidR="00AF7975" w:rsidRPr="00C502E3" w:rsidRDefault="00AF7975" w:rsidP="00F774BE">
            <w:pPr>
              <w:rPr>
                <w:rFonts w:cstheme="minorHAnsi"/>
                <w:b/>
                <w:bCs/>
                <w:lang w:val="en-GB"/>
              </w:rPr>
            </w:pPr>
            <w:r w:rsidRPr="00C502E3">
              <w:rPr>
                <w:rFonts w:cstheme="minorHAnsi"/>
                <w:b/>
                <w:bCs/>
                <w:lang w:val="en-GB"/>
              </w:rPr>
              <w:t>Expected Partners</w:t>
            </w:r>
          </w:p>
        </w:tc>
        <w:tc>
          <w:tcPr>
            <w:tcW w:w="8363" w:type="dxa"/>
          </w:tcPr>
          <w:p w14:paraId="2DDB98FE" w14:textId="05730811" w:rsidR="009B7E3C" w:rsidRPr="00C502E3" w:rsidRDefault="009B7E3C" w:rsidP="009B7E3C">
            <w:pPr>
              <w:pStyle w:val="NormalnyWeb"/>
              <w:jc w:val="both"/>
              <w:rPr>
                <w:rFonts w:asciiTheme="minorHAnsi" w:eastAsiaTheme="minorHAnsi" w:hAnsiTheme="minorHAnsi" w:cstheme="minorHAnsi"/>
                <w:sz w:val="22"/>
                <w:szCs w:val="22"/>
                <w:lang w:val="en-GB" w:eastAsia="en-US"/>
              </w:rPr>
            </w:pPr>
            <w:r w:rsidRPr="009B7E3C">
              <w:rPr>
                <w:rFonts w:asciiTheme="minorHAnsi" w:eastAsiaTheme="minorHAnsi" w:hAnsiTheme="minorHAnsi" w:cstheme="minorHAnsi"/>
                <w:b/>
                <w:bCs/>
                <w:color w:val="FF0000"/>
                <w:sz w:val="22"/>
                <w:szCs w:val="22"/>
                <w:lang w:val="en-GB" w:eastAsia="en-US"/>
              </w:rPr>
              <w:t>We are looking for p</w:t>
            </w:r>
            <w:r w:rsidR="00F250BE" w:rsidRPr="009B7E3C">
              <w:rPr>
                <w:rFonts w:asciiTheme="minorHAnsi" w:eastAsiaTheme="minorHAnsi" w:hAnsiTheme="minorHAnsi" w:cstheme="minorHAnsi"/>
                <w:b/>
                <w:bCs/>
                <w:color w:val="FF0000"/>
                <w:sz w:val="22"/>
                <w:szCs w:val="22"/>
                <w:lang w:val="en-GB" w:eastAsia="en-US"/>
              </w:rPr>
              <w:t>olicy responsible authorities</w:t>
            </w:r>
            <w:r w:rsidRPr="009B7E3C">
              <w:rPr>
                <w:rFonts w:asciiTheme="minorHAnsi" w:eastAsiaTheme="minorHAnsi" w:hAnsiTheme="minorHAnsi" w:cstheme="minorHAnsi"/>
                <w:b/>
                <w:bCs/>
                <w:color w:val="FF0000"/>
                <w:sz w:val="22"/>
                <w:szCs w:val="22"/>
                <w:lang w:val="en-GB" w:eastAsia="en-US"/>
              </w:rPr>
              <w:t xml:space="preserve"> only</w:t>
            </w:r>
            <w:r w:rsidR="00F250BE" w:rsidRPr="009B7E3C">
              <w:rPr>
                <w:rFonts w:asciiTheme="minorHAnsi" w:eastAsiaTheme="minorHAnsi" w:hAnsiTheme="minorHAnsi" w:cstheme="minorHAnsi"/>
                <w:b/>
                <w:bCs/>
                <w:color w:val="FF0000"/>
                <w:sz w:val="22"/>
                <w:szCs w:val="22"/>
                <w:lang w:val="en-GB" w:eastAsia="en-US"/>
              </w:rPr>
              <w:t>:</w:t>
            </w:r>
            <w:r w:rsidR="00F250BE" w:rsidRPr="009B7E3C">
              <w:rPr>
                <w:rFonts w:asciiTheme="minorHAnsi" w:eastAsiaTheme="minorHAnsi" w:hAnsiTheme="minorHAnsi" w:cstheme="minorHAnsi"/>
                <w:color w:val="FF0000"/>
                <w:sz w:val="22"/>
                <w:szCs w:val="22"/>
                <w:lang w:val="en-GB" w:eastAsia="en-US"/>
              </w:rPr>
              <w:t xml:space="preserve"> </w:t>
            </w:r>
            <w:r w:rsidR="00F250BE" w:rsidRPr="00C502E3">
              <w:rPr>
                <w:rFonts w:asciiTheme="minorHAnsi" w:eastAsiaTheme="minorHAnsi" w:hAnsiTheme="minorHAnsi" w:cstheme="minorHAnsi"/>
                <w:sz w:val="22"/>
                <w:szCs w:val="22"/>
                <w:lang w:val="en-GB" w:eastAsia="en-US"/>
              </w:rPr>
              <w:t>national, regional, local public authorities and other relevant bodies directly responsible for elaborating and/or delivering regional development policies.</w:t>
            </w:r>
          </w:p>
        </w:tc>
      </w:tr>
      <w:tr w:rsidR="00AF7975" w:rsidRPr="00C502E3" w14:paraId="202B8AD0" w14:textId="77777777" w:rsidTr="00AB7E81">
        <w:trPr>
          <w:trHeight w:val="694"/>
        </w:trPr>
        <w:tc>
          <w:tcPr>
            <w:tcW w:w="1844" w:type="dxa"/>
          </w:tcPr>
          <w:p w14:paraId="5DBCAA7D" w14:textId="77777777" w:rsidR="00AF7975" w:rsidRPr="00C502E3" w:rsidRDefault="00AF7975" w:rsidP="00F774BE">
            <w:pPr>
              <w:rPr>
                <w:rFonts w:cstheme="minorHAnsi"/>
                <w:b/>
                <w:bCs/>
                <w:lang w:val="en-GB"/>
              </w:rPr>
            </w:pPr>
            <w:r w:rsidRPr="00C502E3">
              <w:rPr>
                <w:rFonts w:cstheme="minorHAnsi"/>
                <w:b/>
                <w:bCs/>
                <w:lang w:val="en-GB"/>
              </w:rPr>
              <w:t xml:space="preserve">Partnership </w:t>
            </w:r>
          </w:p>
          <w:p w14:paraId="3F185153" w14:textId="741C8923" w:rsidR="005F49B5" w:rsidRPr="00C502E3" w:rsidRDefault="005F49B5" w:rsidP="00F774BE">
            <w:pPr>
              <w:rPr>
                <w:rFonts w:cstheme="minorHAnsi"/>
                <w:lang w:val="en-GB"/>
              </w:rPr>
            </w:pPr>
            <w:r w:rsidRPr="00C502E3">
              <w:rPr>
                <w:rFonts w:cstheme="minorHAnsi"/>
                <w:lang w:val="en-GB"/>
              </w:rPr>
              <w:t>(Identified so far)</w:t>
            </w:r>
          </w:p>
        </w:tc>
        <w:tc>
          <w:tcPr>
            <w:tcW w:w="8363" w:type="dxa"/>
          </w:tcPr>
          <w:p w14:paraId="4A23CA62" w14:textId="1F773C0C" w:rsidR="00AF7975" w:rsidRPr="00C502E3" w:rsidRDefault="00082A5E" w:rsidP="00F774BE">
            <w:pPr>
              <w:rPr>
                <w:rFonts w:cstheme="minorHAnsi"/>
                <w:lang w:val="en-GB"/>
              </w:rPr>
            </w:pPr>
            <w:r w:rsidRPr="00C502E3">
              <w:rPr>
                <w:rFonts w:cstheme="minorHAnsi"/>
                <w:lang w:val="en-GB"/>
              </w:rPr>
              <w:t>Kujawsko-Pomorskie Voivodeship (LP) - Poland</w:t>
            </w:r>
          </w:p>
          <w:p w14:paraId="16A88937" w14:textId="7CE718F1" w:rsidR="00594CAD" w:rsidRPr="00C502E3" w:rsidRDefault="00594CAD" w:rsidP="00F774BE">
            <w:pPr>
              <w:rPr>
                <w:rFonts w:cstheme="minorHAnsi"/>
                <w:lang w:val="en-GB"/>
              </w:rPr>
            </w:pPr>
            <w:proofErr w:type="spellStart"/>
            <w:r w:rsidRPr="00C502E3">
              <w:rPr>
                <w:rFonts w:cstheme="minorHAnsi"/>
                <w:lang w:val="en-GB"/>
              </w:rPr>
              <w:t>Gérontopôle</w:t>
            </w:r>
            <w:proofErr w:type="spellEnd"/>
            <w:r w:rsidRPr="00C502E3">
              <w:rPr>
                <w:rFonts w:cstheme="minorHAnsi"/>
                <w:lang w:val="en-GB"/>
              </w:rPr>
              <w:t xml:space="preserve"> of Nouvelle-Aquitaine</w:t>
            </w:r>
            <w:r w:rsidR="00F250BE" w:rsidRPr="00C502E3">
              <w:rPr>
                <w:rFonts w:cstheme="minorHAnsi"/>
                <w:lang w:val="en-GB"/>
              </w:rPr>
              <w:t xml:space="preserve"> </w:t>
            </w:r>
            <w:r w:rsidR="000C1369" w:rsidRPr="00C502E3">
              <w:rPr>
                <w:rFonts w:cstheme="minorHAnsi"/>
                <w:lang w:val="en-GB"/>
              </w:rPr>
              <w:t>–</w:t>
            </w:r>
            <w:r w:rsidR="00F250BE" w:rsidRPr="00C502E3">
              <w:rPr>
                <w:rFonts w:cstheme="minorHAnsi"/>
                <w:lang w:val="en-GB"/>
              </w:rPr>
              <w:t xml:space="preserve"> France</w:t>
            </w:r>
          </w:p>
          <w:p w14:paraId="48B50016" w14:textId="2CC91408" w:rsidR="000C1369" w:rsidRDefault="000C1369" w:rsidP="00F774BE">
            <w:pPr>
              <w:rPr>
                <w:rFonts w:cstheme="minorHAnsi"/>
                <w:lang w:val="en-GB"/>
              </w:rPr>
            </w:pPr>
            <w:r w:rsidRPr="00C502E3">
              <w:rPr>
                <w:rFonts w:cstheme="minorHAnsi"/>
                <w:lang w:val="en-GB"/>
              </w:rPr>
              <w:t>Health Innovation Centre – Denmark</w:t>
            </w:r>
          </w:p>
          <w:p w14:paraId="39125012" w14:textId="44D010D8" w:rsidR="00EF4102" w:rsidRPr="00C502E3" w:rsidRDefault="00EF4102" w:rsidP="00F774BE">
            <w:pPr>
              <w:rPr>
                <w:rFonts w:cstheme="minorHAnsi"/>
                <w:lang w:val="en-GB"/>
              </w:rPr>
            </w:pPr>
            <w:r w:rsidRPr="00EF4102">
              <w:rPr>
                <w:rFonts w:cstheme="minorHAnsi"/>
                <w:lang w:val="en-GB"/>
              </w:rPr>
              <w:t xml:space="preserve">Local Health Authority ULSS  7 </w:t>
            </w:r>
            <w:proofErr w:type="spellStart"/>
            <w:r w:rsidRPr="00EF4102">
              <w:rPr>
                <w:rFonts w:cstheme="minorHAnsi"/>
                <w:lang w:val="en-GB"/>
              </w:rPr>
              <w:t>Pedemontana</w:t>
            </w:r>
            <w:proofErr w:type="spellEnd"/>
            <w:r w:rsidRPr="00EF4102">
              <w:rPr>
                <w:rFonts w:cstheme="minorHAnsi"/>
                <w:lang w:val="en-GB"/>
              </w:rPr>
              <w:t xml:space="preserve"> - Veneto Region</w:t>
            </w:r>
            <w:r>
              <w:rPr>
                <w:rFonts w:cstheme="minorHAnsi"/>
                <w:lang w:val="en-GB"/>
              </w:rPr>
              <w:t>, Italy</w:t>
            </w:r>
          </w:p>
          <w:p w14:paraId="71C24EAE" w14:textId="243CDBD1" w:rsidR="000C1369" w:rsidRPr="00C502E3" w:rsidRDefault="000C1369" w:rsidP="00F774BE">
            <w:pPr>
              <w:rPr>
                <w:rFonts w:cstheme="minorHAnsi"/>
                <w:lang w:val="en-GB"/>
              </w:rPr>
            </w:pPr>
            <w:r w:rsidRPr="00C502E3">
              <w:rPr>
                <w:rFonts w:cstheme="minorHAnsi"/>
                <w:lang w:val="en-GB"/>
              </w:rPr>
              <w:t>Styria Region – Austria</w:t>
            </w:r>
            <w:r w:rsidR="00EF4102">
              <w:rPr>
                <w:rFonts w:cstheme="minorHAnsi"/>
                <w:lang w:val="en-GB"/>
              </w:rPr>
              <w:t xml:space="preserve"> (?)</w:t>
            </w:r>
          </w:p>
          <w:p w14:paraId="54FA143C" w14:textId="78F60186" w:rsidR="000C1369" w:rsidRPr="00C502E3" w:rsidRDefault="000C1369" w:rsidP="00F774BE">
            <w:pPr>
              <w:rPr>
                <w:rFonts w:cstheme="minorHAnsi"/>
                <w:lang w:val="en-GB"/>
              </w:rPr>
            </w:pPr>
            <w:r w:rsidRPr="00C502E3">
              <w:rPr>
                <w:rFonts w:cstheme="minorHAnsi"/>
                <w:lang w:val="en-GB"/>
              </w:rPr>
              <w:t>Union of Municipalities of the Attica Region – Greece</w:t>
            </w:r>
          </w:p>
          <w:p w14:paraId="3E4FA90D" w14:textId="6BBECF2D" w:rsidR="000C1369" w:rsidRPr="00C502E3" w:rsidRDefault="000C1369" w:rsidP="00F774BE">
            <w:pPr>
              <w:rPr>
                <w:rFonts w:cstheme="minorHAnsi"/>
                <w:lang w:val="en-GB"/>
              </w:rPr>
            </w:pPr>
            <w:r w:rsidRPr="00C502E3">
              <w:rPr>
                <w:rFonts w:cstheme="minorHAnsi"/>
                <w:lang w:val="en-GB"/>
              </w:rPr>
              <w:t>Saxony-Anhalt</w:t>
            </w:r>
            <w:r w:rsidR="008079A4" w:rsidRPr="00C502E3">
              <w:rPr>
                <w:rFonts w:cstheme="minorHAnsi"/>
                <w:lang w:val="en-GB"/>
              </w:rPr>
              <w:t xml:space="preserve"> State – Germany</w:t>
            </w:r>
            <w:r w:rsidR="00EF4102">
              <w:rPr>
                <w:rFonts w:cstheme="minorHAnsi"/>
                <w:lang w:val="en-GB"/>
              </w:rPr>
              <w:t xml:space="preserve"> (?)</w:t>
            </w:r>
          </w:p>
          <w:p w14:paraId="22F4B0B3" w14:textId="5E74C2A6" w:rsidR="008079A4" w:rsidRPr="00C502E3" w:rsidRDefault="008079A4" w:rsidP="00F774BE">
            <w:pPr>
              <w:rPr>
                <w:rFonts w:cstheme="minorHAnsi"/>
                <w:lang w:val="en-GB"/>
              </w:rPr>
            </w:pPr>
            <w:r w:rsidRPr="00C502E3">
              <w:rPr>
                <w:rFonts w:cstheme="minorHAnsi"/>
                <w:lang w:val="en-GB"/>
              </w:rPr>
              <w:t xml:space="preserve">Linkoping City </w:t>
            </w:r>
            <w:r w:rsidR="00EF4102">
              <w:rPr>
                <w:rFonts w:cstheme="minorHAnsi"/>
                <w:lang w:val="en-GB"/>
              </w:rPr>
              <w:t>–</w:t>
            </w:r>
            <w:r w:rsidRPr="00C502E3">
              <w:rPr>
                <w:rFonts w:cstheme="minorHAnsi"/>
                <w:lang w:val="en-GB"/>
              </w:rPr>
              <w:t xml:space="preserve"> Sweden</w:t>
            </w:r>
            <w:r w:rsidR="00EF4102">
              <w:rPr>
                <w:rFonts w:cstheme="minorHAnsi"/>
                <w:lang w:val="en-GB"/>
              </w:rPr>
              <w:t xml:space="preserve"> (?)</w:t>
            </w:r>
          </w:p>
        </w:tc>
      </w:tr>
      <w:tr w:rsidR="00AF7975" w:rsidRPr="00C502E3" w14:paraId="21B73B12" w14:textId="77777777" w:rsidTr="00AB7E81">
        <w:trPr>
          <w:trHeight w:val="865"/>
        </w:trPr>
        <w:tc>
          <w:tcPr>
            <w:tcW w:w="1844" w:type="dxa"/>
          </w:tcPr>
          <w:p w14:paraId="4179017D" w14:textId="37CE5EFB" w:rsidR="00AF7975" w:rsidRPr="00C502E3" w:rsidRDefault="00AF7975" w:rsidP="00F774BE">
            <w:pPr>
              <w:rPr>
                <w:rFonts w:cstheme="minorHAnsi"/>
                <w:b/>
                <w:bCs/>
                <w:lang w:val="en-GB"/>
              </w:rPr>
            </w:pPr>
            <w:r w:rsidRPr="00C502E3">
              <w:rPr>
                <w:rFonts w:cstheme="minorHAnsi"/>
                <w:b/>
                <w:bCs/>
                <w:lang w:val="en-GB"/>
              </w:rPr>
              <w:t>Duration</w:t>
            </w:r>
          </w:p>
        </w:tc>
        <w:tc>
          <w:tcPr>
            <w:tcW w:w="8363" w:type="dxa"/>
          </w:tcPr>
          <w:p w14:paraId="705E5B11" w14:textId="77777777" w:rsidR="00BD263D" w:rsidRPr="00C502E3" w:rsidRDefault="00AF7975" w:rsidP="00FC250C">
            <w:pPr>
              <w:autoSpaceDE w:val="0"/>
              <w:autoSpaceDN w:val="0"/>
              <w:adjustRightInd w:val="0"/>
              <w:rPr>
                <w:rFonts w:cstheme="minorHAnsi"/>
                <w:lang w:val="en-GB"/>
              </w:rPr>
            </w:pPr>
            <w:r w:rsidRPr="00C502E3">
              <w:rPr>
                <w:rFonts w:cstheme="minorHAnsi"/>
                <w:lang w:val="en-GB"/>
              </w:rPr>
              <w:t xml:space="preserve">3 years </w:t>
            </w:r>
            <w:r w:rsidR="00BD263D" w:rsidRPr="00C502E3">
              <w:rPr>
                <w:rFonts w:cstheme="minorHAnsi"/>
                <w:lang w:val="en-GB"/>
              </w:rPr>
              <w:t xml:space="preserve">- </w:t>
            </w:r>
            <w:r w:rsidRPr="00C502E3">
              <w:rPr>
                <w:rFonts w:cstheme="minorHAnsi"/>
                <w:lang w:val="en-GB"/>
              </w:rPr>
              <w:t xml:space="preserve">exchange of experience </w:t>
            </w:r>
            <w:r w:rsidR="00BD263D" w:rsidRPr="00C502E3">
              <w:rPr>
                <w:rFonts w:cstheme="minorHAnsi"/>
                <w:lang w:val="en-GB"/>
              </w:rPr>
              <w:t>and policy change</w:t>
            </w:r>
          </w:p>
          <w:p w14:paraId="13BF33DF" w14:textId="646CB21A" w:rsidR="00AF7975" w:rsidRPr="00C502E3" w:rsidRDefault="00BD263D" w:rsidP="00FC250C">
            <w:pPr>
              <w:autoSpaceDE w:val="0"/>
              <w:autoSpaceDN w:val="0"/>
              <w:adjustRightInd w:val="0"/>
              <w:rPr>
                <w:rFonts w:cstheme="minorHAnsi"/>
                <w:lang w:val="en-GB"/>
              </w:rPr>
            </w:pPr>
            <w:r w:rsidRPr="00C502E3">
              <w:rPr>
                <w:rFonts w:cstheme="minorHAnsi"/>
                <w:lang w:val="en-GB"/>
              </w:rPr>
              <w:t xml:space="preserve">+ </w:t>
            </w:r>
            <w:r w:rsidR="00AF7975" w:rsidRPr="00C502E3">
              <w:rPr>
                <w:rFonts w:cstheme="minorHAnsi"/>
                <w:lang w:val="en-GB"/>
              </w:rPr>
              <w:t>1 year to monitor policy improvements</w:t>
            </w:r>
          </w:p>
          <w:p w14:paraId="5A3AED87" w14:textId="54A4941A" w:rsidR="00BD263D" w:rsidRPr="00C502E3" w:rsidRDefault="00AB7E81" w:rsidP="00FC250C">
            <w:pPr>
              <w:autoSpaceDE w:val="0"/>
              <w:autoSpaceDN w:val="0"/>
              <w:adjustRightInd w:val="0"/>
              <w:rPr>
                <w:rFonts w:cstheme="minorHAnsi"/>
                <w:lang w:val="en-GB"/>
              </w:rPr>
            </w:pPr>
            <w:r w:rsidRPr="00C502E3">
              <w:rPr>
                <w:rFonts w:cstheme="minorHAnsi"/>
                <w:lang w:val="en-GB"/>
              </w:rPr>
              <w:t>Timeframe 01.</w:t>
            </w:r>
            <w:r w:rsidR="00BD263D" w:rsidRPr="00C502E3">
              <w:rPr>
                <w:rFonts w:cstheme="minorHAnsi"/>
                <w:lang w:val="en-GB"/>
              </w:rPr>
              <w:t xml:space="preserve">2023 </w:t>
            </w:r>
            <w:r w:rsidRPr="00C502E3">
              <w:rPr>
                <w:rFonts w:cstheme="minorHAnsi"/>
                <w:lang w:val="en-GB"/>
              </w:rPr>
              <w:t>–</w:t>
            </w:r>
            <w:r w:rsidR="00BD263D" w:rsidRPr="00C502E3">
              <w:rPr>
                <w:rFonts w:cstheme="minorHAnsi"/>
                <w:lang w:val="en-GB"/>
              </w:rPr>
              <w:t xml:space="preserve"> </w:t>
            </w:r>
            <w:r w:rsidRPr="00C502E3">
              <w:rPr>
                <w:rFonts w:cstheme="minorHAnsi"/>
                <w:lang w:val="en-GB"/>
              </w:rPr>
              <w:t>12.</w:t>
            </w:r>
            <w:r w:rsidR="00A01860" w:rsidRPr="00C502E3">
              <w:rPr>
                <w:rFonts w:cstheme="minorHAnsi"/>
                <w:lang w:val="en-GB"/>
              </w:rPr>
              <w:t>2026</w:t>
            </w:r>
          </w:p>
        </w:tc>
      </w:tr>
      <w:tr w:rsidR="00AF7975" w:rsidRPr="00C502E3" w14:paraId="4856D4B3" w14:textId="77777777" w:rsidTr="00AB7E81">
        <w:trPr>
          <w:trHeight w:val="436"/>
        </w:trPr>
        <w:tc>
          <w:tcPr>
            <w:tcW w:w="1844" w:type="dxa"/>
          </w:tcPr>
          <w:p w14:paraId="0D61F204" w14:textId="2BD89CDF" w:rsidR="00AF7975" w:rsidRPr="00C502E3" w:rsidRDefault="00594CAD" w:rsidP="00F774BE">
            <w:pPr>
              <w:rPr>
                <w:rFonts w:cstheme="minorHAnsi"/>
                <w:b/>
                <w:bCs/>
                <w:lang w:val="en-GB"/>
              </w:rPr>
            </w:pPr>
            <w:r w:rsidRPr="00C502E3">
              <w:rPr>
                <w:rFonts w:cstheme="minorHAnsi"/>
                <w:b/>
                <w:bCs/>
                <w:lang w:val="en-GB"/>
              </w:rPr>
              <w:t>Project budget</w:t>
            </w:r>
            <w:r w:rsidR="00AF7975" w:rsidRPr="00C502E3">
              <w:rPr>
                <w:rFonts w:cstheme="minorHAnsi"/>
                <w:b/>
                <w:bCs/>
                <w:lang w:val="en-GB"/>
              </w:rPr>
              <w:t xml:space="preserve"> </w:t>
            </w:r>
          </w:p>
        </w:tc>
        <w:tc>
          <w:tcPr>
            <w:tcW w:w="8363" w:type="dxa"/>
          </w:tcPr>
          <w:p w14:paraId="632ACAB1" w14:textId="614A709B" w:rsidR="00AF7975" w:rsidRPr="00C502E3" w:rsidRDefault="00594CAD" w:rsidP="00F774BE">
            <w:pPr>
              <w:rPr>
                <w:rFonts w:cstheme="minorHAnsi"/>
                <w:lang w:val="en-GB"/>
              </w:rPr>
            </w:pPr>
            <w:r w:rsidRPr="00C502E3">
              <w:rPr>
                <w:rFonts w:cstheme="minorHAnsi"/>
                <w:lang w:val="en-GB"/>
              </w:rPr>
              <w:t>1</w:t>
            </w:r>
            <w:r w:rsidR="008079A4" w:rsidRPr="00C502E3">
              <w:rPr>
                <w:rFonts w:cstheme="minorHAnsi"/>
                <w:lang w:val="en-GB"/>
              </w:rPr>
              <w:t>,5</w:t>
            </w:r>
            <w:r w:rsidRPr="00C502E3">
              <w:rPr>
                <w:rFonts w:cstheme="minorHAnsi"/>
                <w:lang w:val="en-GB"/>
              </w:rPr>
              <w:t>-2</w:t>
            </w:r>
            <w:r w:rsidR="009908CF" w:rsidRPr="00C502E3">
              <w:rPr>
                <w:rFonts w:cstheme="minorHAnsi"/>
                <w:lang w:val="en-GB"/>
              </w:rPr>
              <w:t xml:space="preserve"> </w:t>
            </w:r>
            <w:proofErr w:type="spellStart"/>
            <w:r w:rsidR="009908CF" w:rsidRPr="00C502E3">
              <w:rPr>
                <w:rFonts w:cstheme="minorHAnsi"/>
                <w:lang w:val="en-GB"/>
              </w:rPr>
              <w:t>mln</w:t>
            </w:r>
            <w:proofErr w:type="spellEnd"/>
            <w:r w:rsidR="009908CF" w:rsidRPr="00C502E3">
              <w:rPr>
                <w:rFonts w:cstheme="minorHAnsi"/>
                <w:lang w:val="en-GB"/>
              </w:rPr>
              <w:t xml:space="preserve"> EUR </w:t>
            </w:r>
          </w:p>
          <w:p w14:paraId="018E3A14" w14:textId="14F2608A" w:rsidR="00A01860" w:rsidRPr="00C502E3" w:rsidRDefault="00A01860" w:rsidP="00A01860">
            <w:pPr>
              <w:pStyle w:val="Default"/>
              <w:rPr>
                <w:rFonts w:asciiTheme="minorHAnsi" w:hAnsiTheme="minorHAnsi" w:cstheme="minorHAnsi"/>
                <w:color w:val="auto"/>
                <w:sz w:val="22"/>
                <w:szCs w:val="22"/>
                <w:lang w:val="en-GB"/>
              </w:rPr>
            </w:pPr>
            <w:r w:rsidRPr="00C502E3">
              <w:rPr>
                <w:rFonts w:asciiTheme="minorHAnsi" w:hAnsiTheme="minorHAnsi" w:cstheme="minorHAnsi"/>
                <w:color w:val="auto"/>
                <w:sz w:val="22"/>
                <w:szCs w:val="22"/>
                <w:lang w:val="en-GB"/>
              </w:rPr>
              <w:t>Co-financing 80% ERDF (public bodies)</w:t>
            </w:r>
          </w:p>
        </w:tc>
      </w:tr>
    </w:tbl>
    <w:p w14:paraId="5E20B066" w14:textId="18D97E2F" w:rsidR="009B7E3C" w:rsidRDefault="009B7E3C">
      <w:pPr>
        <w:rPr>
          <w:rFonts w:cstheme="minorHAnsi"/>
          <w:lang w:val="en-GB"/>
        </w:rPr>
      </w:pPr>
    </w:p>
    <w:tbl>
      <w:tblPr>
        <w:tblStyle w:val="Tabela-Siatka"/>
        <w:tblW w:w="0" w:type="auto"/>
        <w:tblLook w:val="04A0" w:firstRow="1" w:lastRow="0" w:firstColumn="1" w:lastColumn="0" w:noHBand="0" w:noVBand="1"/>
      </w:tblPr>
      <w:tblGrid>
        <w:gridCol w:w="9062"/>
      </w:tblGrid>
      <w:tr w:rsidR="00990096" w14:paraId="57757CA2" w14:textId="77777777" w:rsidTr="00990096">
        <w:tc>
          <w:tcPr>
            <w:tcW w:w="9062" w:type="dxa"/>
          </w:tcPr>
          <w:p w14:paraId="6194088B" w14:textId="77777777" w:rsidR="00990096" w:rsidRPr="00EF4102" w:rsidRDefault="00990096" w:rsidP="00990096">
            <w:pPr>
              <w:rPr>
                <w:rFonts w:cstheme="minorHAnsi"/>
                <w:b/>
                <w:bCs/>
                <w:lang w:val="en-GB"/>
              </w:rPr>
            </w:pPr>
            <w:r w:rsidRPr="00EF4102">
              <w:rPr>
                <w:rFonts w:cstheme="minorHAnsi"/>
                <w:b/>
                <w:bCs/>
                <w:lang w:val="en-GB"/>
              </w:rPr>
              <w:t>Institutions interested to join the project, are invited to answer the following questions:</w:t>
            </w:r>
          </w:p>
          <w:p w14:paraId="7BE691D4" w14:textId="77777777" w:rsidR="00990096" w:rsidRDefault="00990096">
            <w:pPr>
              <w:rPr>
                <w:rFonts w:cstheme="minorHAnsi"/>
                <w:b/>
                <w:bCs/>
                <w:lang w:val="en-GB"/>
              </w:rPr>
            </w:pPr>
          </w:p>
        </w:tc>
      </w:tr>
      <w:tr w:rsidR="00990096" w14:paraId="6667D162" w14:textId="77777777" w:rsidTr="00990096">
        <w:tc>
          <w:tcPr>
            <w:tcW w:w="9062" w:type="dxa"/>
          </w:tcPr>
          <w:p w14:paraId="7D7048F8" w14:textId="77777777" w:rsidR="00990096" w:rsidRPr="007B6B1F" w:rsidRDefault="00990096" w:rsidP="00990096">
            <w:pPr>
              <w:pStyle w:val="Akapitzlist"/>
              <w:numPr>
                <w:ilvl w:val="0"/>
                <w:numId w:val="3"/>
              </w:numPr>
              <w:jc w:val="both"/>
              <w:rPr>
                <w:rFonts w:cstheme="minorHAnsi"/>
                <w:lang w:val="en-GB"/>
              </w:rPr>
            </w:pPr>
            <w:r w:rsidRPr="007B6B1F">
              <w:rPr>
                <w:rFonts w:cstheme="minorHAnsi"/>
                <w:lang w:val="en-GB"/>
              </w:rPr>
              <w:t>Can your organisation be regarded as policy responsible authority? – If yes, please justify.</w:t>
            </w:r>
          </w:p>
          <w:p w14:paraId="57AC4AF1" w14:textId="77777777" w:rsidR="00990096" w:rsidRDefault="00990096" w:rsidP="00990096">
            <w:pPr>
              <w:pStyle w:val="Akapitzlist"/>
              <w:numPr>
                <w:ilvl w:val="0"/>
                <w:numId w:val="3"/>
              </w:numPr>
              <w:rPr>
                <w:rFonts w:cstheme="minorHAnsi"/>
                <w:lang w:val="en-GB"/>
              </w:rPr>
            </w:pPr>
            <w:r w:rsidRPr="00FF1B97">
              <w:rPr>
                <w:rFonts w:cstheme="minorHAnsi"/>
                <w:lang w:val="en-GB"/>
              </w:rPr>
              <w:t>Please introduce the organisation in brief, highlighting its competences in terms of</w:t>
            </w:r>
            <w:r>
              <w:rPr>
                <w:rFonts w:cstheme="minorHAnsi"/>
                <w:lang w:val="en-GB"/>
              </w:rPr>
              <w:t xml:space="preserve"> telehealth.</w:t>
            </w:r>
          </w:p>
          <w:p w14:paraId="07C3F006" w14:textId="77777777" w:rsidR="00990096" w:rsidRDefault="00990096" w:rsidP="00990096">
            <w:pPr>
              <w:pStyle w:val="Akapitzlist"/>
              <w:numPr>
                <w:ilvl w:val="0"/>
                <w:numId w:val="3"/>
              </w:numPr>
              <w:rPr>
                <w:rFonts w:cstheme="minorHAnsi"/>
                <w:lang w:val="en-GB"/>
              </w:rPr>
            </w:pPr>
            <w:r w:rsidRPr="00EF4102">
              <w:rPr>
                <w:rFonts w:cstheme="minorHAnsi"/>
                <w:lang w:val="en-GB"/>
              </w:rPr>
              <w:t>Which policy instrument would be addressed by the partner?</w:t>
            </w:r>
          </w:p>
          <w:p w14:paraId="02DBBBF3" w14:textId="1F86FFBA" w:rsidR="00990096" w:rsidRPr="00990096" w:rsidRDefault="00990096" w:rsidP="00990096">
            <w:pPr>
              <w:pStyle w:val="Akapitzlist"/>
              <w:numPr>
                <w:ilvl w:val="0"/>
                <w:numId w:val="3"/>
              </w:numPr>
              <w:jc w:val="both"/>
              <w:rPr>
                <w:rFonts w:cstheme="minorHAnsi"/>
                <w:lang w:val="en-GB"/>
              </w:rPr>
            </w:pPr>
            <w:r w:rsidRPr="00EF4102">
              <w:rPr>
                <w:rFonts w:cstheme="minorHAnsi"/>
                <w:lang w:val="en-GB"/>
              </w:rPr>
              <w:t>How do you plan to improve the policy instrument in the project</w:t>
            </w:r>
            <w:r w:rsidR="00FC0EE4">
              <w:rPr>
                <w:rFonts w:cstheme="minorHAnsi"/>
                <w:lang w:val="en-GB"/>
              </w:rPr>
              <w:t xml:space="preserve"> (content of document, management system, new projects)</w:t>
            </w:r>
            <w:r w:rsidRPr="00EF4102">
              <w:rPr>
                <w:rFonts w:cstheme="minorHAnsi"/>
                <w:lang w:val="en-GB"/>
              </w:rPr>
              <w:t>?</w:t>
            </w:r>
          </w:p>
          <w:p w14:paraId="513B2E30" w14:textId="77777777" w:rsidR="00990096" w:rsidRDefault="00990096">
            <w:pPr>
              <w:rPr>
                <w:rFonts w:cstheme="minorHAnsi"/>
                <w:b/>
                <w:bCs/>
                <w:lang w:val="en-GB"/>
              </w:rPr>
            </w:pPr>
          </w:p>
        </w:tc>
      </w:tr>
      <w:tr w:rsidR="00990096" w14:paraId="33B0EEFF" w14:textId="77777777" w:rsidTr="00990096">
        <w:tc>
          <w:tcPr>
            <w:tcW w:w="9062" w:type="dxa"/>
          </w:tcPr>
          <w:p w14:paraId="4D299610" w14:textId="77777777" w:rsidR="00990096" w:rsidRDefault="00990096" w:rsidP="00990096">
            <w:pPr>
              <w:pStyle w:val="Akapitzlist"/>
              <w:jc w:val="both"/>
              <w:rPr>
                <w:rFonts w:cstheme="minorHAnsi"/>
                <w:lang w:val="en-GB"/>
              </w:rPr>
            </w:pPr>
            <w:r>
              <w:rPr>
                <w:rFonts w:cstheme="minorHAnsi"/>
                <w:lang w:val="en-GB"/>
              </w:rPr>
              <w:t xml:space="preserve">Please send your answers to </w:t>
            </w:r>
          </w:p>
          <w:p w14:paraId="66716135" w14:textId="1CAB5AF9" w:rsidR="00990096" w:rsidRDefault="00516F23" w:rsidP="00990096">
            <w:pPr>
              <w:pStyle w:val="Akapitzlist"/>
              <w:jc w:val="both"/>
              <w:rPr>
                <w:rFonts w:cstheme="minorHAnsi"/>
                <w:lang w:val="en-GB"/>
              </w:rPr>
            </w:pPr>
            <w:hyperlink r:id="rId7" w:history="1">
              <w:r w:rsidR="00990096" w:rsidRPr="00AA0F72">
                <w:rPr>
                  <w:rStyle w:val="Hipercze"/>
                  <w:rFonts w:cstheme="minorHAnsi"/>
                  <w:lang w:val="en-GB"/>
                </w:rPr>
                <w:t>M.Kruk-Szarszewska@kujawsko-pomorskie.pl</w:t>
              </w:r>
            </w:hyperlink>
            <w:r w:rsidR="00990096">
              <w:rPr>
                <w:rFonts w:cstheme="minorHAnsi"/>
                <w:lang w:val="en-GB"/>
              </w:rPr>
              <w:t xml:space="preserve"> and</w:t>
            </w:r>
          </w:p>
          <w:p w14:paraId="144D720A" w14:textId="77777777" w:rsidR="00990096" w:rsidRDefault="00516F23" w:rsidP="00990096">
            <w:pPr>
              <w:pStyle w:val="Akapitzlist"/>
              <w:jc w:val="both"/>
              <w:rPr>
                <w:rFonts w:cstheme="minorHAnsi"/>
                <w:lang w:val="en-GB"/>
              </w:rPr>
            </w:pPr>
            <w:hyperlink r:id="rId8" w:history="1">
              <w:r w:rsidR="00990096" w:rsidRPr="00AA0F72">
                <w:rPr>
                  <w:rStyle w:val="Hipercze"/>
                  <w:rFonts w:cstheme="minorHAnsi"/>
                  <w:lang w:val="en-GB"/>
                </w:rPr>
                <w:t>r.modrzewski@kujawsko-pomorskie.pl</w:t>
              </w:r>
            </w:hyperlink>
            <w:r w:rsidR="00990096">
              <w:rPr>
                <w:rFonts w:cstheme="minorHAnsi"/>
                <w:lang w:val="en-GB"/>
              </w:rPr>
              <w:t xml:space="preserve"> </w:t>
            </w:r>
          </w:p>
          <w:p w14:paraId="2E1340FD" w14:textId="3FE78DD1" w:rsidR="00990096" w:rsidRPr="007B6B1F" w:rsidRDefault="00990096" w:rsidP="00990096">
            <w:pPr>
              <w:pStyle w:val="Akapitzlist"/>
              <w:jc w:val="both"/>
              <w:rPr>
                <w:rFonts w:cstheme="minorHAnsi"/>
                <w:lang w:val="en-GB"/>
              </w:rPr>
            </w:pPr>
            <w:r>
              <w:rPr>
                <w:rFonts w:cstheme="minorHAnsi"/>
                <w:lang w:val="en-GB"/>
              </w:rPr>
              <w:t>until 29</w:t>
            </w:r>
            <w:r w:rsidRPr="00990096">
              <w:rPr>
                <w:rFonts w:cstheme="minorHAnsi"/>
                <w:vertAlign w:val="superscript"/>
                <w:lang w:val="en-GB"/>
              </w:rPr>
              <w:t>th</w:t>
            </w:r>
            <w:r>
              <w:rPr>
                <w:rFonts w:cstheme="minorHAnsi"/>
                <w:lang w:val="en-GB"/>
              </w:rPr>
              <w:t xml:space="preserve"> April 2022</w:t>
            </w:r>
          </w:p>
        </w:tc>
      </w:tr>
    </w:tbl>
    <w:p w14:paraId="194C2022" w14:textId="77777777" w:rsidR="00516F23" w:rsidRDefault="00516F23" w:rsidP="00516F23">
      <w:pPr>
        <w:spacing w:line="240" w:lineRule="auto"/>
        <w:jc w:val="both"/>
        <w:rPr>
          <w:rStyle w:val="markedcontent"/>
          <w:rFonts w:cs="Arial"/>
          <w:lang w:val="en-US"/>
        </w:rPr>
      </w:pPr>
    </w:p>
    <w:tbl>
      <w:tblPr>
        <w:tblStyle w:val="Tabela-Siatka"/>
        <w:tblW w:w="0" w:type="auto"/>
        <w:tblLook w:val="04A0" w:firstRow="1" w:lastRow="0" w:firstColumn="1" w:lastColumn="0" w:noHBand="0" w:noVBand="1"/>
      </w:tblPr>
      <w:tblGrid>
        <w:gridCol w:w="9062"/>
      </w:tblGrid>
      <w:tr w:rsidR="00516F23" w14:paraId="736E5538" w14:textId="77777777" w:rsidTr="00516F23">
        <w:tc>
          <w:tcPr>
            <w:tcW w:w="9062" w:type="dxa"/>
          </w:tcPr>
          <w:p w14:paraId="4105C6C9" w14:textId="270105D3" w:rsidR="00516F23" w:rsidRDefault="00516F23" w:rsidP="00516F23">
            <w:pPr>
              <w:jc w:val="both"/>
              <w:rPr>
                <w:rStyle w:val="markedcontent"/>
                <w:rFonts w:cs="Arial"/>
                <w:lang w:val="en-US"/>
              </w:rPr>
            </w:pPr>
            <w:r w:rsidRPr="00516F23">
              <w:rPr>
                <w:rStyle w:val="markedcontent"/>
                <w:rFonts w:cs="Arial"/>
                <w:b/>
                <w:bCs/>
                <w:lang w:val="en-US"/>
              </w:rPr>
              <w:lastRenderedPageBreak/>
              <w:t>Kujawsko-Pomorskie Voivodeship (KPV)</w:t>
            </w:r>
            <w:r w:rsidRPr="00D256EF">
              <w:rPr>
                <w:rStyle w:val="markedcontent"/>
                <w:rFonts w:cs="Arial"/>
                <w:lang w:val="en-US"/>
              </w:rPr>
              <w:t xml:space="preserve"> is one of the 16 regional self-government authorities in Poland. It administers the area of 18.000 square kilometers and 2.1 </w:t>
            </w:r>
            <w:proofErr w:type="spellStart"/>
            <w:r w:rsidRPr="00D256EF">
              <w:rPr>
                <w:rStyle w:val="markedcontent"/>
                <w:rFonts w:cs="Arial"/>
                <w:lang w:val="en-US"/>
              </w:rPr>
              <w:t>mln</w:t>
            </w:r>
            <w:proofErr w:type="spellEnd"/>
            <w:r w:rsidRPr="00D256EF">
              <w:rPr>
                <w:rStyle w:val="markedcontent"/>
                <w:rFonts w:cs="Arial"/>
                <w:lang w:val="en-US"/>
              </w:rPr>
              <w:t xml:space="preserve"> inhabitants. KPV is supervising a number of fields of social and economic activity, including: spatial and regional planning, infrastructure, environment, education, health, culture, sport, tourism, international co-operation and others. It determines, implements and monitors a strategic directions of the regional policy in terms of sustainable development, innovation and social activity.</w:t>
            </w:r>
          </w:p>
          <w:p w14:paraId="6D49351C" w14:textId="77777777" w:rsidR="00516F23" w:rsidRDefault="00516F23" w:rsidP="00516F23">
            <w:pPr>
              <w:jc w:val="both"/>
              <w:rPr>
                <w:rStyle w:val="markedcontent"/>
                <w:rFonts w:cs="Arial"/>
                <w:lang w:val="en-US"/>
              </w:rPr>
            </w:pPr>
          </w:p>
          <w:p w14:paraId="037D799A" w14:textId="396AE350" w:rsidR="00516F23" w:rsidRPr="00843F2B" w:rsidRDefault="00516F23" w:rsidP="00516F23">
            <w:pPr>
              <w:rPr>
                <w:lang w:val="en-US"/>
              </w:rPr>
            </w:pPr>
            <w:r>
              <w:rPr>
                <w:lang w:val="en-US"/>
              </w:rPr>
              <w:t>KPV</w:t>
            </w:r>
            <w:r w:rsidRPr="00843F2B">
              <w:rPr>
                <w:lang w:val="en-US"/>
              </w:rPr>
              <w:t xml:space="preserve"> actively participates in international projects </w:t>
            </w:r>
            <w:proofErr w:type="spellStart"/>
            <w:r w:rsidRPr="00843F2B">
              <w:rPr>
                <w:lang w:val="en-US"/>
              </w:rPr>
              <w:t>realised</w:t>
            </w:r>
            <w:proofErr w:type="spellEnd"/>
            <w:r w:rsidRPr="00843F2B">
              <w:rPr>
                <w:lang w:val="en-US"/>
              </w:rPr>
              <w:t xml:space="preserve"> within the framework of the European Territorial Cooperation, cooperating with about a hundred partners located in the countries of the European Union. </w:t>
            </w:r>
            <w:r>
              <w:rPr>
                <w:lang w:val="en-US"/>
              </w:rPr>
              <w:t>KPV</w:t>
            </w:r>
            <w:r w:rsidRPr="00843F2B">
              <w:rPr>
                <w:lang w:val="en-US"/>
              </w:rPr>
              <w:t xml:space="preserve"> has been involved in the implementation </w:t>
            </w:r>
            <w:r>
              <w:rPr>
                <w:lang w:val="en-US"/>
              </w:rPr>
              <w:t>Interreg</w:t>
            </w:r>
            <w:r w:rsidRPr="00843F2B">
              <w:rPr>
                <w:lang w:val="en-US"/>
              </w:rPr>
              <w:t xml:space="preserve"> projects and European Commission </w:t>
            </w:r>
            <w:proofErr w:type="spellStart"/>
            <w:r w:rsidRPr="00843F2B">
              <w:rPr>
                <w:lang w:val="en-US"/>
              </w:rPr>
              <w:t>programmes</w:t>
            </w:r>
            <w:proofErr w:type="spellEnd"/>
            <w:r w:rsidRPr="00843F2B">
              <w:rPr>
                <w:lang w:val="en-US"/>
              </w:rPr>
              <w:t xml:space="preserve"> since 2004. Since then, 18 such long-term projects have been </w:t>
            </w:r>
            <w:proofErr w:type="spellStart"/>
            <w:r w:rsidRPr="00843F2B">
              <w:rPr>
                <w:lang w:val="en-US"/>
              </w:rPr>
              <w:t>realised</w:t>
            </w:r>
            <w:proofErr w:type="spellEnd"/>
            <w:r w:rsidRPr="00843F2B">
              <w:rPr>
                <w:lang w:val="en-US"/>
              </w:rPr>
              <w:t xml:space="preserve">, while 6 projects are currently being implemented, mainly from the </w:t>
            </w:r>
            <w:proofErr w:type="spellStart"/>
            <w:r w:rsidRPr="00843F2B">
              <w:rPr>
                <w:lang w:val="en-US"/>
              </w:rPr>
              <w:t>programmes</w:t>
            </w:r>
            <w:proofErr w:type="spellEnd"/>
            <w:r w:rsidRPr="00843F2B">
              <w:rPr>
                <w:lang w:val="en-US"/>
              </w:rPr>
              <w:t>: Interreg Baltic Sea Region, Interreg Central Europe and Interreg Europe.</w:t>
            </w:r>
          </w:p>
          <w:p w14:paraId="3C64D649" w14:textId="14B7ED52" w:rsidR="00516F23" w:rsidRPr="00D256EF" w:rsidRDefault="00516F23" w:rsidP="00516F23">
            <w:pPr>
              <w:jc w:val="both"/>
              <w:rPr>
                <w:rStyle w:val="markedcontent"/>
                <w:rFonts w:cs="Arial"/>
                <w:lang w:val="en-US"/>
              </w:rPr>
            </w:pPr>
            <w:r w:rsidRPr="00843F2B">
              <w:rPr>
                <w:lang w:val="en-US"/>
              </w:rPr>
              <w:t xml:space="preserve">In the fifth edition of the Interreg </w:t>
            </w:r>
            <w:proofErr w:type="spellStart"/>
            <w:r w:rsidRPr="00843F2B">
              <w:rPr>
                <w:lang w:val="en-US"/>
              </w:rPr>
              <w:t>programmes</w:t>
            </w:r>
            <w:proofErr w:type="spellEnd"/>
            <w:r w:rsidRPr="00843F2B">
              <w:rPr>
                <w:lang w:val="en-US"/>
              </w:rPr>
              <w:t xml:space="preserve"> for 2014-2020, the voivodeship implemented a total of 9 projects on various themes</w:t>
            </w:r>
            <w:r>
              <w:rPr>
                <w:lang w:val="en-US"/>
              </w:rPr>
              <w:t>, a</w:t>
            </w:r>
            <w:r w:rsidRPr="00843F2B">
              <w:rPr>
                <w:lang w:val="en-US"/>
              </w:rPr>
              <w:t xml:space="preserve">mong others in the field of transport and logistics, smart </w:t>
            </w:r>
            <w:proofErr w:type="spellStart"/>
            <w:r w:rsidRPr="00843F2B">
              <w:rPr>
                <w:lang w:val="en-US"/>
              </w:rPr>
              <w:t>specialisation</w:t>
            </w:r>
            <w:proofErr w:type="spellEnd"/>
            <w:r w:rsidRPr="00843F2B">
              <w:rPr>
                <w:lang w:val="en-US"/>
              </w:rPr>
              <w:t>, social economy, environment, tourism or creative industry.</w:t>
            </w:r>
          </w:p>
          <w:p w14:paraId="1C9DF936" w14:textId="77777777" w:rsidR="00516F23" w:rsidRDefault="00516F23" w:rsidP="00516F23">
            <w:pPr>
              <w:jc w:val="both"/>
              <w:rPr>
                <w:rStyle w:val="markedcontent"/>
                <w:rFonts w:cs="Arial"/>
                <w:lang w:val="en-US"/>
              </w:rPr>
            </w:pPr>
          </w:p>
        </w:tc>
      </w:tr>
    </w:tbl>
    <w:p w14:paraId="3BEC24C7" w14:textId="77777777" w:rsidR="00516F23" w:rsidRDefault="00516F23" w:rsidP="00516F23">
      <w:pPr>
        <w:spacing w:line="240" w:lineRule="auto"/>
        <w:jc w:val="both"/>
        <w:rPr>
          <w:rStyle w:val="markedcontent"/>
          <w:rFonts w:cs="Arial"/>
          <w:lang w:val="en-US"/>
        </w:rPr>
      </w:pPr>
    </w:p>
    <w:p w14:paraId="0DF42B94" w14:textId="77777777" w:rsidR="00516F23" w:rsidRDefault="00516F23" w:rsidP="00516F23">
      <w:pPr>
        <w:spacing w:line="240" w:lineRule="auto"/>
        <w:jc w:val="both"/>
        <w:rPr>
          <w:rStyle w:val="markedcontent"/>
          <w:rFonts w:cs="Arial"/>
          <w:lang w:val="en-US"/>
        </w:rPr>
      </w:pPr>
    </w:p>
    <w:p w14:paraId="733A8992" w14:textId="77777777" w:rsidR="00516F23" w:rsidRDefault="00516F23" w:rsidP="00516F23">
      <w:pPr>
        <w:spacing w:line="240" w:lineRule="auto"/>
        <w:jc w:val="both"/>
        <w:rPr>
          <w:rStyle w:val="markedcontent"/>
          <w:rFonts w:cs="Arial"/>
          <w:lang w:val="en-US"/>
        </w:rPr>
      </w:pPr>
    </w:p>
    <w:p w14:paraId="51403C78" w14:textId="77777777" w:rsidR="00EF4102" w:rsidRPr="009B7E3C" w:rsidRDefault="00EF4102" w:rsidP="00EF4102">
      <w:pPr>
        <w:pStyle w:val="Akapitzlist"/>
        <w:rPr>
          <w:rFonts w:cstheme="minorHAnsi"/>
          <w:lang w:val="en-GB"/>
        </w:rPr>
      </w:pPr>
    </w:p>
    <w:sectPr w:rsidR="00EF4102" w:rsidRPr="009B7E3C" w:rsidSect="005E07B8">
      <w:headerReference w:type="default" r:id="rId9"/>
      <w:pgSz w:w="11906" w:h="16838"/>
      <w:pgMar w:top="1560"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D204" w14:textId="77777777" w:rsidR="00167AC6" w:rsidRDefault="00167AC6" w:rsidP="00257B2B">
      <w:pPr>
        <w:spacing w:after="0" w:line="240" w:lineRule="auto"/>
      </w:pPr>
      <w:r>
        <w:separator/>
      </w:r>
    </w:p>
  </w:endnote>
  <w:endnote w:type="continuationSeparator" w:id="0">
    <w:p w14:paraId="1182303F" w14:textId="77777777" w:rsidR="00167AC6" w:rsidRDefault="00167AC6" w:rsidP="0025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6BCF" w14:textId="77777777" w:rsidR="00167AC6" w:rsidRDefault="00167AC6" w:rsidP="00257B2B">
      <w:pPr>
        <w:spacing w:after="0" w:line="240" w:lineRule="auto"/>
      </w:pPr>
      <w:r>
        <w:separator/>
      </w:r>
    </w:p>
  </w:footnote>
  <w:footnote w:type="continuationSeparator" w:id="0">
    <w:p w14:paraId="28B34CF6" w14:textId="77777777" w:rsidR="00167AC6" w:rsidRDefault="00167AC6" w:rsidP="0025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77F9" w14:textId="726F9DBA" w:rsidR="00257B2B" w:rsidRPr="00257B2B" w:rsidRDefault="008F1BE5" w:rsidP="00257B2B">
    <w:pPr>
      <w:pStyle w:val="Nagwek"/>
    </w:pPr>
    <w:r>
      <w:rPr>
        <w:noProof/>
      </w:rPr>
      <w:drawing>
        <wp:inline distT="0" distB="0" distL="0" distR="0" wp14:anchorId="3F02CE19" wp14:editId="06E168CA">
          <wp:extent cx="1119117" cy="735099"/>
          <wp:effectExtent l="0" t="0" r="508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email">
                    <a:extLst>
                      <a:ext uri="{28A0092B-C50C-407E-A947-70E740481C1C}">
                        <a14:useLocalDpi xmlns:a14="http://schemas.microsoft.com/office/drawing/2010/main"/>
                      </a:ext>
                    </a:extLst>
                  </a:blip>
                  <a:stretch>
                    <a:fillRect/>
                  </a:stretch>
                </pic:blipFill>
                <pic:spPr>
                  <a:xfrm>
                    <a:off x="0" y="0"/>
                    <a:ext cx="1134895" cy="7454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A81"/>
    <w:multiLevelType w:val="hybridMultilevel"/>
    <w:tmpl w:val="9D729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E23FE7"/>
    <w:multiLevelType w:val="hybridMultilevel"/>
    <w:tmpl w:val="807473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0654B9"/>
    <w:multiLevelType w:val="hybridMultilevel"/>
    <w:tmpl w:val="1338B9A8"/>
    <w:lvl w:ilvl="0" w:tplc="8050EB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725958">
    <w:abstractNumId w:val="1"/>
  </w:num>
  <w:num w:numId="2" w16cid:durableId="443695850">
    <w:abstractNumId w:val="0"/>
  </w:num>
  <w:num w:numId="3" w16cid:durableId="66737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E"/>
    <w:rsid w:val="00015465"/>
    <w:rsid w:val="00082A5E"/>
    <w:rsid w:val="000A16E5"/>
    <w:rsid w:val="000A1A46"/>
    <w:rsid w:val="000C1369"/>
    <w:rsid w:val="001117B5"/>
    <w:rsid w:val="00123A45"/>
    <w:rsid w:val="00167AC6"/>
    <w:rsid w:val="00257B2B"/>
    <w:rsid w:val="00266596"/>
    <w:rsid w:val="0027778D"/>
    <w:rsid w:val="002B1451"/>
    <w:rsid w:val="002E2FEB"/>
    <w:rsid w:val="00334AB4"/>
    <w:rsid w:val="00336942"/>
    <w:rsid w:val="003A384F"/>
    <w:rsid w:val="003F304A"/>
    <w:rsid w:val="00416C7E"/>
    <w:rsid w:val="00477753"/>
    <w:rsid w:val="004D781F"/>
    <w:rsid w:val="004F5438"/>
    <w:rsid w:val="00504EE4"/>
    <w:rsid w:val="00516F23"/>
    <w:rsid w:val="0057123B"/>
    <w:rsid w:val="0058411A"/>
    <w:rsid w:val="00594CAD"/>
    <w:rsid w:val="005E07B8"/>
    <w:rsid w:val="005E58D1"/>
    <w:rsid w:val="005F49B5"/>
    <w:rsid w:val="00641B6A"/>
    <w:rsid w:val="00665333"/>
    <w:rsid w:val="006A3B81"/>
    <w:rsid w:val="006A70FE"/>
    <w:rsid w:val="00771662"/>
    <w:rsid w:val="007B6B1F"/>
    <w:rsid w:val="007E01A8"/>
    <w:rsid w:val="008079A4"/>
    <w:rsid w:val="0081649E"/>
    <w:rsid w:val="00836E67"/>
    <w:rsid w:val="00843652"/>
    <w:rsid w:val="008513EC"/>
    <w:rsid w:val="0087023A"/>
    <w:rsid w:val="008F1BE5"/>
    <w:rsid w:val="00990096"/>
    <w:rsid w:val="009908CF"/>
    <w:rsid w:val="009B3D45"/>
    <w:rsid w:val="009B7E3C"/>
    <w:rsid w:val="009D126E"/>
    <w:rsid w:val="009D2970"/>
    <w:rsid w:val="009D5794"/>
    <w:rsid w:val="009F0E45"/>
    <w:rsid w:val="00A01860"/>
    <w:rsid w:val="00A13EAE"/>
    <w:rsid w:val="00A36D65"/>
    <w:rsid w:val="00A6206F"/>
    <w:rsid w:val="00A62142"/>
    <w:rsid w:val="00A75230"/>
    <w:rsid w:val="00A83429"/>
    <w:rsid w:val="00A92CFE"/>
    <w:rsid w:val="00AB7E81"/>
    <w:rsid w:val="00AF7975"/>
    <w:rsid w:val="00B56212"/>
    <w:rsid w:val="00BD263D"/>
    <w:rsid w:val="00C022F1"/>
    <w:rsid w:val="00C07971"/>
    <w:rsid w:val="00C451CE"/>
    <w:rsid w:val="00C502E3"/>
    <w:rsid w:val="00CB27E0"/>
    <w:rsid w:val="00D77B66"/>
    <w:rsid w:val="00D873E8"/>
    <w:rsid w:val="00DA2CAA"/>
    <w:rsid w:val="00DC3253"/>
    <w:rsid w:val="00E1125D"/>
    <w:rsid w:val="00E14155"/>
    <w:rsid w:val="00E33A09"/>
    <w:rsid w:val="00E610E7"/>
    <w:rsid w:val="00E6486F"/>
    <w:rsid w:val="00E71893"/>
    <w:rsid w:val="00EC64FE"/>
    <w:rsid w:val="00ED66EB"/>
    <w:rsid w:val="00EF005C"/>
    <w:rsid w:val="00EF130D"/>
    <w:rsid w:val="00EF4102"/>
    <w:rsid w:val="00F250BE"/>
    <w:rsid w:val="00F5474E"/>
    <w:rsid w:val="00F774BE"/>
    <w:rsid w:val="00F95865"/>
    <w:rsid w:val="00FC0EE4"/>
    <w:rsid w:val="00FC250C"/>
    <w:rsid w:val="00FC5244"/>
    <w:rsid w:val="00FF1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6B6C4"/>
  <w15:docId w15:val="{B28010F7-6CF6-42CA-B8CA-9B748966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57B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B2B"/>
  </w:style>
  <w:style w:type="paragraph" w:styleId="Stopka">
    <w:name w:val="footer"/>
    <w:basedOn w:val="Normalny"/>
    <w:link w:val="StopkaZnak"/>
    <w:uiPriority w:val="99"/>
    <w:unhideWhenUsed/>
    <w:rsid w:val="00257B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B2B"/>
  </w:style>
  <w:style w:type="paragraph" w:customStyle="1" w:styleId="Default">
    <w:name w:val="Default"/>
    <w:rsid w:val="00A36D6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FC5244"/>
    <w:pPr>
      <w:ind w:left="720"/>
      <w:contextualSpacing/>
    </w:pPr>
  </w:style>
  <w:style w:type="paragraph" w:styleId="NormalnyWeb">
    <w:name w:val="Normal (Web)"/>
    <w:basedOn w:val="Normalny"/>
    <w:uiPriority w:val="99"/>
    <w:unhideWhenUsed/>
    <w:rsid w:val="00FC5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90096"/>
    <w:rPr>
      <w:color w:val="0563C1" w:themeColor="hyperlink"/>
      <w:u w:val="single"/>
    </w:rPr>
  </w:style>
  <w:style w:type="character" w:styleId="Nierozpoznanawzmianka">
    <w:name w:val="Unresolved Mention"/>
    <w:basedOn w:val="Domylnaczcionkaakapitu"/>
    <w:uiPriority w:val="99"/>
    <w:semiHidden/>
    <w:unhideWhenUsed/>
    <w:rsid w:val="00990096"/>
    <w:rPr>
      <w:color w:val="605E5C"/>
      <w:shd w:val="clear" w:color="auto" w:fill="E1DFDD"/>
    </w:rPr>
  </w:style>
  <w:style w:type="character" w:customStyle="1" w:styleId="markedcontent">
    <w:name w:val="markedcontent"/>
    <w:basedOn w:val="Domylnaczcionkaakapitu"/>
    <w:rsid w:val="0051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odrzewski@kujawsko-pomorskie.pl" TargetMode="External"/><Relationship Id="rId3" Type="http://schemas.openxmlformats.org/officeDocument/2006/relationships/settings" Target="settings.xml"/><Relationship Id="rId7" Type="http://schemas.openxmlformats.org/officeDocument/2006/relationships/hyperlink" Target="mailto:M.Kruk-Szarszewska@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1110</Words>
  <Characters>6661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Kruk-Szarszewska</dc:creator>
  <cp:keywords/>
  <dc:description/>
  <cp:lastModifiedBy>Rafał Modrzewski</cp:lastModifiedBy>
  <cp:revision>14</cp:revision>
  <dcterms:created xsi:type="dcterms:W3CDTF">2022-03-10T11:53:00Z</dcterms:created>
  <dcterms:modified xsi:type="dcterms:W3CDTF">2022-04-25T06:50:00Z</dcterms:modified>
</cp:coreProperties>
</file>