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48D57" w14:textId="515FDD84" w:rsidR="00AB57FE" w:rsidRPr="003570D0" w:rsidRDefault="00A31112" w:rsidP="00B818DF">
      <w:pPr>
        <w:pStyle w:val="Body3"/>
      </w:pPr>
      <w:r w:rsidRPr="00257CF1">
        <w:t xml:space="preserve"> </w:t>
      </w:r>
      <w:r w:rsidR="003006CF" w:rsidRPr="003570D0">
        <w:rPr>
          <w:noProof/>
        </w:rPr>
        <w:drawing>
          <wp:inline distT="0" distB="0" distL="0" distR="0" wp14:anchorId="6330D198" wp14:editId="2886C65C">
            <wp:extent cx="2228084" cy="79907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28084" cy="799071"/>
                    </a:xfrm>
                    <a:prstGeom prst="rect">
                      <a:avLst/>
                    </a:prstGeom>
                  </pic:spPr>
                </pic:pic>
              </a:graphicData>
            </a:graphic>
          </wp:inline>
        </w:drawing>
      </w:r>
    </w:p>
    <w:p w14:paraId="5AC985E2" w14:textId="77777777" w:rsidR="0045793C" w:rsidRPr="003570D0" w:rsidRDefault="0045793C" w:rsidP="00B818DF">
      <w:pPr>
        <w:pStyle w:val="Heading2"/>
      </w:pPr>
    </w:p>
    <w:p w14:paraId="548D8CD6" w14:textId="48CD271A" w:rsidR="000E5D53" w:rsidRPr="003570D0" w:rsidRDefault="000E5D53" w:rsidP="00B818DF">
      <w:pPr>
        <w:pStyle w:val="Heading2"/>
      </w:pPr>
      <w:r w:rsidRPr="00D71D79">
        <w:rPr>
          <w:lang w:val="en-GB"/>
        </w:rPr>
        <w:t>Redefining the place-based approach</w:t>
      </w:r>
      <w:r w:rsidR="0082747B" w:rsidRPr="00D71D79">
        <w:rPr>
          <w:lang w:val="en-GB"/>
        </w:rPr>
        <w:t>; practice-based insights</w:t>
      </w:r>
      <w:r w:rsidR="00AF64BE" w:rsidRPr="003570D0">
        <w:rPr>
          <w:rStyle w:val="FootnoteReference"/>
          <w:lang w:val="en-GB"/>
        </w:rPr>
        <w:footnoteReference w:id="1"/>
      </w:r>
      <w:r w:rsidR="00715063" w:rsidRPr="003570D0">
        <w:t>,</w:t>
      </w:r>
      <w:r w:rsidR="00715063" w:rsidRPr="003570D0">
        <w:rPr>
          <w:rStyle w:val="FootnoteReference"/>
          <w:lang w:val="en-GB"/>
        </w:rPr>
        <w:footnoteReference w:id="2"/>
      </w:r>
    </w:p>
    <w:p w14:paraId="109AFA09" w14:textId="77777777" w:rsidR="006E6EE4" w:rsidRPr="003570D0" w:rsidRDefault="006E6EE4" w:rsidP="00B818DF">
      <w:pPr>
        <w:pStyle w:val="Heading6"/>
      </w:pPr>
    </w:p>
    <w:p w14:paraId="53E0CC43" w14:textId="0C5AC096" w:rsidR="002C1AD7" w:rsidRPr="003570D0" w:rsidRDefault="002C1AD7" w:rsidP="00B818DF">
      <w:pPr>
        <w:pStyle w:val="Heading6"/>
      </w:pPr>
      <w:r w:rsidRPr="003570D0">
        <w:t>STRUCTURE OF PAPER</w:t>
      </w:r>
    </w:p>
    <w:p w14:paraId="7209196D" w14:textId="044A3633" w:rsidR="002C1AD7" w:rsidRPr="003570D0" w:rsidRDefault="002C1AD7" w:rsidP="002C1AD7">
      <w:pPr>
        <w:ind w:left="384" w:hanging="360"/>
      </w:pPr>
      <w:r w:rsidRPr="003570D0">
        <w:t xml:space="preserve">    </w:t>
      </w:r>
      <w:hyperlink w:anchor="_OVERVIEW" w:history="1">
        <w:r w:rsidRPr="003570D0">
          <w:rPr>
            <w:rStyle w:val="Hyperlink"/>
            <w:sz w:val="18"/>
            <w:szCs w:val="24"/>
          </w:rPr>
          <w:t>Overview</w:t>
        </w:r>
      </w:hyperlink>
      <w:r w:rsidRPr="003570D0">
        <w:t xml:space="preserve">, </w:t>
      </w:r>
      <w:hyperlink w:anchor="_FIELD_INPUTS" w:history="1">
        <w:r w:rsidR="004D71F3" w:rsidRPr="003570D0">
          <w:rPr>
            <w:rStyle w:val="Hyperlink"/>
            <w:sz w:val="18"/>
            <w:szCs w:val="24"/>
          </w:rPr>
          <w:t>Field inputs</w:t>
        </w:r>
      </w:hyperlink>
      <w:r w:rsidR="004D71F3" w:rsidRPr="003570D0">
        <w:t xml:space="preserve">, </w:t>
      </w:r>
      <w:hyperlink w:anchor="_BACKGROUND" w:history="1">
        <w:r w:rsidRPr="003570D0">
          <w:rPr>
            <w:rStyle w:val="Hyperlink"/>
            <w:sz w:val="18"/>
            <w:szCs w:val="24"/>
          </w:rPr>
          <w:t>Background</w:t>
        </w:r>
      </w:hyperlink>
      <w:r w:rsidRPr="003570D0">
        <w:t xml:space="preserve">, </w:t>
      </w:r>
      <w:hyperlink w:anchor="_FINDINGS" w:history="1">
        <w:r w:rsidR="00F641C2" w:rsidRPr="003570D0">
          <w:rPr>
            <w:rStyle w:val="Hyperlink"/>
            <w:sz w:val="18"/>
            <w:szCs w:val="24"/>
          </w:rPr>
          <w:t>Findings</w:t>
        </w:r>
      </w:hyperlink>
      <w:r w:rsidR="00F641C2" w:rsidRPr="003570D0">
        <w:t xml:space="preserve">, </w:t>
      </w:r>
      <w:hyperlink w:anchor="_REFERENCES" w:history="1">
        <w:r w:rsidRPr="003570D0">
          <w:rPr>
            <w:rStyle w:val="Hyperlink"/>
            <w:sz w:val="18"/>
            <w:szCs w:val="24"/>
          </w:rPr>
          <w:t>References</w:t>
        </w:r>
      </w:hyperlink>
      <w:r w:rsidRPr="003570D0">
        <w:t xml:space="preserve">, </w:t>
      </w:r>
      <w:hyperlink w:anchor="_ENDNOTES" w:history="1">
        <w:r w:rsidRPr="003570D0">
          <w:rPr>
            <w:rStyle w:val="Hyperlink"/>
            <w:sz w:val="18"/>
            <w:szCs w:val="24"/>
          </w:rPr>
          <w:t>Endnotes</w:t>
        </w:r>
      </w:hyperlink>
      <w:r w:rsidRPr="003570D0">
        <w:t>.</w:t>
      </w:r>
    </w:p>
    <w:p w14:paraId="231948A8" w14:textId="77777777" w:rsidR="002C1AD7" w:rsidRPr="003570D0" w:rsidRDefault="002C1AD7" w:rsidP="00B818DF">
      <w:pPr>
        <w:pStyle w:val="Heading2"/>
      </w:pPr>
    </w:p>
    <w:p w14:paraId="28F3EE23" w14:textId="77777777" w:rsidR="00CD442D" w:rsidRPr="003570D0" w:rsidRDefault="00CD442D" w:rsidP="00B818DF">
      <w:pPr>
        <w:pStyle w:val="Heading6"/>
      </w:pPr>
      <w:bookmarkStart w:id="0" w:name="_OVERVIEW"/>
      <w:bookmarkStart w:id="1" w:name="_Toc88900551"/>
      <w:bookmarkStart w:id="2" w:name="_Toc88900564"/>
      <w:bookmarkStart w:id="3" w:name="_Toc88900697"/>
      <w:bookmarkStart w:id="4" w:name="_Toc88901569"/>
      <w:bookmarkStart w:id="5" w:name="_Toc88904877"/>
      <w:bookmarkStart w:id="6" w:name="_Toc88905081"/>
      <w:bookmarkStart w:id="7" w:name="_Toc89608716"/>
      <w:bookmarkEnd w:id="0"/>
      <w:r w:rsidRPr="003570D0">
        <w:t>OVERVIEW</w:t>
      </w:r>
    </w:p>
    <w:p w14:paraId="1C006F3A" w14:textId="42A909A6" w:rsidR="00227815" w:rsidRPr="003570D0" w:rsidRDefault="00A52BEC" w:rsidP="00257CF1">
      <w:pPr>
        <w:spacing w:after="0"/>
      </w:pPr>
      <w:r w:rsidRPr="003570D0">
        <w:t xml:space="preserve">This article </w:t>
      </w:r>
      <w:r w:rsidR="008622E3" w:rsidRPr="003570D0">
        <w:t xml:space="preserve">argues </w:t>
      </w:r>
      <w:r w:rsidR="00CA0DE9" w:rsidRPr="003570D0">
        <w:t xml:space="preserve">that </w:t>
      </w:r>
      <w:r w:rsidR="008622E3" w:rsidRPr="003570D0">
        <w:t xml:space="preserve">the place-based approach, one of the smart specialisation concept pillars, requires re-interpretation to meet regional challenges relating, especially, to critical mass and innovation system potential. Such re-interpretation </w:t>
      </w:r>
      <w:r w:rsidR="00CA0DE9" w:rsidRPr="003570D0">
        <w:t xml:space="preserve">is facilitated by the systematic introduction, exploration, and integration of interregional complementarities into the RIS3 planning and delivery stages. These arguments </w:t>
      </w:r>
      <w:r w:rsidR="00CE2AC2" w:rsidRPr="003570D0">
        <w:t>reflect</w:t>
      </w:r>
      <w:r w:rsidR="00CA0DE9" w:rsidRPr="003570D0">
        <w:t xml:space="preserve"> the experience and lessons learnt </w:t>
      </w:r>
      <w:r w:rsidR="008622E3" w:rsidRPr="003570D0">
        <w:t xml:space="preserve">through </w:t>
      </w:r>
      <w:r w:rsidR="00342384" w:rsidRPr="003570D0">
        <w:t xml:space="preserve">ten </w:t>
      </w:r>
      <w:r w:rsidR="006A7064" w:rsidRPr="003570D0">
        <w:t>(1</w:t>
      </w:r>
      <w:r w:rsidR="00342384" w:rsidRPr="003570D0">
        <w:t>0</w:t>
      </w:r>
      <w:r w:rsidR="006A7064" w:rsidRPr="003570D0">
        <w:t xml:space="preserve">) </w:t>
      </w:r>
      <w:r w:rsidR="008C6FF0" w:rsidRPr="003570D0">
        <w:t>initiatives</w:t>
      </w:r>
      <w:r w:rsidR="00FA16C8" w:rsidRPr="003570D0">
        <w:rPr>
          <w:rStyle w:val="EndnoteReference"/>
          <w:color w:val="000000" w:themeColor="text1"/>
        </w:rPr>
        <w:endnoteReference w:id="1"/>
      </w:r>
      <w:r w:rsidR="008C6FF0" w:rsidRPr="003570D0">
        <w:t xml:space="preserve">: </w:t>
      </w:r>
      <w:r w:rsidR="00CA0DE9" w:rsidRPr="003570D0">
        <w:t>f</w:t>
      </w:r>
      <w:r w:rsidR="008C6FF0" w:rsidRPr="003570D0">
        <w:t>our</w:t>
      </w:r>
      <w:r w:rsidR="00CA0DE9" w:rsidRPr="003570D0">
        <w:t xml:space="preserve"> (</w:t>
      </w:r>
      <w:r w:rsidR="008C6FF0" w:rsidRPr="003570D0">
        <w:t>4</w:t>
      </w:r>
      <w:r w:rsidR="00CA0DE9" w:rsidRPr="003570D0">
        <w:t>) Interreg projects</w:t>
      </w:r>
      <w:r w:rsidR="00BD3261" w:rsidRPr="003570D0">
        <w:t xml:space="preserve"> (FRESH, SCIENCE LINK, BALTIC TRAM, BRIDGES</w:t>
      </w:r>
      <w:r w:rsidR="00BD3261" w:rsidRPr="003570D0">
        <w:rPr>
          <w:rStyle w:val="FootnoteReference"/>
          <w:color w:val="000000" w:themeColor="text1"/>
        </w:rPr>
        <w:footnoteReference w:id="3"/>
      </w:r>
      <w:r w:rsidR="00CA0DE9" w:rsidRPr="003570D0">
        <w:t xml:space="preserve">, </w:t>
      </w:r>
      <w:r w:rsidR="006A7064" w:rsidRPr="003570D0">
        <w:t>two network experiences (Big Five</w:t>
      </w:r>
      <w:r w:rsidR="002D3ABD" w:rsidRPr="003570D0">
        <w:rPr>
          <w:rStyle w:val="FootnoteReference"/>
          <w:color w:val="000000" w:themeColor="text1"/>
        </w:rPr>
        <w:footnoteReference w:id="4"/>
      </w:r>
      <w:r w:rsidR="00342384" w:rsidRPr="003570D0">
        <w:t xml:space="preserve"> and</w:t>
      </w:r>
      <w:r w:rsidR="006A7064" w:rsidRPr="003570D0">
        <w:t xml:space="preserve"> </w:t>
      </w:r>
      <w:r w:rsidR="00500AA4">
        <w:t>CapREx</w:t>
      </w:r>
      <w:r w:rsidR="002D3ABD" w:rsidRPr="003570D0">
        <w:rPr>
          <w:rStyle w:val="FootnoteReference"/>
          <w:color w:val="000000" w:themeColor="text1"/>
        </w:rPr>
        <w:footnoteReference w:id="5"/>
      </w:r>
      <w:r w:rsidR="006A7064" w:rsidRPr="003570D0">
        <w:t xml:space="preserve">), </w:t>
      </w:r>
      <w:r w:rsidR="00CA0DE9" w:rsidRPr="003570D0">
        <w:t>three (3) S3 industrial modernisation partnerships</w:t>
      </w:r>
      <w:r w:rsidR="00BD3261" w:rsidRPr="003570D0">
        <w:t xml:space="preserve"> (ClusSport, Mining </w:t>
      </w:r>
      <w:r w:rsidR="00CA54DB" w:rsidRPr="003570D0">
        <w:t>Industries</w:t>
      </w:r>
      <w:r w:rsidR="00BD3261" w:rsidRPr="003570D0">
        <w:t>, BERRY+)</w:t>
      </w:r>
      <w:r w:rsidR="00493880" w:rsidRPr="003570D0">
        <w:rPr>
          <w:rStyle w:val="FootnoteReference"/>
          <w:color w:val="000000" w:themeColor="text1"/>
        </w:rPr>
        <w:footnoteReference w:id="6"/>
      </w:r>
      <w:r w:rsidR="00302085" w:rsidRPr="003570D0">
        <w:t xml:space="preserve">, and one Industrial Transition </w:t>
      </w:r>
      <w:r w:rsidR="00772916" w:rsidRPr="003570D0">
        <w:t xml:space="preserve">pilot </w:t>
      </w:r>
      <w:r w:rsidR="00302085" w:rsidRPr="003570D0">
        <w:lastRenderedPageBreak/>
        <w:t>project (</w:t>
      </w:r>
      <w:r w:rsidR="00772916" w:rsidRPr="003570D0">
        <w:t xml:space="preserve">based on the initiative announced in autumn 2017 by the EC, </w:t>
      </w:r>
      <w:r w:rsidR="00302085" w:rsidRPr="003570D0">
        <w:t>Enhanced Strategy for Economic Transformation</w:t>
      </w:r>
      <w:r w:rsidR="00772916" w:rsidRPr="003570D0">
        <w:t>) the</w:t>
      </w:r>
      <w:r w:rsidR="00302085" w:rsidRPr="003570D0">
        <w:t xml:space="preserve"> ELMO</w:t>
      </w:r>
      <w:r w:rsidR="00CE2AC2" w:rsidRPr="003570D0">
        <w:rPr>
          <w:rStyle w:val="FootnoteReference"/>
          <w:color w:val="000000" w:themeColor="text1"/>
        </w:rPr>
        <w:footnoteReference w:id="7"/>
      </w:r>
      <w:r w:rsidR="00302085" w:rsidRPr="003570D0">
        <w:t xml:space="preserve"> project. </w:t>
      </w:r>
      <w:r w:rsidR="00CA0DE9" w:rsidRPr="003570D0">
        <w:t>These experiences span the period 200</w:t>
      </w:r>
      <w:r w:rsidR="00787412" w:rsidRPr="003570D0">
        <w:t>9</w:t>
      </w:r>
      <w:r w:rsidR="00CA0DE9" w:rsidRPr="003570D0">
        <w:t xml:space="preserve"> – to date (on going).</w:t>
      </w:r>
      <w:r w:rsidR="005C499A" w:rsidRPr="003570D0">
        <w:t xml:space="preserve"> We note that after 2016, there is a densificaiton of initiatives.</w:t>
      </w:r>
      <w:r w:rsidR="001551E8" w:rsidRPr="003570D0">
        <w:t xml:space="preserve"> What is common to all of th</w:t>
      </w:r>
      <w:r w:rsidR="005C499A" w:rsidRPr="003570D0">
        <w:t xml:space="preserve">em </w:t>
      </w:r>
      <w:r w:rsidR="001551E8" w:rsidRPr="003570D0">
        <w:t>is</w:t>
      </w:r>
      <w:r w:rsidR="005C499A" w:rsidRPr="003570D0">
        <w:t>, on the one hand,</w:t>
      </w:r>
      <w:r w:rsidR="001551E8" w:rsidRPr="003570D0">
        <w:t xml:space="preserve"> the quest for </w:t>
      </w:r>
      <w:r w:rsidR="002B796D" w:rsidRPr="003570D0">
        <w:t>im</w:t>
      </w:r>
      <w:r w:rsidR="001551E8" w:rsidRPr="003570D0">
        <w:t>proving</w:t>
      </w:r>
      <w:r w:rsidR="00592C05" w:rsidRPr="003570D0">
        <w:t xml:space="preserve"> the effectiveness of</w:t>
      </w:r>
      <w:r w:rsidR="001551E8" w:rsidRPr="003570D0">
        <w:t xml:space="preserve"> regional innovation </w:t>
      </w:r>
      <w:r w:rsidR="00592C05" w:rsidRPr="003570D0">
        <w:t xml:space="preserve">systems &amp; </w:t>
      </w:r>
      <w:r w:rsidR="001551E8" w:rsidRPr="003570D0">
        <w:t xml:space="preserve">strategies </w:t>
      </w:r>
      <w:r w:rsidR="005C499A" w:rsidRPr="003570D0">
        <w:t xml:space="preserve">either in relation to relevant forthcoming opportunities or </w:t>
      </w:r>
      <w:r w:rsidR="001551E8" w:rsidRPr="003570D0">
        <w:t>challenged by regional barriers/gaps/or weaknesses</w:t>
      </w:r>
      <w:r w:rsidR="005C499A" w:rsidRPr="003570D0">
        <w:t xml:space="preserve"> and, on the other hand, to act together with peer regions</w:t>
      </w:r>
      <w:r w:rsidR="001551E8" w:rsidRPr="003570D0">
        <w:t xml:space="preserve">. </w:t>
      </w:r>
      <w:r w:rsidR="00592C05" w:rsidRPr="003570D0">
        <w:t>This led us to question</w:t>
      </w:r>
      <w:r w:rsidR="008C6FF0" w:rsidRPr="003570D0">
        <w:t xml:space="preserve"> and look deeper into</w:t>
      </w:r>
      <w:r w:rsidR="00592C05" w:rsidRPr="003570D0">
        <w:t xml:space="preserve"> the place-based concept as a location-bounded approach</w:t>
      </w:r>
      <w:r w:rsidR="00A00199" w:rsidRPr="003570D0">
        <w:t>, the situations that would necessitate its re-interpretation and finally its transformation, and the currently available instruments</w:t>
      </w:r>
      <w:r w:rsidR="00592C05" w:rsidRPr="003570D0">
        <w:t>.</w:t>
      </w:r>
      <w:r w:rsidR="00A00199" w:rsidRPr="003570D0">
        <w:t xml:space="preserve"> </w:t>
      </w:r>
      <w:r w:rsidR="00592C05" w:rsidRPr="003570D0">
        <w:t xml:space="preserve"> </w:t>
      </w:r>
    </w:p>
    <w:p w14:paraId="50033C4A" w14:textId="77777777" w:rsidR="00C45150" w:rsidRPr="003570D0" w:rsidRDefault="00C45150" w:rsidP="00C45150">
      <w:pPr>
        <w:pStyle w:val="Heading6"/>
      </w:pPr>
      <w:bookmarkStart w:id="8" w:name="_FIELD_INPUTS"/>
      <w:bookmarkEnd w:id="8"/>
    </w:p>
    <w:p w14:paraId="5C1BC94D" w14:textId="272CC33E" w:rsidR="00C45150" w:rsidRPr="003570D0" w:rsidRDefault="00C45150" w:rsidP="00C45150">
      <w:pPr>
        <w:pStyle w:val="Heading6"/>
      </w:pPr>
      <w:r w:rsidRPr="003570D0">
        <w:t>RESEARCH APPROACH</w:t>
      </w:r>
    </w:p>
    <w:p w14:paraId="7B4AEBA0" w14:textId="31AD194B" w:rsidR="00C45150" w:rsidRPr="003570D0" w:rsidRDefault="00C45150" w:rsidP="00C45150">
      <w:pPr>
        <w:pStyle w:val="Heading7"/>
        <w:rPr>
          <w:lang w:eastAsia="de-DE"/>
        </w:rPr>
      </w:pPr>
      <w:r w:rsidRPr="003570D0">
        <w:rPr>
          <w:lang w:eastAsia="de-DE"/>
        </w:rPr>
        <w:t>Research question</w:t>
      </w:r>
    </w:p>
    <w:p w14:paraId="669FC312" w14:textId="39C11A86" w:rsidR="00C45150" w:rsidRPr="003570D0" w:rsidRDefault="00C7518D" w:rsidP="00C45150">
      <w:pPr>
        <w:rPr>
          <w:lang w:eastAsia="de-DE"/>
        </w:rPr>
      </w:pPr>
      <w:r w:rsidRPr="003570D0">
        <w:rPr>
          <w:lang w:eastAsia="de-DE"/>
        </w:rPr>
        <w:t>Do</w:t>
      </w:r>
      <w:r w:rsidR="0034044D" w:rsidRPr="003570D0">
        <w:rPr>
          <w:lang w:eastAsia="de-DE"/>
        </w:rPr>
        <w:t xml:space="preserve"> interregional complementarities, identified and activated through </w:t>
      </w:r>
      <w:r w:rsidRPr="003570D0">
        <w:rPr>
          <w:lang w:eastAsia="de-DE"/>
        </w:rPr>
        <w:t xml:space="preserve">interregional </w:t>
      </w:r>
      <w:r w:rsidR="0034044D" w:rsidRPr="003570D0">
        <w:rPr>
          <w:lang w:eastAsia="de-DE"/>
        </w:rPr>
        <w:t xml:space="preserve">project and network initiatives, </w:t>
      </w:r>
      <w:r w:rsidRPr="003570D0">
        <w:rPr>
          <w:lang w:eastAsia="de-DE"/>
        </w:rPr>
        <w:t xml:space="preserve">impact the way we understand and apply the place-based approach and the regional smart specialisation </w:t>
      </w:r>
      <w:r w:rsidR="001815DF" w:rsidRPr="003570D0">
        <w:rPr>
          <w:lang w:eastAsia="de-DE"/>
        </w:rPr>
        <w:t>strategies</w:t>
      </w:r>
      <w:r w:rsidRPr="003570D0">
        <w:rPr>
          <w:lang w:eastAsia="de-DE"/>
        </w:rPr>
        <w:t xml:space="preserve"> (RIS3, S3)? And, if yes, what are the </w:t>
      </w:r>
      <w:r w:rsidR="0034044D" w:rsidRPr="003570D0">
        <w:rPr>
          <w:lang w:eastAsia="de-DE"/>
        </w:rPr>
        <w:t xml:space="preserve">policy (RIS3) </w:t>
      </w:r>
      <w:r w:rsidRPr="003570D0">
        <w:rPr>
          <w:lang w:eastAsia="de-DE"/>
        </w:rPr>
        <w:t xml:space="preserve">implications? </w:t>
      </w:r>
    </w:p>
    <w:p w14:paraId="46C17A6E" w14:textId="1F89B13C" w:rsidR="00C45150" w:rsidRPr="003570D0" w:rsidRDefault="002961B3" w:rsidP="00C45150">
      <w:pPr>
        <w:pStyle w:val="Heading7"/>
        <w:rPr>
          <w:lang w:eastAsia="de-DE"/>
        </w:rPr>
      </w:pPr>
      <w:r w:rsidRPr="003570D0">
        <w:rPr>
          <w:lang w:eastAsia="de-DE"/>
        </w:rPr>
        <w:t>D</w:t>
      </w:r>
      <w:r w:rsidR="00C45150" w:rsidRPr="003570D0">
        <w:rPr>
          <w:lang w:eastAsia="de-DE"/>
        </w:rPr>
        <w:t>ata collection</w:t>
      </w:r>
    </w:p>
    <w:p w14:paraId="7955FCA3" w14:textId="75ED334A" w:rsidR="00C45150" w:rsidRPr="003570D0" w:rsidRDefault="00C7518D" w:rsidP="00C45150">
      <w:pPr>
        <w:rPr>
          <w:lang w:eastAsia="de-DE"/>
        </w:rPr>
      </w:pPr>
      <w:r w:rsidRPr="003570D0">
        <w:rPr>
          <w:lang w:eastAsia="de-DE"/>
        </w:rPr>
        <w:t xml:space="preserve">Case-studies of </w:t>
      </w:r>
      <w:r w:rsidR="00D865E0" w:rsidRPr="003570D0">
        <w:rPr>
          <w:lang w:eastAsia="de-DE"/>
        </w:rPr>
        <w:t xml:space="preserve">ten (10) </w:t>
      </w:r>
      <w:r w:rsidRPr="003570D0">
        <w:rPr>
          <w:lang w:eastAsia="de-DE"/>
        </w:rPr>
        <w:t xml:space="preserve">initiatives </w:t>
      </w:r>
      <w:r w:rsidR="0034044D" w:rsidRPr="003570D0">
        <w:rPr>
          <w:lang w:eastAsia="de-DE"/>
        </w:rPr>
        <w:t xml:space="preserve">aiming at </w:t>
      </w:r>
      <w:r w:rsidRPr="003570D0">
        <w:rPr>
          <w:lang w:eastAsia="de-DE"/>
        </w:rPr>
        <w:t>reinforcing the effectiveness of RIS3 through interregional networks and initiatives</w:t>
      </w:r>
      <w:r w:rsidR="002B265F" w:rsidRPr="003570D0">
        <w:rPr>
          <w:lang w:eastAsia="de-DE"/>
        </w:rPr>
        <w:t xml:space="preserve"> were analysed and compared. </w:t>
      </w:r>
      <w:r w:rsidR="00E9390D" w:rsidRPr="003570D0">
        <w:rPr>
          <w:lang w:eastAsia="de-DE"/>
        </w:rPr>
        <w:t xml:space="preserve">Comparison identified a shared space of insights and findings, applicable beyond the immediate boundaries of any of the initiatives considered individually. The motivation for conducting this study was based on </w:t>
      </w:r>
      <w:r w:rsidR="004A47F7" w:rsidRPr="003570D0">
        <w:rPr>
          <w:lang w:eastAsia="de-DE"/>
        </w:rPr>
        <w:t xml:space="preserve">two parametres: </w:t>
      </w:r>
      <w:r w:rsidR="00E9390D" w:rsidRPr="003570D0">
        <w:rPr>
          <w:lang w:eastAsia="de-DE"/>
        </w:rPr>
        <w:t>acknowledging untapped opportunities for regions</w:t>
      </w:r>
      <w:r w:rsidR="004A47F7" w:rsidRPr="003570D0">
        <w:rPr>
          <w:lang w:eastAsia="de-DE"/>
        </w:rPr>
        <w:t xml:space="preserve"> located beyond regional boundaries and the barriers</w:t>
      </w:r>
      <w:r w:rsidR="00E9390D" w:rsidRPr="003570D0">
        <w:rPr>
          <w:lang w:eastAsia="de-DE"/>
        </w:rPr>
        <w:t xml:space="preserve"> </w:t>
      </w:r>
      <w:r w:rsidR="004A47F7" w:rsidRPr="003570D0">
        <w:rPr>
          <w:lang w:eastAsia="de-DE"/>
        </w:rPr>
        <w:t>to access them.</w:t>
      </w:r>
    </w:p>
    <w:p w14:paraId="5E2DA29F" w14:textId="4048F7DF" w:rsidR="002B265F" w:rsidRPr="003570D0" w:rsidRDefault="002B265F" w:rsidP="00C45150">
      <w:pPr>
        <w:rPr>
          <w:lang w:eastAsia="de-DE"/>
        </w:rPr>
      </w:pPr>
      <w:r w:rsidRPr="003570D0">
        <w:rPr>
          <w:lang w:eastAsia="de-DE"/>
        </w:rPr>
        <w:t xml:space="preserve">Collection of evidence was done in two ways: by direct involvement in the planning, coordination,  implementation, reporting and evaluation of the investigatred initiatives, and by reviewing in depth reports and studies of these same initiatives. </w:t>
      </w:r>
    </w:p>
    <w:p w14:paraId="620622C2" w14:textId="77777777" w:rsidR="00C45150" w:rsidRPr="003570D0" w:rsidRDefault="00C45150" w:rsidP="00B818DF">
      <w:pPr>
        <w:pStyle w:val="Heading6"/>
      </w:pPr>
    </w:p>
    <w:p w14:paraId="625663E9" w14:textId="6D654B49" w:rsidR="004D71F3" w:rsidRPr="003570D0" w:rsidRDefault="004D71F3" w:rsidP="00B818DF">
      <w:pPr>
        <w:pStyle w:val="Heading6"/>
      </w:pPr>
      <w:r w:rsidRPr="003570D0">
        <w:t>FIELD INPUTS</w:t>
      </w:r>
    </w:p>
    <w:p w14:paraId="6CD82B37" w14:textId="5B89A438" w:rsidR="009531E8" w:rsidRPr="003570D0" w:rsidRDefault="00203115" w:rsidP="009531E8">
      <w:pPr>
        <w:spacing w:after="0"/>
      </w:pPr>
      <w:r w:rsidRPr="003570D0">
        <w:t xml:space="preserve">The </w:t>
      </w:r>
      <w:r w:rsidR="00031CDC" w:rsidRPr="003570D0">
        <w:rPr>
          <w:lang w:eastAsia="de-DE"/>
        </w:rPr>
        <w:t xml:space="preserve">of </w:t>
      </w:r>
      <w:r w:rsidR="00D865E0" w:rsidRPr="003570D0">
        <w:rPr>
          <w:lang w:eastAsia="de-DE"/>
        </w:rPr>
        <w:t xml:space="preserve">ten (10) </w:t>
      </w:r>
      <w:r w:rsidRPr="003570D0">
        <w:t>initiatives are summarised below from the perspective of interregional complementarities</w:t>
      </w:r>
      <w:r w:rsidR="00040163" w:rsidRPr="003570D0">
        <w:t>,</w:t>
      </w:r>
      <w:r w:rsidRPr="003570D0">
        <w:t xml:space="preserve"> results</w:t>
      </w:r>
      <w:r w:rsidR="00040163" w:rsidRPr="003570D0">
        <w:t xml:space="preserve"> - including any regional policy impact</w:t>
      </w:r>
      <w:r w:rsidRPr="003570D0">
        <w:t xml:space="preserve">, </w:t>
      </w:r>
      <w:r w:rsidR="00040163" w:rsidRPr="003570D0">
        <w:t>and implications for the place-based approach</w:t>
      </w:r>
      <w:r w:rsidRPr="003570D0">
        <w:t xml:space="preserve">: </w:t>
      </w:r>
    </w:p>
    <w:p w14:paraId="7339656D" w14:textId="718F8491" w:rsidR="000D0D48" w:rsidRPr="003570D0" w:rsidRDefault="009531E8" w:rsidP="000D0D48">
      <w:pPr>
        <w:pStyle w:val="ListBullet5"/>
        <w:rPr>
          <w:rFonts w:ascii="Times New Roman" w:hAnsi="Times New Roman"/>
          <w:color w:val="auto"/>
        </w:rPr>
      </w:pPr>
      <w:r w:rsidRPr="003570D0">
        <w:rPr>
          <w:lang w:val="en-FI"/>
        </w:rPr>
        <w:t>FRESH</w:t>
      </w:r>
      <w:r w:rsidR="00C630EF" w:rsidRPr="003570D0">
        <w:rPr>
          <w:lang w:val="en-FI"/>
        </w:rPr>
        <w:t xml:space="preserve">: FRESH project </w:t>
      </w:r>
      <w:r w:rsidR="008145A2" w:rsidRPr="003570D0">
        <w:rPr>
          <w:lang w:val="en-FI"/>
        </w:rPr>
        <w:t xml:space="preserve">objective was strengthening sustainable value creation in the partner </w:t>
      </w:r>
      <w:r w:rsidR="008145A2" w:rsidRPr="003570D0">
        <w:t xml:space="preserve">regions. </w:t>
      </w:r>
      <w:r w:rsidR="003131BA" w:rsidRPr="003570D0">
        <w:t xml:space="preserve">It </w:t>
      </w:r>
      <w:r w:rsidR="008145A2" w:rsidRPr="003570D0">
        <w:t xml:space="preserve">aimed at improving partner regions’ development plans and strengthening the uptake of eco-innovation tools within the regional innovation strategies. FRESH brought partner regions closer to the Environmental Technologies Action Plans (now transformed into the Eco Innovation Action Plan) and the Lead Markets Initiative (LMI 2007). </w:t>
      </w:r>
      <w:r w:rsidR="002A2FA8" w:rsidRPr="003570D0">
        <w:t>One</w:t>
      </w:r>
      <w:r w:rsidR="00065EB8" w:rsidRPr="003570D0">
        <w:t xml:space="preserve"> </w:t>
      </w:r>
      <w:r w:rsidR="002A2FA8" w:rsidRPr="003570D0">
        <w:t xml:space="preserve">of the achievements of the FRESH project was the introduction </w:t>
      </w:r>
      <w:r w:rsidR="00065EB8" w:rsidRPr="003570D0">
        <w:t>of</w:t>
      </w:r>
      <w:r w:rsidR="00203115" w:rsidRPr="003570D0">
        <w:t xml:space="preserve"> the RIS3 approach </w:t>
      </w:r>
      <w:r w:rsidR="00996981" w:rsidRPr="003570D0">
        <w:t xml:space="preserve">in two regions </w:t>
      </w:r>
      <w:r w:rsidR="00065EB8" w:rsidRPr="003570D0">
        <w:t xml:space="preserve">through the formulation of an eco-innovation component. Another achievement was </w:t>
      </w:r>
      <w:r w:rsidR="00203115" w:rsidRPr="003570D0">
        <w:t xml:space="preserve">modification of </w:t>
      </w:r>
      <w:r w:rsidR="00065EB8" w:rsidRPr="003570D0">
        <w:t xml:space="preserve">a regional public </w:t>
      </w:r>
      <w:r w:rsidR="00203115" w:rsidRPr="003570D0">
        <w:t xml:space="preserve">procurement </w:t>
      </w:r>
      <w:r w:rsidR="00065EB8" w:rsidRPr="003570D0">
        <w:lastRenderedPageBreak/>
        <w:t>regulation</w:t>
      </w:r>
      <w:r w:rsidR="00203115" w:rsidRPr="003570D0">
        <w:t xml:space="preserve">, </w:t>
      </w:r>
      <w:r w:rsidR="00065EB8" w:rsidRPr="003570D0">
        <w:t xml:space="preserve">to include </w:t>
      </w:r>
      <w:r w:rsidR="000D0D48" w:rsidRPr="003570D0">
        <w:t>sustainable</w:t>
      </w:r>
      <w:r w:rsidR="002A2FA8" w:rsidRPr="003570D0">
        <w:t xml:space="preserve"> </w:t>
      </w:r>
      <w:r w:rsidR="000D0D48" w:rsidRPr="003570D0">
        <w:t>value creation</w:t>
      </w:r>
      <w:r w:rsidR="00996981" w:rsidRPr="003570D0">
        <w:t xml:space="preserve"> (SVC)</w:t>
      </w:r>
      <w:r w:rsidR="000D0D48" w:rsidRPr="003570D0">
        <w:t xml:space="preserve"> criteria (CEN 350 and 351)</w:t>
      </w:r>
      <w:r w:rsidR="00CA35E7" w:rsidRPr="003570D0">
        <w:t>.</w:t>
      </w:r>
    </w:p>
    <w:p w14:paraId="545BE4C1" w14:textId="34DD3026" w:rsidR="00A606F7" w:rsidRPr="003570D0" w:rsidRDefault="009531E8" w:rsidP="00A606F7">
      <w:pPr>
        <w:pStyle w:val="ListBullet5"/>
      </w:pPr>
      <w:r w:rsidRPr="003570D0">
        <w:t>SCIENCE LINK</w:t>
      </w:r>
      <w:r w:rsidR="00CA35E7" w:rsidRPr="003570D0">
        <w:t xml:space="preserve">: Science Link was a network </w:t>
      </w:r>
      <w:r w:rsidR="003D305D" w:rsidRPr="003570D0">
        <w:t>of</w:t>
      </w:r>
      <w:r w:rsidR="00CA35E7" w:rsidRPr="003570D0">
        <w:t xml:space="preserve"> research facilities of photon and neutron sources</w:t>
      </w:r>
      <w:r w:rsidR="003131BA" w:rsidRPr="003570D0">
        <w:t>, SME users, scientific institutes, universities and regional organisations serving as innovation intermediaries and service promoting units (industrial research units), across the Baltic Sea Region</w:t>
      </w:r>
      <w:r w:rsidR="00CA35E7" w:rsidRPr="003570D0">
        <w:rPr>
          <w:rStyle w:val="FootnoteReference"/>
          <w:rFonts w:eastAsia="HGPMinchoE"/>
        </w:rPr>
        <w:footnoteReference w:id="8"/>
      </w:r>
      <w:r w:rsidR="00CA35E7" w:rsidRPr="003570D0">
        <w:t>.</w:t>
      </w:r>
      <w:r w:rsidR="003131BA" w:rsidRPr="003570D0">
        <w:rPr>
          <w:rFonts w:eastAsia="HGPMinchoE"/>
        </w:rPr>
        <w:t xml:space="preserve"> </w:t>
      </w:r>
      <w:r w:rsidR="00A43EB9" w:rsidRPr="003570D0">
        <w:rPr>
          <w:rFonts w:eastAsia="HGPMinchoE"/>
        </w:rPr>
        <w:t>What is especially significant in Science Link is that it tested interregional governance structures on two levels: industrial research centres and scientific committee. These interactions were observed and assessed by a high</w:t>
      </w:r>
      <w:r w:rsidR="002A2FA8" w:rsidRPr="003570D0">
        <w:rPr>
          <w:rFonts w:eastAsia="HGPMinchoE"/>
        </w:rPr>
        <w:t>-</w:t>
      </w:r>
      <w:r w:rsidR="00A43EB9" w:rsidRPr="003570D0">
        <w:rPr>
          <w:rFonts w:eastAsia="HGPMinchoE"/>
        </w:rPr>
        <w:t>level group comprising regional authorities</w:t>
      </w:r>
      <w:r w:rsidR="002A2FA8" w:rsidRPr="003570D0">
        <w:rPr>
          <w:rFonts w:eastAsia="HGPMinchoE"/>
        </w:rPr>
        <w:t xml:space="preserve">, with </w:t>
      </w:r>
      <w:r w:rsidR="00A43EB9" w:rsidRPr="003570D0">
        <w:rPr>
          <w:rFonts w:eastAsia="HGPMinchoE"/>
        </w:rPr>
        <w:t>the intention</w:t>
      </w:r>
      <w:r w:rsidR="002A2FA8" w:rsidRPr="003570D0">
        <w:rPr>
          <w:rFonts w:eastAsia="HGPMinchoE"/>
        </w:rPr>
        <w:t xml:space="preserve"> </w:t>
      </w:r>
      <w:r w:rsidR="00A43EB9" w:rsidRPr="003570D0">
        <w:rPr>
          <w:rFonts w:eastAsia="HGPMinchoE"/>
        </w:rPr>
        <w:t>to make linka</w:t>
      </w:r>
      <w:r w:rsidR="002A2FA8" w:rsidRPr="003570D0">
        <w:rPr>
          <w:rFonts w:eastAsia="HGPMinchoE"/>
        </w:rPr>
        <w:t>g</w:t>
      </w:r>
      <w:r w:rsidR="00A43EB9" w:rsidRPr="003570D0">
        <w:rPr>
          <w:rFonts w:eastAsia="HGPMinchoE"/>
        </w:rPr>
        <w:t xml:space="preserve">es to regional policies. </w:t>
      </w:r>
      <w:r w:rsidR="002A2FA8" w:rsidRPr="003570D0">
        <w:rPr>
          <w:rFonts w:eastAsia="HGPMinchoE"/>
        </w:rPr>
        <w:t xml:space="preserve">Science Link proved that interregional collaboration schemes are relevant, no matter how ambitious. However, continuity </w:t>
      </w:r>
      <w:r w:rsidR="00244DF0" w:rsidRPr="003570D0">
        <w:rPr>
          <w:rFonts w:eastAsia="HGPMinchoE"/>
        </w:rPr>
        <w:t xml:space="preserve">of activities and continuity of governance proved important factors, which could not be addressed through a 3 – year project. </w:t>
      </w:r>
    </w:p>
    <w:p w14:paraId="36C0BB54" w14:textId="6FE0FA44" w:rsidR="00244DF0" w:rsidRPr="003570D0" w:rsidRDefault="00776C65" w:rsidP="00244DF0">
      <w:pPr>
        <w:pStyle w:val="ListBullet5"/>
      </w:pPr>
      <w:r w:rsidRPr="003570D0">
        <w:t xml:space="preserve">BALTIC TRAM: Baltic TRAM </w:t>
      </w:r>
      <w:r w:rsidR="00A606F7" w:rsidRPr="003570D0">
        <w:t xml:space="preserve">can be considered a follow up of the Science Link project. It encouraged </w:t>
      </w:r>
      <w:r w:rsidRPr="003570D0">
        <w:t>structures</w:t>
      </w:r>
      <w:r w:rsidR="00A606F7" w:rsidRPr="003570D0">
        <w:t xml:space="preserve"> (innovation intermediaries, Industrial Research Centres) </w:t>
      </w:r>
      <w:r w:rsidRPr="003570D0">
        <w:t>to serve as interface</w:t>
      </w:r>
      <w:r w:rsidR="00A606F7" w:rsidRPr="003570D0">
        <w:t>s</w:t>
      </w:r>
      <w:r w:rsidRPr="003570D0">
        <w:t xml:space="preserve"> between analytical research institutes and companies, </w:t>
      </w:r>
      <w:r w:rsidR="00A606F7" w:rsidRPr="003570D0">
        <w:t>by shared functionalities.</w:t>
      </w:r>
      <w:r w:rsidRPr="003570D0">
        <w:t xml:space="preserve"> </w:t>
      </w:r>
      <w:r w:rsidR="00F71ABC" w:rsidRPr="003570D0">
        <w:t>The project experience</w:t>
      </w:r>
      <w:r w:rsidRPr="003570D0">
        <w:t xml:space="preserve"> re-confirmed the relevance of interregional complementarities introduced by the Science Link project, especially when it concerns large research infrastructures that cannot be easily replicated at regional or even national levels due to costs and density of demand. </w:t>
      </w:r>
      <w:r w:rsidR="00244DF0" w:rsidRPr="003570D0">
        <w:t xml:space="preserve">Interregional governance was taken a step further: it addressed national and regional innovation strategies. </w:t>
      </w:r>
      <w:r w:rsidRPr="003570D0">
        <w:t>The relevance of an ‘interregional RIS3 governance space’ was confirmed</w:t>
      </w:r>
      <w:r w:rsidR="00244DF0" w:rsidRPr="003570D0">
        <w:t>, however it was not easily accepted by regional partners. RIS3-related outward-looking were then, still, relatively novel.</w:t>
      </w:r>
    </w:p>
    <w:p w14:paraId="3D326C54" w14:textId="4A6DD794" w:rsidR="00F65CE0" w:rsidRPr="003570D0" w:rsidRDefault="009531E8" w:rsidP="00244DF0">
      <w:pPr>
        <w:pStyle w:val="ListBullet5"/>
      </w:pPr>
      <w:r w:rsidRPr="003570D0">
        <w:t>BRIDGES</w:t>
      </w:r>
      <w:r w:rsidR="000D0D48" w:rsidRPr="003570D0">
        <w:t xml:space="preserve">: </w:t>
      </w:r>
      <w:r w:rsidR="00314EB3" w:rsidRPr="003570D0">
        <w:t xml:space="preserve">The </w:t>
      </w:r>
      <w:r w:rsidR="00F65CE0" w:rsidRPr="003570D0">
        <w:t xml:space="preserve">overall objective of </w:t>
      </w:r>
      <w:r w:rsidR="00314EB3" w:rsidRPr="003570D0">
        <w:t xml:space="preserve">the </w:t>
      </w:r>
      <w:r w:rsidR="00F65CE0" w:rsidRPr="003570D0">
        <w:t xml:space="preserve">BRIDGES project is to significantly improve partner regions’ RIS3 implementation </w:t>
      </w:r>
      <w:r w:rsidR="00314EB3" w:rsidRPr="003570D0">
        <w:t xml:space="preserve">effectiveness &amp; </w:t>
      </w:r>
      <w:r w:rsidR="00F65CE0" w:rsidRPr="003570D0">
        <w:t>governance and the delivery of the structural funds</w:t>
      </w:r>
      <w:r w:rsidR="00314EB3" w:rsidRPr="003570D0">
        <w:t xml:space="preserve">. This is done by addressing mismatches between the knowledge and economic bases of the partner regions. </w:t>
      </w:r>
      <w:r w:rsidR="00F65CE0" w:rsidRPr="003570D0">
        <w:t>The industry</w:t>
      </w:r>
      <w:r w:rsidR="00314EB3" w:rsidRPr="003570D0">
        <w:t xml:space="preserve"> </w:t>
      </w:r>
      <w:r w:rsidR="00F65CE0" w:rsidRPr="003570D0">
        <w:t xml:space="preserve">focus is </w:t>
      </w:r>
      <w:r w:rsidR="00314EB3" w:rsidRPr="003570D0">
        <w:t>b</w:t>
      </w:r>
      <w:r w:rsidR="00F65CE0" w:rsidRPr="003570D0">
        <w:t>io</w:t>
      </w:r>
      <w:r w:rsidR="00314EB3" w:rsidRPr="003570D0">
        <w:t xml:space="preserve">-based </w:t>
      </w:r>
      <w:r w:rsidR="00F65CE0" w:rsidRPr="003570D0">
        <w:t>economy, an industry common to partners’ RIS3.</w:t>
      </w:r>
      <w:r w:rsidR="00DD5378" w:rsidRPr="003570D0">
        <w:t xml:space="preserve"> BRIDGES i</w:t>
      </w:r>
      <w:r w:rsidR="0050421E" w:rsidRPr="003570D0">
        <w:t>nvestigated</w:t>
      </w:r>
      <w:r w:rsidR="00DD5378" w:rsidRPr="003570D0">
        <w:t xml:space="preserve"> interregional complementarities</w:t>
      </w:r>
      <w:r w:rsidR="0050421E" w:rsidRPr="003570D0">
        <w:t xml:space="preserve"> in three ways:</w:t>
      </w:r>
      <w:r w:rsidR="00DD5378" w:rsidRPr="003570D0">
        <w:t xml:space="preserve"> first by connecting regional innovation systems (Phase 1), then by investigating options of research-to-business solutions (Phase 2), and finally by applying value chain analysis for interregional collaboration potential aligned with regional initiatives (additional activities, “Phase 3”).</w:t>
      </w:r>
      <w:r w:rsidR="0050421E" w:rsidRPr="003570D0">
        <w:t xml:space="preserve"> </w:t>
      </w:r>
      <w:r w:rsidR="001200C8" w:rsidRPr="003570D0">
        <w:t>In Phase 1, we identified that one reason regional innovation systems are underperforming was the lack of awareness of the whole range of relevant issues</w:t>
      </w:r>
      <w:r w:rsidR="001B5924" w:rsidRPr="003570D0">
        <w:t xml:space="preserve"> and, often, lack of absorptive capacity as well</w:t>
      </w:r>
      <w:r w:rsidR="001200C8" w:rsidRPr="003570D0">
        <w:t>.</w:t>
      </w:r>
      <w:r w:rsidR="001B5924" w:rsidRPr="003570D0">
        <w:t xml:space="preserve"> In Phase 2, the results </w:t>
      </w:r>
      <w:r w:rsidR="00F37C3A" w:rsidRPr="003570D0">
        <w:t>were very encouraging and confirmed the potential of building ad hoc as well as also longer-term collaborations. Based on these findings, t</w:t>
      </w:r>
      <w:r w:rsidR="00636752" w:rsidRPr="003570D0">
        <w:t xml:space="preserve">wo regions mainstreamed </w:t>
      </w:r>
      <w:r w:rsidR="0059509D" w:rsidRPr="003570D0">
        <w:t>the option of opening</w:t>
      </w:r>
      <w:r w:rsidR="00F37C3A" w:rsidRPr="003570D0">
        <w:t xml:space="preserve"> </w:t>
      </w:r>
      <w:r w:rsidR="00636752" w:rsidRPr="003570D0">
        <w:t>the</w:t>
      </w:r>
      <w:r w:rsidR="00F37C3A" w:rsidRPr="003570D0">
        <w:t>ir</w:t>
      </w:r>
      <w:r w:rsidR="00636752" w:rsidRPr="003570D0">
        <w:t xml:space="preserve"> RIS3 to transregional collaborations</w:t>
      </w:r>
      <w:r w:rsidR="00F37C3A" w:rsidRPr="003570D0">
        <w:t xml:space="preserve">. Phases 1 and 2 of the </w:t>
      </w:r>
      <w:r w:rsidR="00E13BFE" w:rsidRPr="003570D0">
        <w:t>BRIDGES project confirmed that interregional complementarities can be catalysts for regional diversification and renewal.</w:t>
      </w:r>
      <w:r w:rsidR="00FE228F" w:rsidRPr="003570D0">
        <w:t xml:space="preserve"> For example, i</w:t>
      </w:r>
      <w:r w:rsidR="0059509D" w:rsidRPr="003570D0">
        <w:t xml:space="preserve">t found that one way to achieve the latter, is by including extraterritorial inputs </w:t>
      </w:r>
      <w:r w:rsidR="00FE228F" w:rsidRPr="003570D0">
        <w:t>in</w:t>
      </w:r>
      <w:r w:rsidR="0059509D" w:rsidRPr="003570D0">
        <w:t>to the EDP (Entrepreneurial Discovery Process</w:t>
      </w:r>
      <w:r w:rsidR="00FE228F" w:rsidRPr="003570D0">
        <w:t xml:space="preserve">). </w:t>
      </w:r>
      <w:r w:rsidR="00F37C3A" w:rsidRPr="003570D0">
        <w:t xml:space="preserve">It went a step further and discussed </w:t>
      </w:r>
      <w:r w:rsidR="00950479" w:rsidRPr="003570D0">
        <w:t>issues of win-win collaboration between innovation advanced with less advanced regions, as well as between innovation advanced regions.</w:t>
      </w:r>
      <w:r w:rsidR="00F37C3A" w:rsidRPr="003570D0">
        <w:t xml:space="preserve"> “Phase 3” is currently being implemented.</w:t>
      </w:r>
      <w:r w:rsidR="00B52267" w:rsidRPr="003570D0">
        <w:t xml:space="preserve"> It </w:t>
      </w:r>
      <w:r w:rsidR="00870241" w:rsidRPr="003570D0">
        <w:t>was planned</w:t>
      </w:r>
      <w:r w:rsidR="00FF231B" w:rsidRPr="003570D0">
        <w:t xml:space="preserve"> to take a step further </w:t>
      </w:r>
      <w:r w:rsidR="00B52267" w:rsidRPr="003570D0">
        <w:t xml:space="preserve">the </w:t>
      </w:r>
      <w:r w:rsidR="00CC42DA" w:rsidRPr="003570D0">
        <w:t>insights that resulted from Phases 1 and 2</w:t>
      </w:r>
      <w:r w:rsidR="00FF231B" w:rsidRPr="003570D0">
        <w:t xml:space="preserve">. It is </w:t>
      </w:r>
      <w:r w:rsidR="00CC42DA" w:rsidRPr="003570D0">
        <w:t>especially looking into the issue of win-win collaborations</w:t>
      </w:r>
      <w:r w:rsidR="00FF231B" w:rsidRPr="003570D0">
        <w:t xml:space="preserve"> and how they can be visualised and interpreted into policy measures.</w:t>
      </w:r>
    </w:p>
    <w:p w14:paraId="3D3E1C3D" w14:textId="77777777" w:rsidR="0009653D" w:rsidRPr="003570D0" w:rsidRDefault="009D5AD7" w:rsidP="0009653D">
      <w:pPr>
        <w:pStyle w:val="ListBullet5"/>
      </w:pPr>
      <w:r w:rsidRPr="003570D0">
        <w:t xml:space="preserve">The objective </w:t>
      </w:r>
      <w:r w:rsidR="00214AD3" w:rsidRPr="003570D0">
        <w:t xml:space="preserve">of the ELMO project is to </w:t>
      </w:r>
      <w:r w:rsidR="00C64928" w:rsidRPr="003570D0">
        <w:t>increas</w:t>
      </w:r>
      <w:r w:rsidR="00214AD3" w:rsidRPr="003570D0">
        <w:t>e</w:t>
      </w:r>
      <w:r w:rsidR="00C64928" w:rsidRPr="003570D0">
        <w:t xml:space="preserve"> the clustering and interactions among the seven (7) regions that comprise the</w:t>
      </w:r>
      <w:r w:rsidR="00214AD3" w:rsidRPr="003570D0">
        <w:t xml:space="preserve"> North-East Finland area and: (1) t</w:t>
      </w:r>
      <w:r w:rsidR="0083385B" w:rsidRPr="003570D0">
        <w:t xml:space="preserve">o find and develop new procedures </w:t>
      </w:r>
      <w:r w:rsidR="0083385B" w:rsidRPr="003570D0">
        <w:lastRenderedPageBreak/>
        <w:t xml:space="preserve">to answer to the challenges posed by the industrial transition; </w:t>
      </w:r>
      <w:r w:rsidR="00214AD3" w:rsidRPr="003570D0">
        <w:t xml:space="preserve">(2) </w:t>
      </w:r>
      <w:r w:rsidR="0083385B" w:rsidRPr="003570D0">
        <w:t xml:space="preserve">to recognise the best solutions based on smart specialisation; </w:t>
      </w:r>
      <w:r w:rsidR="00214AD3" w:rsidRPr="003570D0">
        <w:t xml:space="preserve">(3) </w:t>
      </w:r>
      <w:r w:rsidR="00B15DB3" w:rsidRPr="003570D0">
        <w:t xml:space="preserve">to </w:t>
      </w:r>
      <w:r w:rsidR="0083385B" w:rsidRPr="003570D0">
        <w:t>find new ways of collaborating</w:t>
      </w:r>
      <w:r w:rsidR="008A4567" w:rsidRPr="003570D0">
        <w:t xml:space="preserve"> by </w:t>
      </w:r>
      <w:r w:rsidR="0083385B" w:rsidRPr="003570D0">
        <w:t>renewing ecosystems; modern clusters; advanced value chains</w:t>
      </w:r>
      <w:r w:rsidR="00062AED" w:rsidRPr="003570D0">
        <w:t>.</w:t>
      </w:r>
      <w:r w:rsidR="00835EE1" w:rsidRPr="003570D0">
        <w:t xml:space="preserve"> </w:t>
      </w:r>
      <w:r w:rsidR="00530E47" w:rsidRPr="003570D0">
        <w:t xml:space="preserve">The first generation of industrial transition projects had a budget as well as expert support financed by DG GROW. The implementation was organised at interregional </w:t>
      </w:r>
      <w:r w:rsidR="009C1C24" w:rsidRPr="003570D0">
        <w:t xml:space="preserve">(2018) </w:t>
      </w:r>
      <w:r w:rsidR="00530E47" w:rsidRPr="003570D0">
        <w:t>and at regional levels</w:t>
      </w:r>
      <w:r w:rsidR="009C1C24" w:rsidRPr="003570D0">
        <w:t xml:space="preserve"> (2019-2020)</w:t>
      </w:r>
      <w:r w:rsidR="00530E47" w:rsidRPr="003570D0">
        <w:t>. The regional projects analysed the cluster and agglomeration structures in reference to the prioritised sectors</w:t>
      </w:r>
      <w:r w:rsidR="00E53092" w:rsidRPr="003570D0">
        <w:rPr>
          <w:rStyle w:val="FootnoteReference"/>
        </w:rPr>
        <w:footnoteReference w:id="9"/>
      </w:r>
      <w:r w:rsidR="00530E47" w:rsidRPr="003570D0">
        <w:t xml:space="preserve"> metal refining and metal products (31% of the business turnover in the area), computers, electronic and optical devices (10%), further processing of wood (25%), food products and beverages (9%) and organised a cross-regional call of projects. The interregional level was financed by DG GROW who provided experts to analyse the overall context and </w:t>
      </w:r>
      <w:r w:rsidR="009C1C24" w:rsidRPr="003570D0">
        <w:t>propose an action plan</w:t>
      </w:r>
      <w:r w:rsidR="00530E47" w:rsidRPr="003570D0">
        <w:t xml:space="preserve"> for cross-regional consolidation</w:t>
      </w:r>
      <w:r w:rsidR="00530E47" w:rsidRPr="003570D0">
        <w:rPr>
          <w:b/>
          <w:bCs/>
          <w:color w:val="FF0000"/>
          <w:vertAlign w:val="superscript"/>
        </w:rPr>
        <w:footnoteReference w:id="10"/>
      </w:r>
      <w:r w:rsidR="00530E47" w:rsidRPr="003570D0">
        <w:t xml:space="preserve">. </w:t>
      </w:r>
      <w:r w:rsidR="009C1C24" w:rsidRPr="003570D0">
        <w:t>An operational, 4-phase proposal was formulated</w:t>
      </w:r>
      <w:r w:rsidR="00FD222D" w:rsidRPr="003570D0">
        <w:rPr>
          <w:rStyle w:val="FootnoteReference"/>
        </w:rPr>
        <w:footnoteReference w:id="11"/>
      </w:r>
      <w:r w:rsidR="0059245E" w:rsidRPr="003570D0">
        <w:t xml:space="preserve">; the approach adopted is </w:t>
      </w:r>
      <w:r w:rsidR="009C1C24" w:rsidRPr="003570D0">
        <w:t xml:space="preserve">a good foundation for extending the </w:t>
      </w:r>
      <w:r w:rsidR="00FD222D" w:rsidRPr="003570D0">
        <w:t xml:space="preserve">place-based approach </w:t>
      </w:r>
      <w:r w:rsidR="0059245E" w:rsidRPr="003570D0">
        <w:t xml:space="preserve">through </w:t>
      </w:r>
      <w:r w:rsidR="00FD222D" w:rsidRPr="003570D0">
        <w:t xml:space="preserve">shared sectorial and cluster interests. </w:t>
      </w:r>
      <w:r w:rsidR="0059245E" w:rsidRPr="003570D0">
        <w:t xml:space="preserve">A cross regional funding instrument is proposed. </w:t>
      </w:r>
      <w:r w:rsidR="00FD222D" w:rsidRPr="003570D0">
        <w:t xml:space="preserve">Governance issues are dealt with at </w:t>
      </w:r>
      <w:r w:rsidR="001F707B" w:rsidRPr="003570D0">
        <w:t xml:space="preserve">decision making </w:t>
      </w:r>
      <w:r w:rsidR="00FD222D" w:rsidRPr="003570D0">
        <w:t>(regional authorities) and cluster (innovation intermediary) levels</w:t>
      </w:r>
      <w:r w:rsidR="0059245E" w:rsidRPr="003570D0">
        <w:t xml:space="preserve">. </w:t>
      </w:r>
      <w:r w:rsidR="00FD222D" w:rsidRPr="003570D0">
        <w:t xml:space="preserve"> </w:t>
      </w:r>
    </w:p>
    <w:p w14:paraId="7584FF3C" w14:textId="369E5E85" w:rsidR="0009653D" w:rsidRPr="003570D0" w:rsidRDefault="0066658E" w:rsidP="003570D0">
      <w:pPr>
        <w:pStyle w:val="ListBullet5"/>
      </w:pPr>
      <w:r w:rsidRPr="003570D0">
        <w:t xml:space="preserve">BIG FIVE: </w:t>
      </w:r>
      <w:r w:rsidR="00B1523D" w:rsidRPr="003570D0">
        <w:t>The Helsinki Uusimaa region takes part in</w:t>
      </w:r>
      <w:hyperlink r:id="rId9" w:history="1">
        <w:r w:rsidR="00B1523D" w:rsidRPr="003570D0">
          <w:t> </w:t>
        </w:r>
      </w:hyperlink>
      <w:hyperlink r:id="rId10" w:history="1">
        <w:r w:rsidR="00B1523D" w:rsidRPr="003570D0">
          <w:t>the</w:t>
        </w:r>
      </w:hyperlink>
      <w:hyperlink r:id="rId11" w:history="1">
        <w:r w:rsidR="00B1523D" w:rsidRPr="003570D0">
          <w:t xml:space="preserve"> “</w:t>
        </w:r>
      </w:hyperlink>
      <w:hyperlink r:id="rId12" w:history="1">
        <w:r w:rsidR="00B1523D" w:rsidRPr="003570D0">
          <w:t>Big</w:t>
        </w:r>
      </w:hyperlink>
      <w:hyperlink r:id="rId13" w:history="1">
        <w:r w:rsidR="00B1523D" w:rsidRPr="003570D0">
          <w:t xml:space="preserve"> </w:t>
        </w:r>
      </w:hyperlink>
      <w:hyperlink r:id="rId14" w:history="1">
        <w:r w:rsidR="00B1523D" w:rsidRPr="003570D0">
          <w:t>Five</w:t>
        </w:r>
      </w:hyperlink>
      <w:hyperlink r:id="rId15" w:history="1">
        <w:r w:rsidR="00B1523D" w:rsidRPr="003570D0">
          <w:t xml:space="preserve">” </w:t>
        </w:r>
      </w:hyperlink>
      <w:hyperlink r:id="rId16" w:history="1">
        <w:r w:rsidR="00B1523D" w:rsidRPr="003570D0">
          <w:t>Northern</w:t>
        </w:r>
      </w:hyperlink>
      <w:hyperlink r:id="rId17" w:history="1">
        <w:r w:rsidR="00B1523D" w:rsidRPr="003570D0">
          <w:t xml:space="preserve"> </w:t>
        </w:r>
      </w:hyperlink>
      <w:hyperlink r:id="rId18" w:history="1">
        <w:r w:rsidR="00B1523D" w:rsidRPr="003570D0">
          <w:t>regions</w:t>
        </w:r>
      </w:hyperlink>
      <w:hyperlink r:id="rId19" w:history="1">
        <w:r w:rsidR="00B1523D" w:rsidRPr="003570D0">
          <w:t xml:space="preserve"> </w:t>
        </w:r>
      </w:hyperlink>
      <w:hyperlink r:id="rId20" w:history="1">
        <w:r w:rsidR="00B1523D" w:rsidRPr="003570D0">
          <w:t>cooperation</w:t>
        </w:r>
      </w:hyperlink>
      <w:r w:rsidR="00B1523D" w:rsidRPr="003570D0">
        <w:t xml:space="preserve"> including five mid-size regions from Northern Europe: the Capital Region of Denmark (Copenhagen), the Hamburg City State, the Amsterdam Metropolitan Area, the Stockholm Region and the Helsinki-Uusimaa Region itself. The cooperation focuses on the exchange of practice and development in the areas of innovation, business and regional development. The aim is to share and upscale green solutions for a sustainable and green future among these five regions. </w:t>
      </w:r>
      <w:r w:rsidR="0027299C" w:rsidRPr="003570D0">
        <w:t xml:space="preserve">It was established in 2018. The purpose is </w:t>
      </w:r>
      <w:r w:rsidR="0009653D" w:rsidRPr="003570D0">
        <w:t>to initiate and establish strategic partnership</w:t>
      </w:r>
      <w:r w:rsidR="0027299C" w:rsidRPr="003570D0">
        <w:t>s</w:t>
      </w:r>
      <w:r w:rsidR="0009653D" w:rsidRPr="003570D0">
        <w:t xml:space="preserve"> with other European regions. </w:t>
      </w:r>
      <w:r w:rsidR="000E407C" w:rsidRPr="003570D0">
        <w:t xml:space="preserve">Startegic partnerships are identified on the base of </w:t>
      </w:r>
      <w:r w:rsidR="0009653D" w:rsidRPr="003570D0">
        <w:t>the RIS3 Strateg</w:t>
      </w:r>
      <w:r w:rsidR="000E407C" w:rsidRPr="003570D0">
        <w:t>ies</w:t>
      </w:r>
      <w:r w:rsidR="0009653D" w:rsidRPr="003570D0">
        <w:t xml:space="preserve"> of the </w:t>
      </w:r>
      <w:r w:rsidR="000E407C" w:rsidRPr="003570D0">
        <w:t xml:space="preserve">participating regions, and comparisons between and among them. Ultimately, the </w:t>
      </w:r>
      <w:r w:rsidR="0009653D" w:rsidRPr="003570D0">
        <w:t>“Big Five” partnership and network</w:t>
      </w:r>
      <w:r w:rsidR="000E407C" w:rsidRPr="003570D0">
        <w:t xml:space="preserve"> aim at </w:t>
      </w:r>
      <w:r w:rsidR="0009653D" w:rsidRPr="003570D0">
        <w:t xml:space="preserve">tackling global challenges. </w:t>
      </w:r>
      <w:r w:rsidR="004A29D5" w:rsidRPr="003570D0">
        <w:t>The Big Five netwrok brings together three innovation leader and two strong innovator regions</w:t>
      </w:r>
      <w:r w:rsidR="004A29D5" w:rsidRPr="003570D0">
        <w:footnoteReference w:id="12"/>
      </w:r>
      <w:r w:rsidR="004A29D5" w:rsidRPr="003570D0">
        <w:t xml:space="preserve">. </w:t>
      </w:r>
      <w:r w:rsidR="00F263A8" w:rsidRPr="003570D0">
        <w:t xml:space="preserve">The RIS3 analysis of the partner areas reveals converging interests in Helath, Logistics and Transport, and Green Industries and circular economy. During the meeting that took place on 28.11.2018 in Helsinki, partner regions defined common objectives in four fomains: Green industry &amp; circular economy; Logistics &amp; urban transport; Health &amp; Wellness; </w:t>
      </w:r>
      <w:r w:rsidR="0080749A" w:rsidRPr="003570D0">
        <w:t xml:space="preserve">and </w:t>
      </w:r>
      <w:r w:rsidR="00F263A8" w:rsidRPr="003570D0">
        <w:t xml:space="preserve">Smart City. The approach to these four domains </w:t>
      </w:r>
      <w:r w:rsidR="00C9699F" w:rsidRPr="003570D0">
        <w:t xml:space="preserve">prioritises investing in two priorities: emerging market trends (opportunities) and </w:t>
      </w:r>
      <w:r w:rsidR="00F263A8" w:rsidRPr="003570D0">
        <w:t>address</w:t>
      </w:r>
      <w:r w:rsidR="00C9699F" w:rsidRPr="003570D0">
        <w:t>ing</w:t>
      </w:r>
      <w:r w:rsidR="00F263A8" w:rsidRPr="003570D0">
        <w:t xml:space="preserve"> global challenges</w:t>
      </w:r>
      <w:r w:rsidR="00C9699F" w:rsidRPr="003570D0">
        <w:t xml:space="preserve">, and the interactions between the two. </w:t>
      </w:r>
      <w:r w:rsidR="004A29D5" w:rsidRPr="003570D0">
        <w:t xml:space="preserve">What is fascinating about this network is the interpretation of innovation performance similarities, into interregional complementarities and their further operationalisation into concrete initiatives. </w:t>
      </w:r>
      <w:r w:rsidR="00F56DFA" w:rsidRPr="003570D0">
        <w:t xml:space="preserve">Governance arrangements and complementarity initiatives are foreseen for </w:t>
      </w:r>
      <w:r w:rsidR="007B679E" w:rsidRPr="003570D0">
        <w:t>the future.</w:t>
      </w:r>
    </w:p>
    <w:p w14:paraId="2C8AE3BB" w14:textId="4D57D972" w:rsidR="007B679E" w:rsidRPr="003570D0" w:rsidRDefault="00500AA4" w:rsidP="005D2D3B">
      <w:pPr>
        <w:pStyle w:val="ListBullet5"/>
      </w:pPr>
      <w:r w:rsidRPr="00500AA4">
        <w:t>CapREx</w:t>
      </w:r>
      <w:r w:rsidR="0066658E" w:rsidRPr="00500AA4">
        <w:t xml:space="preserve">: </w:t>
      </w:r>
      <w:r w:rsidRPr="00500AA4">
        <w:t>CapREx</w:t>
      </w:r>
      <w:r w:rsidR="0066658E" w:rsidRPr="00500AA4">
        <w:t xml:space="preserve"> is a network of capital regions located in the Baltic Sea and Central Europe areas.</w:t>
      </w:r>
      <w:r w:rsidR="0066658E" w:rsidRPr="003570D0">
        <w:t xml:space="preserve"> The network comprises Brandenburg (DE), Central Bohemia (CZ), Lower Austria (A</w:t>
      </w:r>
      <w:r w:rsidR="0027299C" w:rsidRPr="003570D0">
        <w:t>T</w:t>
      </w:r>
      <w:r w:rsidR="0066658E" w:rsidRPr="003570D0">
        <w:t>), Helsinki-Uusima (FI) and Kiev (U</w:t>
      </w:r>
      <w:r w:rsidR="0027299C" w:rsidRPr="003570D0">
        <w:t>KR</w:t>
      </w:r>
      <w:r w:rsidR="0066658E" w:rsidRPr="003570D0">
        <w:t>), established on 11.9.2019. The network focuses on digitalisation and sustainable development issues. The range of exchange has a strong soci</w:t>
      </w:r>
      <w:r w:rsidR="0027299C" w:rsidRPr="003570D0">
        <w:t xml:space="preserve">o-economic and spatial </w:t>
      </w:r>
      <w:r w:rsidR="0066658E" w:rsidRPr="003570D0">
        <w:t xml:space="preserve">dimension </w:t>
      </w:r>
      <w:r w:rsidR="000E407C" w:rsidRPr="003570D0">
        <w:t>exchanging on</w:t>
      </w:r>
      <w:r w:rsidR="0066658E" w:rsidRPr="003570D0">
        <w:t xml:space="preserve"> how equitable growth can be spread to functional areas of capital regions. This issue in the centre of the recent evolutions in work practices, with tele work patterns becoming mainstream in many cases. </w:t>
      </w:r>
      <w:r w:rsidR="007B679E" w:rsidRPr="003570D0">
        <w:t xml:space="preserve">Governance arrangements and complementarity initiatives are foreseen </w:t>
      </w:r>
      <w:r w:rsidR="007B679E" w:rsidRPr="003570D0">
        <w:lastRenderedPageBreak/>
        <w:t>for the future.</w:t>
      </w:r>
    </w:p>
    <w:p w14:paraId="5F4FE68A" w14:textId="02D5452E" w:rsidR="00F32952" w:rsidRPr="003570D0" w:rsidRDefault="009531E8" w:rsidP="00DE2CAE">
      <w:pPr>
        <w:pStyle w:val="ListBullet5"/>
      </w:pPr>
      <w:r w:rsidRPr="003570D0">
        <w:t>BERRY+</w:t>
      </w:r>
      <w:r w:rsidR="003E5378" w:rsidRPr="003570D0">
        <w:t xml:space="preserve"> S3</w:t>
      </w:r>
      <w:r w:rsidR="000D0D48" w:rsidRPr="003570D0">
        <w:t>:</w:t>
      </w:r>
      <w:r w:rsidR="00776C65" w:rsidRPr="003570D0">
        <w:t xml:space="preserve"> The BERRY+</w:t>
      </w:r>
      <w:r w:rsidR="00776C65" w:rsidRPr="003570D0">
        <w:rPr>
          <w:rStyle w:val="FootnoteReference"/>
          <w:rFonts w:eastAsia="HGPMinchoE"/>
        </w:rPr>
        <w:footnoteReference w:id="13"/>
      </w:r>
      <w:r w:rsidR="00776C65" w:rsidRPr="003570D0">
        <w:t xml:space="preserve"> S3 industrial modernisation partnership was established on 17.11.2020, and is part of the Joint Research Centre’s thematic platforms (</w:t>
      </w:r>
      <w:hyperlink r:id="rId21" w:history="1">
        <w:r w:rsidR="00776C65" w:rsidRPr="003570D0">
          <w:rPr>
            <w:rStyle w:val="Hyperlink"/>
          </w:rPr>
          <w:t>https://s3platform.jrc.ec.europa.eu/s3-thematic-platforms</w:t>
        </w:r>
      </w:hyperlink>
      <w:r w:rsidR="00776C65" w:rsidRPr="003570D0">
        <w:t xml:space="preserve">). </w:t>
      </w:r>
      <w:r w:rsidR="001F707B" w:rsidRPr="003570D0">
        <w:t>BERRY+ is aligned with RIS3 relating to bio-based and circular economy. Four value chains are prioritised: bio-based and recyclable textiles, forest-industry side-streams, regenerative cosmetics, and vegetable-based proteins.</w:t>
      </w:r>
      <w:r w:rsidR="001F707B" w:rsidRPr="003570D0">
        <w:rPr>
          <w:i/>
          <w:iCs/>
        </w:rPr>
        <w:t xml:space="preserve"> </w:t>
      </w:r>
      <w:r w:rsidR="00776C65" w:rsidRPr="003570D0">
        <w:t>BERRY+ has two key objectives: to reach interregional investments &amp; integrate partner regions’ innovations into existing and / or emerging European Value Chains (EVC) and (2) to establish and register with the ECCP an interregional cluster as a way for constructing added value at regional and interregional levels in the long run. Value chains are critical for the pull and push effect and their access to European innovation markets. The cluster unit is understood as a new or improved functionality of already existing cluster management units in the regions. Clusters are, at regional level what value chains are at transregional level</w:t>
      </w:r>
      <w:r w:rsidR="00776C65" w:rsidRPr="003570D0">
        <w:rPr>
          <w:rStyle w:val="FootnoteReference"/>
          <w:rFonts w:eastAsia="HGPMinchoE"/>
        </w:rPr>
        <w:footnoteReference w:id="14"/>
      </w:r>
      <w:r w:rsidR="00776C65" w:rsidRPr="003570D0">
        <w:t xml:space="preserve">. </w:t>
      </w:r>
      <w:r w:rsidR="001F707B" w:rsidRPr="003570D0">
        <w:t xml:space="preserve">BERRY+ </w:t>
      </w:r>
      <w:r w:rsidR="00C65FA2" w:rsidRPr="003570D0">
        <w:t>focused</w:t>
      </w:r>
      <w:r w:rsidR="001F707B" w:rsidRPr="003570D0">
        <w:t xml:space="preserve"> its first year of operation </w:t>
      </w:r>
      <w:r w:rsidR="00C65FA2" w:rsidRPr="003570D0">
        <w:t>on</w:t>
      </w:r>
      <w:r w:rsidR="001F707B" w:rsidRPr="003570D0">
        <w:t xml:space="preserve"> </w:t>
      </w:r>
      <w:r w:rsidR="00680825" w:rsidRPr="003570D0">
        <w:t>six</w:t>
      </w:r>
      <w:r w:rsidR="00AF4061" w:rsidRPr="003570D0">
        <w:t xml:space="preserve"> (</w:t>
      </w:r>
      <w:r w:rsidR="00680825" w:rsidRPr="003570D0">
        <w:t>6</w:t>
      </w:r>
      <w:r w:rsidR="00AF4061" w:rsidRPr="003570D0">
        <w:t>)</w:t>
      </w:r>
      <w:r w:rsidR="001F707B" w:rsidRPr="003570D0">
        <w:t xml:space="preserve"> </w:t>
      </w:r>
      <w:r w:rsidR="00C65FA2" w:rsidRPr="003570D0">
        <w:t xml:space="preserve">issues: </w:t>
      </w:r>
      <w:r w:rsidR="00B3062B" w:rsidRPr="003570D0">
        <w:t xml:space="preserve">(1) </w:t>
      </w:r>
      <w:r w:rsidR="00AF4061" w:rsidRPr="003570D0">
        <w:t>baseline contributions (scoping documents, partnership management concept), (2) methodological contributions (value chain mapping methodology, methodology for activating value chains), (3) activation of value chains and initiative steps for identifying interregional complementarities and collaboration schemes, (4) identification of funding channels and effort to align and make operational EU with national and regional level options</w:t>
      </w:r>
      <w:r w:rsidR="00680825" w:rsidRPr="003570D0">
        <w:t>, (5) work on the concept of the interregional cluster management unit and the functionalities that are required, and (6) strengthen the BERRY+ partnership with committed partners.</w:t>
      </w:r>
      <w:r w:rsidR="003C4829" w:rsidRPr="003570D0">
        <w:t xml:space="preserve"> One result of this first year of operation, is that BERRY+ confirmed the need for methodological tools, the </w:t>
      </w:r>
      <w:r w:rsidR="00F32952" w:rsidRPr="003570D0">
        <w:t xml:space="preserve">largely unexplored </w:t>
      </w:r>
      <w:r w:rsidR="003C4829" w:rsidRPr="003570D0">
        <w:t xml:space="preserve">potential </w:t>
      </w:r>
      <w:r w:rsidR="00F32952" w:rsidRPr="003570D0">
        <w:t xml:space="preserve">of interregional complementarities and the importance of decision makers’ commitment in this </w:t>
      </w:r>
      <w:r w:rsidR="00040163" w:rsidRPr="003570D0">
        <w:t>direction</w:t>
      </w:r>
      <w:r w:rsidR="00F32952" w:rsidRPr="003570D0">
        <w:t xml:space="preserve"> i.e.</w:t>
      </w:r>
      <w:r w:rsidR="00040163" w:rsidRPr="003570D0">
        <w:t>,</w:t>
      </w:r>
      <w:r w:rsidR="00F32952" w:rsidRPr="003570D0">
        <w:t xml:space="preserve"> it </w:t>
      </w:r>
      <w:r w:rsidR="000A07A0" w:rsidRPr="003570D0">
        <w:t xml:space="preserve">clarified </w:t>
      </w:r>
      <w:r w:rsidR="00F32952" w:rsidRPr="003570D0">
        <w:t>the potential</w:t>
      </w:r>
      <w:r w:rsidR="000A07A0" w:rsidRPr="003570D0">
        <w:t xml:space="preserve"> of interregional complementarities</w:t>
      </w:r>
      <w:r w:rsidR="00F32952" w:rsidRPr="003570D0">
        <w:t xml:space="preserve"> (collaboration domains) and </w:t>
      </w:r>
      <w:r w:rsidR="000A07A0" w:rsidRPr="003570D0">
        <w:t xml:space="preserve">the preconditions for its success </w:t>
      </w:r>
      <w:r w:rsidR="00F32952" w:rsidRPr="003570D0">
        <w:t>(</w:t>
      </w:r>
      <w:r w:rsidR="000A07A0" w:rsidRPr="003570D0">
        <w:t xml:space="preserve">methodological tools, </w:t>
      </w:r>
      <w:r w:rsidR="001F6EA4" w:rsidRPr="003570D0">
        <w:t>funding,</w:t>
      </w:r>
      <w:r w:rsidR="000A07A0" w:rsidRPr="003570D0">
        <w:t xml:space="preserve"> and governance arrangements).</w:t>
      </w:r>
      <w:r w:rsidR="00815CBD" w:rsidRPr="003570D0">
        <w:t xml:space="preserve"> During its first 16 months of operation, t</w:t>
      </w:r>
      <w:r w:rsidR="00742BB0" w:rsidRPr="003570D0">
        <w:t>hree</w:t>
      </w:r>
      <w:r w:rsidR="00815CBD" w:rsidRPr="003570D0">
        <w:t xml:space="preserve"> str</w:t>
      </w:r>
      <w:r w:rsidR="00742BB0" w:rsidRPr="003570D0">
        <w:t>a</w:t>
      </w:r>
      <w:r w:rsidR="00815CBD" w:rsidRPr="003570D0">
        <w:t xml:space="preserve">tegic partnerships were shaped and </w:t>
      </w:r>
      <w:r w:rsidR="00742BB0" w:rsidRPr="003570D0">
        <w:t xml:space="preserve">are currently gradually </w:t>
      </w:r>
      <w:r w:rsidR="00815CBD" w:rsidRPr="003570D0">
        <w:t>proceed</w:t>
      </w:r>
      <w:r w:rsidR="00742BB0" w:rsidRPr="003570D0">
        <w:t>ing</w:t>
      </w:r>
      <w:r w:rsidR="00815CBD" w:rsidRPr="003570D0">
        <w:t xml:space="preserve"> to </w:t>
      </w:r>
      <w:r w:rsidR="00742BB0" w:rsidRPr="003570D0">
        <w:t>oper</w:t>
      </w:r>
      <w:r w:rsidR="00500AA4">
        <w:t>a</w:t>
      </w:r>
      <w:r w:rsidR="00742BB0" w:rsidRPr="003570D0">
        <w:t xml:space="preserve">tionalisation and </w:t>
      </w:r>
      <w:r w:rsidR="00815CBD" w:rsidRPr="003570D0">
        <w:t xml:space="preserve">institutionalisation: </w:t>
      </w:r>
      <w:r w:rsidR="00742BB0" w:rsidRPr="003570D0">
        <w:t xml:space="preserve">(i) </w:t>
      </w:r>
      <w:r w:rsidR="00815CBD" w:rsidRPr="003570D0">
        <w:t xml:space="preserve">one on bio-based, recyclable textiles  involving also the forest industry, between Finland (Helsinki-Uusimaa region, Kainuu region) and Italy (Friuli Venezia Giulia region), </w:t>
      </w:r>
      <w:r w:rsidR="00742BB0" w:rsidRPr="003570D0">
        <w:t xml:space="preserve">(ii) </w:t>
      </w:r>
      <w:r w:rsidR="00815CBD" w:rsidRPr="003570D0">
        <w:t>one between two S3 partnerships, BERRY+ &amp; GO FOR COSMETICS</w:t>
      </w:r>
      <w:r w:rsidR="00742BB0" w:rsidRPr="003570D0">
        <w:t xml:space="preserve">, involving several regions on both sides, and (iii) one on </w:t>
      </w:r>
      <w:r w:rsidR="00AA55DF" w:rsidRPr="003570D0">
        <w:t>the diversification of dairy industry side</w:t>
      </w:r>
      <w:r w:rsidR="00500AA4">
        <w:t>-</w:t>
      </w:r>
      <w:r w:rsidR="00AA55DF" w:rsidRPr="003570D0">
        <w:t>streams (Finland &amp; Greece)</w:t>
      </w:r>
      <w:r w:rsidR="00815CBD" w:rsidRPr="003570D0">
        <w:t xml:space="preserve">. </w:t>
      </w:r>
      <w:r w:rsidR="00992309" w:rsidRPr="003570D0">
        <w:t xml:space="preserve">Starting from prioritised value chains, they </w:t>
      </w:r>
      <w:r w:rsidR="00815CBD" w:rsidRPr="003570D0">
        <w:t>are results of systematic</w:t>
      </w:r>
      <w:r w:rsidR="00992309" w:rsidRPr="003570D0">
        <w:t xml:space="preserve">, </w:t>
      </w:r>
      <w:r w:rsidR="00815CBD" w:rsidRPr="003570D0">
        <w:t>fact-finding meetings and insights</w:t>
      </w:r>
      <w:r w:rsidR="00AA55DF" w:rsidRPr="003570D0">
        <w:t>, as well as explicit exchanges on fu</w:t>
      </w:r>
      <w:r w:rsidR="007B679E" w:rsidRPr="003570D0">
        <w:t>n</w:t>
      </w:r>
      <w:r w:rsidR="00AA55DF" w:rsidRPr="003570D0">
        <w:t>ding mechanisms and implicat</w:t>
      </w:r>
      <w:r w:rsidR="00500AA4">
        <w:t>i</w:t>
      </w:r>
      <w:r w:rsidR="00AA55DF" w:rsidRPr="003570D0">
        <w:t>ons for each one of the involved regions</w:t>
      </w:r>
      <w:r w:rsidR="00815CBD" w:rsidRPr="003570D0">
        <w:t xml:space="preserve">. </w:t>
      </w:r>
    </w:p>
    <w:p w14:paraId="6B1C3F89" w14:textId="6FACCCA2" w:rsidR="004B7510" w:rsidRPr="003570D0" w:rsidRDefault="009531E8" w:rsidP="006B24D3">
      <w:pPr>
        <w:pStyle w:val="ListBullet5"/>
      </w:pPr>
      <w:r w:rsidRPr="003570D0">
        <w:t>C</w:t>
      </w:r>
      <w:r w:rsidR="0066658E" w:rsidRPr="003570D0">
        <w:t xml:space="preserve">lusSport </w:t>
      </w:r>
      <w:r w:rsidR="003E5378" w:rsidRPr="003570D0">
        <w:t>S3</w:t>
      </w:r>
      <w:r w:rsidR="000D0D48" w:rsidRPr="003570D0">
        <w:t xml:space="preserve">: </w:t>
      </w:r>
      <w:r w:rsidR="004B7510" w:rsidRPr="003570D0">
        <w:t xml:space="preserve">The motivation for the ClusSport S3 </w:t>
      </w:r>
      <w:r w:rsidR="00755540" w:rsidRPr="003570D0">
        <w:t xml:space="preserve">was to consolidate and </w:t>
      </w:r>
      <w:r w:rsidR="00DE2CAE" w:rsidRPr="003570D0">
        <w:t>commerci</w:t>
      </w:r>
      <w:r w:rsidR="008D1598">
        <w:t>a</w:t>
      </w:r>
      <w:r w:rsidR="00DE2CAE" w:rsidRPr="003570D0">
        <w:t>lise</w:t>
      </w:r>
      <w:r w:rsidR="00755540" w:rsidRPr="003570D0">
        <w:t xml:space="preserve"> </w:t>
      </w:r>
      <w:r w:rsidR="00DE2CAE" w:rsidRPr="003570D0">
        <w:t xml:space="preserve">through interregional projects </w:t>
      </w:r>
      <w:r w:rsidR="00755540" w:rsidRPr="003570D0">
        <w:t>the spo</w:t>
      </w:r>
      <w:r w:rsidR="00DE2CAE" w:rsidRPr="003570D0">
        <w:t>r</w:t>
      </w:r>
      <w:r w:rsidR="00755540" w:rsidRPr="003570D0">
        <w:t xml:space="preserve">ts sector </w:t>
      </w:r>
      <w:r w:rsidR="00DE2CAE" w:rsidRPr="003570D0">
        <w:t>research and innovation potential:</w:t>
      </w:r>
      <w:r w:rsidR="008D1598">
        <w:t xml:space="preserve"> </w:t>
      </w:r>
      <w:r w:rsidR="00DE2CAE" w:rsidRPr="003570D0">
        <w:t>”</w:t>
      </w:r>
      <w:r w:rsidR="004B7510" w:rsidRPr="003570D0">
        <w:t>Analysis and scientific research in the sport sector are still occasional and sporadic, especially when it comes to its supply chain models, as the integrated process wherein raw materials are manufactured into final products, then delivered to customers via distribution, retail, or both. On the other hand</w:t>
      </w:r>
      <w:r w:rsidR="008D1598">
        <w:t>,</w:t>
      </w:r>
      <w:r w:rsidR="004B7510" w:rsidRPr="003570D0">
        <w:t xml:space="preserve"> the sport sector has been most recently recognized as a large and fast-growing area of the European economy resilient to downturn-crisis and making an important contribution to growth and jobs (SPeA). In this sense the support provided by this call will offer the required technical assistance to the Sport domain and will intensify the learning, the connectivity as well as explore further synergies between the different European regions. The ultimate goal will be to facilitate the </w:t>
      </w:r>
      <w:r w:rsidR="004B7510" w:rsidRPr="003570D0">
        <w:lastRenderedPageBreak/>
        <w:t>commerciali</w:t>
      </w:r>
      <w:r w:rsidR="006D43ED" w:rsidRPr="003570D0">
        <w:t>s</w:t>
      </w:r>
      <w:r w:rsidR="004B7510" w:rsidRPr="003570D0">
        <w:t xml:space="preserve">ation and </w:t>
      </w:r>
      <w:r w:rsidR="006D43ED" w:rsidRPr="003570D0">
        <w:t xml:space="preserve">scaling </w:t>
      </w:r>
      <w:r w:rsidR="004B7510" w:rsidRPr="003570D0">
        <w:t>up of interregional innovation projects</w:t>
      </w:r>
      <w:r w:rsidR="00813AFE" w:rsidRPr="003570D0">
        <w:t>, to</w:t>
      </w:r>
      <w:r w:rsidR="004B7510" w:rsidRPr="003570D0">
        <w:t xml:space="preserve"> incentivise business opportunities throughout the entire spectrum of the sport industries and services</w:t>
      </w:r>
      <w:r w:rsidR="00DE2CAE" w:rsidRPr="003570D0">
        <w:t>”</w:t>
      </w:r>
      <w:r w:rsidR="004B7510" w:rsidRPr="003570D0">
        <w:rPr>
          <w:rStyle w:val="FootnoteReference"/>
          <w:rFonts w:cs="Calibri"/>
          <w:szCs w:val="20"/>
          <w:lang w:val="en-FI"/>
        </w:rPr>
        <w:footnoteReference w:id="15"/>
      </w:r>
      <w:r w:rsidR="004B7510" w:rsidRPr="003570D0">
        <w:rPr>
          <w:rFonts w:ascii="Calibri" w:hAnsi="Calibri" w:cs="Calibri"/>
          <w:color w:val="auto"/>
          <w:sz w:val="20"/>
          <w:szCs w:val="20"/>
          <w:lang w:val="en-FI"/>
        </w:rPr>
        <w:t>.</w:t>
      </w:r>
      <w:r w:rsidR="00DE2CAE" w:rsidRPr="003570D0">
        <w:rPr>
          <w:rFonts w:ascii="Calibri" w:hAnsi="Calibri" w:cs="Calibri"/>
          <w:color w:val="auto"/>
          <w:sz w:val="20"/>
          <w:szCs w:val="20"/>
          <w:lang w:val="fi-FI"/>
        </w:rPr>
        <w:t xml:space="preserve"> </w:t>
      </w:r>
      <w:r w:rsidR="00DE2CAE" w:rsidRPr="003570D0">
        <w:t>ClusSport is already one of the older S3 partnerships.</w:t>
      </w:r>
      <w:r w:rsidR="00813AFE" w:rsidRPr="003570D0">
        <w:t xml:space="preserve"> In the context of th</w:t>
      </w:r>
      <w:r w:rsidR="007A2B62" w:rsidRPr="003570D0">
        <w:t>e present</w:t>
      </w:r>
      <w:r w:rsidR="00813AFE" w:rsidRPr="003570D0">
        <w:t xml:space="preserve"> paper</w:t>
      </w:r>
      <w:r w:rsidR="007A2B62" w:rsidRPr="003570D0">
        <w:t>, it</w:t>
      </w:r>
      <w:r w:rsidR="00813AFE" w:rsidRPr="003570D0">
        <w:t xml:space="preserve"> is important </w:t>
      </w:r>
      <w:r w:rsidR="007A2B62" w:rsidRPr="003570D0">
        <w:t xml:space="preserve">because </w:t>
      </w:r>
      <w:r w:rsidR="00813AFE" w:rsidRPr="003570D0">
        <w:t>becau</w:t>
      </w:r>
      <w:r w:rsidR="007A2B62" w:rsidRPr="003570D0">
        <w:t>s</w:t>
      </w:r>
      <w:r w:rsidR="00813AFE" w:rsidRPr="003570D0">
        <w:t xml:space="preserve">e in 2017, it links interregional complementarities with innovation scaling up projects at interregional level. </w:t>
      </w:r>
      <w:r w:rsidR="007A2B62" w:rsidRPr="003570D0">
        <w:t xml:space="preserve">There has been an initial strong intention towards interregional innovation investments. </w:t>
      </w:r>
      <w:r w:rsidR="00CC7093" w:rsidRPr="003570D0">
        <w:t>Mapping of regional excellences and association with potential investments has been a useful and operational exercise, currently being linked to new initiatives.</w:t>
      </w:r>
      <w:r w:rsidR="00CC282E">
        <w:t xml:space="preserve"> </w:t>
      </w:r>
      <w:r w:rsidR="007A2B62" w:rsidRPr="003570D0">
        <w:t>Tools for focusing such potential investments beyond the capability &amp; excellence level mapping of the partner areas would have been very useful</w:t>
      </w:r>
      <w:r w:rsidR="00CC7093" w:rsidRPr="003570D0">
        <w:t xml:space="preserve">. What we have learnt from the ClusSport partnership is the importance of having available methodological tools for identifying interregional complementarities. </w:t>
      </w:r>
    </w:p>
    <w:p w14:paraId="0612A12D" w14:textId="0177D548" w:rsidR="00094C22" w:rsidRPr="003570D0" w:rsidRDefault="009531E8" w:rsidP="008C3EEB">
      <w:pPr>
        <w:pStyle w:val="ListBullet5"/>
      </w:pPr>
      <w:r w:rsidRPr="003570D0">
        <w:t>MINING</w:t>
      </w:r>
      <w:r w:rsidR="003E5378" w:rsidRPr="003570D0">
        <w:t xml:space="preserve"> INDUSTRIES S3</w:t>
      </w:r>
      <w:r w:rsidR="000D0D48" w:rsidRPr="003570D0">
        <w:t xml:space="preserve">: </w:t>
      </w:r>
      <w:r w:rsidR="003E5378" w:rsidRPr="003570D0">
        <w:t>Mining industries</w:t>
      </w:r>
      <w:r w:rsidR="0081311A" w:rsidRPr="003570D0">
        <w:t xml:space="preserve"> S3 was set up to explore valorise mining industries across the EU anmd strengthen the potential of East and North Finland </w:t>
      </w:r>
      <w:r w:rsidR="00CC282E">
        <w:t>e</w:t>
      </w:r>
      <w:r w:rsidR="00CC282E" w:rsidRPr="003570D0">
        <w:t>x</w:t>
      </w:r>
      <w:r w:rsidR="00CC282E">
        <w:t>tr</w:t>
      </w:r>
      <w:r w:rsidR="00CC282E" w:rsidRPr="003570D0">
        <w:t>active</w:t>
      </w:r>
      <w:r w:rsidR="0081311A" w:rsidRPr="003570D0">
        <w:t xml:space="preserve"> industries and associated national level clusters. It has been building also on synergies with Baltic Sea Region Interreg programme and Interreg Europe projects. Mining regions has had a very strong </w:t>
      </w:r>
      <w:r w:rsidR="00CC282E" w:rsidRPr="003570D0">
        <w:t>head start</w:t>
      </w:r>
      <w:r w:rsidR="0081311A" w:rsidRPr="003570D0">
        <w:t>, since the leading region had involved the OECD</w:t>
      </w:r>
      <w:r w:rsidR="0081311A" w:rsidRPr="003570D0">
        <w:footnoteReference w:id="16"/>
      </w:r>
      <w:r w:rsidR="0081311A" w:rsidRPr="003570D0">
        <w:t xml:space="preserve"> and development recommendations had been issued accordingly. The S3 partnership embraced these recommendations.</w:t>
      </w:r>
      <w:r w:rsidR="001516C6" w:rsidRPr="003570D0">
        <w:t xml:space="preserve"> Priority topics, confirmed during the kick off meeting, include: 1 Methodologies for focusing KET applications; 2 Mining value chains mapping and effective measures for interregional for value chain participation; 3 Populating the regional mining industry with more effective regional clustering, and support to the creation of new businesses and coherent education and support actions based on these efforts; 4 Models for combining funding and financing solutions for developing mining businesses; tools for promoting mining performing businesses</w:t>
      </w:r>
      <w:r w:rsidR="00094C22" w:rsidRPr="003570D0">
        <w:rPr>
          <w:rStyle w:val="FootnoteReference"/>
        </w:rPr>
        <w:footnoteReference w:id="17"/>
      </w:r>
      <w:r w:rsidR="001516C6" w:rsidRPr="003570D0">
        <w:t>.</w:t>
      </w:r>
      <w:r w:rsidR="00094C22" w:rsidRPr="003570D0">
        <w:t xml:space="preserve"> </w:t>
      </w:r>
    </w:p>
    <w:p w14:paraId="58CC0086" w14:textId="6FC52BCF" w:rsidR="00094C22" w:rsidRPr="003570D0" w:rsidRDefault="00094C22" w:rsidP="00094C22">
      <w:pPr>
        <w:pStyle w:val="ListBullet5"/>
        <w:numPr>
          <w:ilvl w:val="0"/>
          <w:numId w:val="0"/>
        </w:numPr>
        <w:ind w:left="1042"/>
      </w:pPr>
      <w:r w:rsidRPr="003570D0">
        <w:t>During the kick</w:t>
      </w:r>
      <w:r w:rsidR="008D1598">
        <w:t>-</w:t>
      </w:r>
      <w:r w:rsidRPr="003570D0">
        <w:t>off meeting, organised on 19.9.2019, in Brussels, two important questions were raised and discussed: 1 the potential of partners to co-finance future, needed supportive activities such as s</w:t>
      </w:r>
      <w:r w:rsidR="008D1598">
        <w:t>t</w:t>
      </w:r>
      <w:r w:rsidRPr="003570D0">
        <w:t xml:space="preserve">udies, meetings and so on; and 2 governance of the partnership was also on the agenda, including institutionalisation of the governance approach. </w:t>
      </w:r>
      <w:r w:rsidR="007C73D2" w:rsidRPr="003570D0">
        <w:t>One of the options proposed was creating a distinct, interregional legal entity. These two questions reveal how necessary baseline, preparatory, resources are for the setting up of interregional connectivity schemes</w:t>
      </w:r>
      <w:r w:rsidR="00490F90" w:rsidRPr="003570D0">
        <w:t xml:space="preserve"> and, in that sense, also how essential the legitimising &amp; enabling involvement of regional policy decision makers is. </w:t>
      </w:r>
      <w:r w:rsidR="007C73D2" w:rsidRPr="003570D0">
        <w:t>The same is confirmed by the BERRY+ partnership</w:t>
      </w:r>
      <w:r w:rsidR="00490F90" w:rsidRPr="003570D0">
        <w:t xml:space="preserve">. </w:t>
      </w:r>
    </w:p>
    <w:p w14:paraId="58E73F4F" w14:textId="6859DAA2" w:rsidR="001C1AF0" w:rsidRPr="003570D0" w:rsidRDefault="00A50AB2" w:rsidP="0066134A">
      <w:pPr>
        <w:pStyle w:val="Caption"/>
      </w:pPr>
      <w:r w:rsidRPr="003570D0">
        <w:lastRenderedPageBreak/>
        <mc:AlternateContent>
          <mc:Choice Requires="wps">
            <w:drawing>
              <wp:anchor distT="0" distB="0" distL="114300" distR="114300" simplePos="0" relativeHeight="251659264" behindDoc="0" locked="0" layoutInCell="1" allowOverlap="1" wp14:anchorId="5A255E74" wp14:editId="0EC19364">
                <wp:simplePos x="0" y="0"/>
                <wp:positionH relativeFrom="column">
                  <wp:posOffset>70684</wp:posOffset>
                </wp:positionH>
                <wp:positionV relativeFrom="paragraph">
                  <wp:posOffset>267167</wp:posOffset>
                </wp:positionV>
                <wp:extent cx="5463729" cy="3687492"/>
                <wp:effectExtent l="0" t="0" r="10160" b="8255"/>
                <wp:wrapNone/>
                <wp:docPr id="4" name="Text Box 4"/>
                <wp:cNvGraphicFramePr/>
                <a:graphic xmlns:a="http://schemas.openxmlformats.org/drawingml/2006/main">
                  <a:graphicData uri="http://schemas.microsoft.com/office/word/2010/wordprocessingShape">
                    <wps:wsp>
                      <wps:cNvSpPr txBox="1"/>
                      <wps:spPr>
                        <a:xfrm>
                          <a:off x="0" y="0"/>
                          <a:ext cx="5463729" cy="3687492"/>
                        </a:xfrm>
                        <a:prstGeom prst="rect">
                          <a:avLst/>
                        </a:prstGeom>
                        <a:noFill/>
                        <a:ln w="6350">
                          <a:solidFill>
                            <a:prstClr val="black"/>
                          </a:solidFill>
                        </a:ln>
                      </wps:spPr>
                      <wps:txbx>
                        <w:txbxContent>
                          <w:p w14:paraId="0CF20C50" w14:textId="77777777" w:rsidR="00A50AB2" w:rsidRDefault="00A50AB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55E74" id="_x0000_t202" coordsize="21600,21600" o:spt="202" path="m,l,21600r21600,l21600,xe">
                <v:stroke joinstyle="miter"/>
                <v:path gradientshapeok="t" o:connecttype="rect"/>
              </v:shapetype>
              <v:shape id="Text Box 4" o:spid="_x0000_s1026" type="#_x0000_t202" style="position:absolute;left:0;text-align:left;margin-left:5.55pt;margin-top:21.05pt;width:430.2pt;height:29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" filled="f" strokeweight=".5pt">
                <v:textbox>
                  <w:txbxContent>
                    <w:p w14:paraId="0CF20C50" w14:textId="77777777" w:rsidR="00A50AB2" w:rsidRDefault="00A50AB2">
                      <w:pPr>
                        <w:ind w:left="0"/>
                      </w:pPr>
                    </w:p>
                  </w:txbxContent>
                </v:textbox>
              </v:shape>
            </w:pict>
          </mc:Fallback>
        </mc:AlternateContent>
      </w:r>
      <w:r w:rsidR="001C1AF0" w:rsidRPr="003570D0">
        <w:t xml:space="preserve">Figure </w:t>
      </w:r>
      <w:r w:rsidR="001C1AF0" w:rsidRPr="003570D0">
        <w:fldChar w:fldCharType="begin"/>
      </w:r>
      <w:r w:rsidR="001C1AF0" w:rsidRPr="003570D0">
        <w:instrText xml:space="preserve"> SEQ Figure \* ARABIC </w:instrText>
      </w:r>
      <w:r w:rsidR="001C1AF0" w:rsidRPr="003570D0">
        <w:fldChar w:fldCharType="separate"/>
      </w:r>
      <w:r w:rsidR="004C3C8A" w:rsidRPr="003570D0">
        <w:t>1</w:t>
      </w:r>
      <w:r w:rsidR="001C1AF0" w:rsidRPr="003570D0">
        <w:fldChar w:fldCharType="end"/>
      </w:r>
      <w:r w:rsidR="001C1AF0" w:rsidRPr="003570D0">
        <w:t xml:space="preserve"> </w:t>
      </w:r>
      <w:r w:rsidRPr="003570D0">
        <w:t>Ten</w:t>
      </w:r>
      <w:r w:rsidR="001C1AF0" w:rsidRPr="003570D0">
        <w:t xml:space="preserve"> initiatives liaising interregional complementarities to regional innovation strategies</w:t>
      </w:r>
    </w:p>
    <w:p w14:paraId="4F21696F" w14:textId="4B147132" w:rsidR="00C72896" w:rsidRPr="003570D0" w:rsidRDefault="00A50AB2" w:rsidP="00C72896">
      <w:r w:rsidRPr="003570D0">
        <w:drawing>
          <wp:inline distT="0" distB="0" distL="0" distR="0" wp14:anchorId="6A47636D" wp14:editId="361FCE89">
            <wp:extent cx="5250069" cy="3559359"/>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2"/>
                    <a:stretch>
                      <a:fillRect/>
                    </a:stretch>
                  </pic:blipFill>
                  <pic:spPr>
                    <a:xfrm>
                      <a:off x="0" y="0"/>
                      <a:ext cx="5266823" cy="3570717"/>
                    </a:xfrm>
                    <a:prstGeom prst="rect">
                      <a:avLst/>
                    </a:prstGeom>
                  </pic:spPr>
                </pic:pic>
              </a:graphicData>
            </a:graphic>
          </wp:inline>
        </w:drawing>
      </w:r>
    </w:p>
    <w:p w14:paraId="744DCE66" w14:textId="77777777" w:rsidR="007B679E" w:rsidRPr="003570D0" w:rsidRDefault="007B679E" w:rsidP="00D80A2E">
      <w:pPr>
        <w:spacing w:after="0"/>
        <w:rPr>
          <w:color w:val="0020C1"/>
        </w:rPr>
      </w:pPr>
    </w:p>
    <w:p w14:paraId="6FED24DC" w14:textId="42A94F23" w:rsidR="00D80A2E" w:rsidRPr="003570D0" w:rsidRDefault="009531E8" w:rsidP="00D80A2E">
      <w:pPr>
        <w:spacing w:after="0"/>
      </w:pPr>
      <w:r w:rsidRPr="003570D0">
        <w:t xml:space="preserve">The </w:t>
      </w:r>
      <w:r w:rsidR="00031CDC" w:rsidRPr="003570D0">
        <w:rPr>
          <w:lang w:eastAsia="de-DE"/>
        </w:rPr>
        <w:t xml:space="preserve">of </w:t>
      </w:r>
      <w:r w:rsidR="00A50AB2" w:rsidRPr="003570D0">
        <w:rPr>
          <w:lang w:eastAsia="de-DE"/>
        </w:rPr>
        <w:t xml:space="preserve">ten (10) </w:t>
      </w:r>
      <w:r w:rsidRPr="003570D0">
        <w:t xml:space="preserve">initiatives formed a foundation on which a path of understanding and insights evolved and </w:t>
      </w:r>
      <w:r w:rsidR="00AA55DF" w:rsidRPr="003570D0">
        <w:t>are still</w:t>
      </w:r>
      <w:r w:rsidRPr="003570D0">
        <w:t xml:space="preserve"> evolving. </w:t>
      </w:r>
      <w:r w:rsidR="00D80A2E" w:rsidRPr="003570D0">
        <w:t xml:space="preserve">Figure 1 map summarises this path. In Figure 1, overlaps between or among projects </w:t>
      </w:r>
      <w:r w:rsidR="00AA55DF" w:rsidRPr="003570D0">
        <w:t xml:space="preserve">reflect time periods, but also </w:t>
      </w:r>
      <w:r w:rsidR="00D80A2E" w:rsidRPr="003570D0">
        <w:t xml:space="preserve">indicate </w:t>
      </w:r>
      <w:r w:rsidR="00AA55DF" w:rsidRPr="003570D0">
        <w:t xml:space="preserve">shared objectives (often by coincidence), </w:t>
      </w:r>
      <w:r w:rsidR="00D80A2E" w:rsidRPr="003570D0">
        <w:t xml:space="preserve">joint methodological </w:t>
      </w:r>
      <w:r w:rsidR="00AA55DF" w:rsidRPr="003570D0">
        <w:t xml:space="preserve">or </w:t>
      </w:r>
      <w:r w:rsidR="00D80A2E" w:rsidRPr="003570D0">
        <w:t>conceptual insights</w:t>
      </w:r>
      <w:r w:rsidR="00AA55DF" w:rsidRPr="003570D0">
        <w:t xml:space="preserve">. In some cases, such insights </w:t>
      </w:r>
      <w:r w:rsidR="00D80A2E" w:rsidRPr="003570D0">
        <w:t>have led</w:t>
      </w:r>
      <w:r w:rsidRPr="003570D0">
        <w:t>, step-by-step,</w:t>
      </w:r>
      <w:r w:rsidR="00D80A2E" w:rsidRPr="003570D0">
        <w:t xml:space="preserve"> to </w:t>
      </w:r>
      <w:r w:rsidR="00AA55DF" w:rsidRPr="003570D0">
        <w:t>a</w:t>
      </w:r>
      <w:r w:rsidR="00D80A2E" w:rsidRPr="003570D0">
        <w:t xml:space="preserve"> next </w:t>
      </w:r>
      <w:r w:rsidR="00AA55DF" w:rsidRPr="003570D0">
        <w:t xml:space="preserve">initiative. </w:t>
      </w:r>
    </w:p>
    <w:p w14:paraId="77AC084D" w14:textId="278E27AE" w:rsidR="00D80A2E" w:rsidRPr="003570D0" w:rsidRDefault="00D80A2E" w:rsidP="00906445">
      <w:pPr>
        <w:pStyle w:val="ListBullet5"/>
      </w:pPr>
      <w:r w:rsidRPr="003570D0">
        <w:t xml:space="preserve">Overlaps between the FRESH and Science Link projects generated evidence that a regional innovation strategy must feed industrial strategy objectives (regional spearheads); to achieve this, it is highly probable that many regions need to access non-co-located research resources. It implies that localised institutions of a regional innovation system need to establish regular, updated, and anticipatory interactions with external, state of the art resources. Sometimes it is not possible to localise and replicate locally all needed research resources. This is the case of Large Research Infrastructures, an example of which are synchrotrons. </w:t>
      </w:r>
    </w:p>
    <w:p w14:paraId="1C8D7DD7" w14:textId="26967EBC" w:rsidR="00D80A2E" w:rsidRPr="003570D0" w:rsidRDefault="00D80A2E" w:rsidP="00906445">
      <w:pPr>
        <w:pStyle w:val="ListBullet5"/>
      </w:pPr>
      <w:r w:rsidRPr="003570D0">
        <w:t xml:space="preserve">Overlaps between the Baltic TRAM and BRIDGES project, </w:t>
      </w:r>
      <w:r w:rsidR="00EA4756" w:rsidRPr="003570D0">
        <w:t>regard innovation infrastructure gaps at regional level and their necessary alignment to both RIS3 and state of play innovation infrastructure concepts, supporting regional diversification and interregional networking with counter parts.</w:t>
      </w:r>
    </w:p>
    <w:p w14:paraId="7688CB89" w14:textId="2055EC8B" w:rsidR="00EA4756" w:rsidRPr="003570D0" w:rsidRDefault="00EA4756" w:rsidP="00906445">
      <w:pPr>
        <w:pStyle w:val="ListBullet5"/>
      </w:pPr>
      <w:r w:rsidRPr="003570D0">
        <w:t xml:space="preserve">Overlaps between the BRIDGES and ELMO project deal with the question of identifying intra-and inter-regional added value among a group of regions. Interregional complementarities result from </w:t>
      </w:r>
      <w:r w:rsidR="00AB57FE" w:rsidRPr="003570D0">
        <w:t xml:space="preserve">evidence- and policy- based </w:t>
      </w:r>
      <w:r w:rsidRPr="003570D0">
        <w:t xml:space="preserve">cluster- and agglomeration- approaches </w:t>
      </w:r>
      <w:r w:rsidR="00AB57FE" w:rsidRPr="003570D0">
        <w:t>operationally linking</w:t>
      </w:r>
      <w:r w:rsidRPr="003570D0">
        <w:t xml:space="preserve"> </w:t>
      </w:r>
      <w:r w:rsidR="00AB57FE" w:rsidRPr="003570D0">
        <w:t xml:space="preserve">the partner regions, </w:t>
      </w:r>
      <w:r w:rsidR="00F559E4" w:rsidRPr="003570D0">
        <w:t xml:space="preserve">and </w:t>
      </w:r>
      <w:r w:rsidRPr="003570D0">
        <w:t>ensur</w:t>
      </w:r>
      <w:r w:rsidR="00AB57FE" w:rsidRPr="003570D0">
        <w:t>ing</w:t>
      </w:r>
      <w:r w:rsidRPr="003570D0">
        <w:t xml:space="preserve"> a higher critical mass</w:t>
      </w:r>
      <w:r w:rsidR="00F559E4" w:rsidRPr="003570D0">
        <w:t xml:space="preserve">, </w:t>
      </w:r>
      <w:r w:rsidRPr="003570D0">
        <w:t>a reinforced “internal market”</w:t>
      </w:r>
      <w:r w:rsidR="00F559E4" w:rsidRPr="003570D0">
        <w:t xml:space="preserve"> and, potentially, a more complete intra-regional innovation system.</w:t>
      </w:r>
    </w:p>
    <w:p w14:paraId="60E39544" w14:textId="07ABA3D5" w:rsidR="00EA4756" w:rsidRPr="003570D0" w:rsidRDefault="00EA4756" w:rsidP="00906445">
      <w:pPr>
        <w:pStyle w:val="ListBullet5"/>
      </w:pPr>
      <w:r w:rsidRPr="003570D0">
        <w:t xml:space="preserve">Overlaps between the BRIDGES </w:t>
      </w:r>
      <w:r w:rsidR="009531E8" w:rsidRPr="003570D0">
        <w:t>project and the BERRY+ partnership</w:t>
      </w:r>
      <w:r w:rsidR="00B63BDF" w:rsidRPr="003570D0">
        <w:t>,</w:t>
      </w:r>
      <w:r w:rsidR="009531E8" w:rsidRPr="003570D0">
        <w:t xml:space="preserve"> are of </w:t>
      </w:r>
      <w:r w:rsidR="00227815" w:rsidRPr="003570D0">
        <w:t xml:space="preserve">four types: </w:t>
      </w:r>
      <w:r w:rsidR="00B63BDF" w:rsidRPr="003570D0">
        <w:t xml:space="preserve">(1) </w:t>
      </w:r>
      <w:r w:rsidR="009531E8" w:rsidRPr="003570D0">
        <w:t>BERRY+ is implementing Action 2 of the BRIDGES project action plan of the Kainuu region</w:t>
      </w:r>
      <w:r w:rsidR="00AB57FE" w:rsidRPr="003570D0">
        <w:t xml:space="preserve">. </w:t>
      </w:r>
      <w:r w:rsidR="009531E8" w:rsidRPr="003570D0">
        <w:t xml:space="preserve">BERRY+ </w:t>
      </w:r>
      <w:r w:rsidR="00AB57FE" w:rsidRPr="003570D0">
        <w:t xml:space="preserve">maintains the focus of bio-based industries and circular economy that is also the baseline of the </w:t>
      </w:r>
      <w:r w:rsidR="00AB57FE" w:rsidRPr="003570D0">
        <w:lastRenderedPageBreak/>
        <w:t xml:space="preserve">BRIDGES project; </w:t>
      </w:r>
      <w:r w:rsidR="00B63BDF" w:rsidRPr="003570D0">
        <w:t xml:space="preserve">(2) </w:t>
      </w:r>
      <w:r w:rsidR="00AB57FE" w:rsidRPr="003570D0">
        <w:t>interregional complementarities, as a way of delivering more effective RIS3 are dealt with from t</w:t>
      </w:r>
      <w:r w:rsidR="00F559E4" w:rsidRPr="003570D0">
        <w:t>wo perspectives: first, there is an effort to operationalise regions’ biobased circular economy RIS3 objectives through the value chain approach</w:t>
      </w:r>
      <w:r w:rsidR="00B63BDF" w:rsidRPr="003570D0">
        <w:t xml:space="preserve"> and secondly, </w:t>
      </w:r>
      <w:r w:rsidR="00F559E4" w:rsidRPr="003570D0">
        <w:t>innovation intermediaries &amp; their specialised regional and interregional rôle</w:t>
      </w:r>
      <w:r w:rsidR="00B63BDF" w:rsidRPr="003570D0">
        <w:t>; (3) the outward looking dimension of RIS3 is tested, evaluated and policy impact actions are introduced</w:t>
      </w:r>
      <w:r w:rsidR="00227815" w:rsidRPr="003570D0">
        <w:t>; (4) effort to align interregional initiatives with regional, localised initiatives, to ensure added value and stronger embeddedness. At this stage, this is done by liaising value chain applications, to value chain analysis and identification of regional competitive advantage which can lead to re-shoring, in-shoring and near-shoring initiatives and associated policy making.</w:t>
      </w:r>
      <w:r w:rsidR="00B63BDF" w:rsidRPr="003570D0">
        <w:t xml:space="preserve"> </w:t>
      </w:r>
    </w:p>
    <w:p w14:paraId="297415F5" w14:textId="67F41357" w:rsidR="00C72896" w:rsidRPr="003570D0" w:rsidRDefault="00B63BDF" w:rsidP="00906445">
      <w:pPr>
        <w:pStyle w:val="ListBullet5"/>
      </w:pPr>
      <w:r w:rsidRPr="003570D0">
        <w:t>Overlaps between BRIDGES, BERRY+, Clu</w:t>
      </w:r>
      <w:r w:rsidR="00227815" w:rsidRPr="003570D0">
        <w:t>s</w:t>
      </w:r>
      <w:r w:rsidRPr="003570D0">
        <w:t xml:space="preserve">Sport and Mining regions are about </w:t>
      </w:r>
      <w:r w:rsidR="00227815" w:rsidRPr="003570D0">
        <w:t>implementing RIS3 objectives through interregional partnership projects, including the new tool, Interregional Innovation Investments (I3)</w:t>
      </w:r>
      <w:r w:rsidR="00196F64" w:rsidRPr="003570D0">
        <w:t xml:space="preserve"> and reinforcing the value chain approach.</w:t>
      </w:r>
    </w:p>
    <w:p w14:paraId="1996ED37" w14:textId="65A8D364" w:rsidR="007B679E" w:rsidRPr="003570D0" w:rsidRDefault="007B679E" w:rsidP="00906445">
      <w:pPr>
        <w:pStyle w:val="ListBullet5"/>
      </w:pPr>
      <w:r w:rsidRPr="003570D0">
        <w:t xml:space="preserve">Overlaps between Big Five and </w:t>
      </w:r>
      <w:r w:rsidR="00500AA4">
        <w:t>CapREx</w:t>
      </w:r>
      <w:r w:rsidRPr="003570D0">
        <w:t xml:space="preserve">: Conceptual outputs of both networks lead to a </w:t>
      </w:r>
      <w:r w:rsidR="008D1598" w:rsidRPr="003570D0">
        <w:t>solid development</w:t>
      </w:r>
      <w:r w:rsidRPr="003570D0">
        <w:t xml:space="preserve"> concept whereby competitive sustainable development approaches are also including equitable diffusion paths to areas adjacent to metropolitan regions and, therefore, a way to </w:t>
      </w:r>
      <w:r w:rsidR="00D00F4A" w:rsidRPr="003570D0">
        <w:t xml:space="preserve">structurally and predictably balance the (strong) centripetal forces of </w:t>
      </w:r>
      <w:r w:rsidR="008D1598" w:rsidRPr="003570D0">
        <w:t>knowledge-based</w:t>
      </w:r>
      <w:r w:rsidR="00D00F4A" w:rsidRPr="003570D0">
        <w:t xml:space="preserve"> economies. Further, both netw</w:t>
      </w:r>
      <w:r w:rsidR="008D1598">
        <w:t>o</w:t>
      </w:r>
      <w:r w:rsidR="00D00F4A" w:rsidRPr="003570D0">
        <w:t xml:space="preserve">rks plan to introduce governance options in the future. </w:t>
      </w:r>
    </w:p>
    <w:p w14:paraId="0D2A7202" w14:textId="7B4B09A1" w:rsidR="00D00F4A" w:rsidRPr="003570D0" w:rsidRDefault="00D00F4A" w:rsidP="00906445">
      <w:pPr>
        <w:pStyle w:val="ListBullet5"/>
      </w:pPr>
      <w:r w:rsidRPr="003570D0">
        <w:t xml:space="preserve">Overlaps between BRIDGES, Big Five, </w:t>
      </w:r>
      <w:r w:rsidR="00500AA4">
        <w:t>CapREx</w:t>
      </w:r>
      <w:r w:rsidRPr="003570D0">
        <w:t xml:space="preserve"> and BERRY</w:t>
      </w:r>
      <w:r w:rsidRPr="003570D0">
        <w:rPr>
          <w:rStyle w:val="FootnoteReference"/>
          <w:color w:val="000000" w:themeColor="text1"/>
        </w:rPr>
        <w:footnoteReference w:id="18"/>
      </w:r>
      <w:r w:rsidRPr="003570D0">
        <w:t>+ include considerations of aligning and benefi</w:t>
      </w:r>
      <w:r w:rsidR="008D1598">
        <w:t>t</w:t>
      </w:r>
      <w:r w:rsidRPr="003570D0">
        <w:t>t</w:t>
      </w:r>
      <w:r w:rsidR="008D1598">
        <w:t>i</w:t>
      </w:r>
      <w:r w:rsidRPr="003570D0">
        <w:t>ng from national level funding mechanisms, including Struc</w:t>
      </w:r>
      <w:r w:rsidR="008D1598">
        <w:t>t</w:t>
      </w:r>
      <w:r w:rsidRPr="003570D0">
        <w:t>ural Funds, to support interregional complementarity activities.</w:t>
      </w:r>
    </w:p>
    <w:p w14:paraId="70F882FC" w14:textId="66183BDB" w:rsidR="006B3CFD" w:rsidRPr="003570D0" w:rsidRDefault="006B3CFD" w:rsidP="00906445">
      <w:pPr>
        <w:pStyle w:val="ListBullet5"/>
      </w:pPr>
      <w:r w:rsidRPr="003570D0">
        <w:t xml:space="preserve">Overlaps between and among BRIDGES, BERRY+, BIG FIVE, </w:t>
      </w:r>
      <w:r w:rsidR="00500AA4">
        <w:t>CapREx</w:t>
      </w:r>
      <w:r w:rsidRPr="003570D0">
        <w:t xml:space="preserve">, ClusSport, ELMO and Mining regions, confirm the relevance of a re-defined place-based approach, across various specialisation domains. </w:t>
      </w:r>
    </w:p>
    <w:p w14:paraId="08B1AB74" w14:textId="77777777" w:rsidR="00B41735" w:rsidRPr="003570D0" w:rsidRDefault="00B41735" w:rsidP="00B818DF">
      <w:pPr>
        <w:pStyle w:val="Heading6"/>
      </w:pPr>
      <w:bookmarkStart w:id="9" w:name="_BACKGROUND"/>
      <w:bookmarkEnd w:id="9"/>
    </w:p>
    <w:p w14:paraId="6D9550E1" w14:textId="65585494" w:rsidR="00CD442D" w:rsidRPr="003570D0" w:rsidRDefault="00CD442D" w:rsidP="00B818DF">
      <w:pPr>
        <w:pStyle w:val="Heading6"/>
      </w:pPr>
      <w:r w:rsidRPr="003570D0">
        <w:t>BACKGROUND</w:t>
      </w:r>
    </w:p>
    <w:p w14:paraId="26EFA56E" w14:textId="0C02F60B" w:rsidR="00CD442D" w:rsidRPr="003570D0" w:rsidRDefault="00594FE0" w:rsidP="00B818DF">
      <w:pPr>
        <w:pStyle w:val="Heading6"/>
      </w:pPr>
      <w:r w:rsidRPr="003570D0">
        <w:t>The place-based approach</w:t>
      </w:r>
    </w:p>
    <w:p w14:paraId="48BA136F" w14:textId="2E6A17E8" w:rsidR="00594FE0" w:rsidRPr="003570D0" w:rsidRDefault="00594FE0" w:rsidP="00594FE0">
      <w:pPr>
        <w:widowControl w:val="0"/>
        <w:rPr>
          <w:szCs w:val="20"/>
        </w:rPr>
      </w:pPr>
      <w:r w:rsidRPr="003570D0">
        <w:t>The ‘place-based approach’ has become a summary term to</w:t>
      </w:r>
      <w:r w:rsidR="006E7C90" w:rsidRPr="003570D0">
        <w:t xml:space="preserve"> mean regional and national development valorising localised capabilities to achieve knowledge-based growth and diversification. </w:t>
      </w:r>
      <w:r w:rsidR="006E7C90" w:rsidRPr="003570D0">
        <w:rPr>
          <w:szCs w:val="20"/>
        </w:rPr>
        <w:t xml:space="preserve">It </w:t>
      </w:r>
      <w:r w:rsidRPr="003570D0">
        <w:rPr>
          <w:szCs w:val="20"/>
        </w:rPr>
        <w:t xml:space="preserve">is a key objective of the European Union’s smart specialisation strategies (S3) approach </w:t>
      </w:r>
      <w:r w:rsidRPr="003570D0">
        <w:rPr>
          <w:rStyle w:val="Hyperlink"/>
        </w:rPr>
        <w:t>(</w:t>
      </w:r>
      <w:hyperlink w:anchor="_Foray_D._(2015)." w:history="1">
        <w:r w:rsidRPr="003570D0">
          <w:rPr>
            <w:rStyle w:val="Hyperlink"/>
          </w:rPr>
          <w:t>Foray (2015)</w:t>
        </w:r>
      </w:hyperlink>
      <w:r w:rsidRPr="003570D0">
        <w:rPr>
          <w:rStyle w:val="Hyperlink"/>
        </w:rPr>
        <w:t>.</w:t>
      </w:r>
    </w:p>
    <w:p w14:paraId="258852C2" w14:textId="5C17C03D" w:rsidR="00594FE0" w:rsidRPr="003570D0" w:rsidRDefault="00594FE0" w:rsidP="00594FE0">
      <w:pPr>
        <w:pStyle w:val="NormalWeb"/>
        <w:rPr>
          <w:szCs w:val="18"/>
          <w:lang w:val="en-GB"/>
        </w:rPr>
      </w:pPr>
      <w:r w:rsidRPr="003570D0">
        <w:rPr>
          <w:lang w:val="en-GB"/>
        </w:rPr>
        <w:t xml:space="preserve">Historically, the place-based approach is linked to the Endogenous growth theory introduced by Rommer in </w:t>
      </w:r>
      <w:hyperlink w:anchor="_Romer_P._M.," w:history="1">
        <w:r w:rsidRPr="003570D0">
          <w:rPr>
            <w:rStyle w:val="Hyperlink"/>
            <w:sz w:val="20"/>
            <w:lang w:val="en-GB"/>
          </w:rPr>
          <w:t>1986</w:t>
        </w:r>
      </w:hyperlink>
      <w:r w:rsidRPr="003570D0">
        <w:rPr>
          <w:lang w:val="en-GB"/>
        </w:rPr>
        <w:t xml:space="preserve"> and </w:t>
      </w:r>
      <w:hyperlink w:anchor="_Romer_PM._1990." w:history="1">
        <w:r w:rsidRPr="003570D0">
          <w:rPr>
            <w:rStyle w:val="Hyperlink"/>
            <w:sz w:val="20"/>
            <w:lang w:val="en-GB"/>
          </w:rPr>
          <w:t>1990</w:t>
        </w:r>
      </w:hyperlink>
      <w:r w:rsidRPr="003570D0">
        <w:rPr>
          <w:lang w:val="en-GB"/>
        </w:rPr>
        <w:t>. It argued that regional growth is a direct result of internal processes, human resources &amp; capabilities, through new technologies, efficient production and services; all leading to increased returns to scale. In Finland, one of early examples of the place-based approach is the Finnish Programme of Centres of Expertise (CoE), initiated in 1994 and closed in 2013. Sotarauta (</w:t>
      </w:r>
      <w:hyperlink w:anchor="_Sotarauta_M._&amp;" w:history="1">
        <w:r w:rsidRPr="003570D0">
          <w:rPr>
            <w:rStyle w:val="Hyperlink"/>
            <w:sz w:val="18"/>
            <w:szCs w:val="24"/>
            <w:lang w:val="en-GB"/>
          </w:rPr>
          <w:t>Sotarauta et al</w:t>
        </w:r>
      </w:hyperlink>
      <w:r w:rsidRPr="003570D0">
        <w:rPr>
          <w:lang w:val="en-GB"/>
        </w:rPr>
        <w:t xml:space="preserve">. 2020, page 9) reminds that CoE has been a regional policy initiative that ‘attempted to shift the thinking away from weaknesses and towards the identification of regional strengths. … The CoE was a prime example of a place-sensitive policy </w:t>
      </w:r>
      <w:r w:rsidRPr="003570D0">
        <w:rPr>
          <w:szCs w:val="18"/>
          <w:lang w:val="en-GB"/>
        </w:rPr>
        <w:t>in which place-based local strategies met place-sensitive national coordination.”</w:t>
      </w:r>
      <w:r w:rsidRPr="003570D0">
        <w:rPr>
          <w:rStyle w:val="EndnoteReference"/>
          <w:sz w:val="18"/>
          <w:szCs w:val="18"/>
          <w:lang w:val="en-GB"/>
        </w:rPr>
        <w:endnoteReference w:id="2"/>
      </w:r>
      <w:r w:rsidRPr="003570D0">
        <w:rPr>
          <w:szCs w:val="18"/>
          <w:lang w:val="en-GB"/>
        </w:rPr>
        <w:t xml:space="preserve">.  In the EU, the place-based </w:t>
      </w:r>
      <w:r w:rsidRPr="003570D0">
        <w:rPr>
          <w:szCs w:val="18"/>
          <w:lang w:val="en-GB"/>
        </w:rPr>
        <w:lastRenderedPageBreak/>
        <w:t>approach was adopted following Barca’s report to the EC (Barca,2009</w:t>
      </w:r>
      <w:hyperlink w:anchor="_Romer_PM._1990." w:history="1">
        <w:r w:rsidRPr="003570D0">
          <w:rPr>
            <w:rStyle w:val="Hyperlink"/>
            <w:sz w:val="18"/>
            <w:szCs w:val="18"/>
            <w:lang w:val="en-GB"/>
          </w:rPr>
          <w:t>)</w:t>
        </w:r>
      </w:hyperlink>
      <w:r w:rsidRPr="003570D0">
        <w:rPr>
          <w:szCs w:val="18"/>
          <w:lang w:val="en-GB"/>
        </w:rPr>
        <w:t xml:space="preserve"> focusing on Cohesion Policy reform. The suggestion to adopt a place-based approach was motivated by the acknowledgement of the strong potential of existing resources in the EU as well as their under-utilisation and the resulting social exclusion thereof. These ideas became the focus of the reformed Cohesion Policy. Barca refined further (</w:t>
      </w:r>
      <w:hyperlink w:anchor="_Barca,_F.,_McCann," w:history="1">
        <w:r w:rsidRPr="003570D0">
          <w:rPr>
            <w:rStyle w:val="Hyperlink"/>
            <w:sz w:val="18"/>
            <w:szCs w:val="18"/>
            <w:lang w:val="en-GB"/>
          </w:rPr>
          <w:t>Barca et al. 2012</w:t>
        </w:r>
      </w:hyperlink>
      <w:r w:rsidRPr="003570D0">
        <w:rPr>
          <w:szCs w:val="18"/>
          <w:lang w:val="en-GB"/>
        </w:rPr>
        <w:t xml:space="preserve">:11) the place-based approach, looking deeper into what would be framing its feasibility. He </w:t>
      </w:r>
      <w:r w:rsidR="00057937" w:rsidRPr="003570D0">
        <w:rPr>
          <w:szCs w:val="18"/>
          <w:lang w:val="en-GB"/>
        </w:rPr>
        <w:t>recognises</w:t>
      </w:r>
      <w:r w:rsidRPr="003570D0">
        <w:rPr>
          <w:szCs w:val="18"/>
          <w:lang w:val="en-GB"/>
        </w:rPr>
        <w:t xml:space="preserve"> already in 2012, the importance of existing regional capabilities, and interactions between local and exogenous knowledge as essential for the design and delivery of regional policy. The </w:t>
      </w:r>
      <w:hyperlink r:id="rId23" w:anchor="EUROPEAN UNION, COMMITTEE OF THE REGIONS (2019). Implementing a place-based approach to EU industrial policy strategy. doi:10.2863/713416. Related: Asheim, B. (2012). " w:history="1">
        <w:r w:rsidRPr="003570D0">
          <w:rPr>
            <w:rStyle w:val="Hyperlink"/>
            <w:sz w:val="18"/>
            <w:szCs w:val="18"/>
            <w:lang w:val="en-GB"/>
          </w:rPr>
          <w:t>Committee of the Regions 2019</w:t>
        </w:r>
      </w:hyperlink>
      <w:r w:rsidR="00D86705" w:rsidRPr="003570D0">
        <w:rPr>
          <w:rStyle w:val="FootnoteReference"/>
          <w:szCs w:val="18"/>
          <w:lang w:val="en-GB"/>
        </w:rPr>
        <w:footnoteReference w:id="19"/>
      </w:r>
      <w:r w:rsidRPr="003570D0">
        <w:rPr>
          <w:szCs w:val="18"/>
          <w:lang w:val="en-GB"/>
        </w:rPr>
        <w:t xml:space="preserve"> report reveals a crucial aspect of the place-based approach, it is a tailored and not a one-size fits all approach: because it is place sensitive, it promotes a respectively tailored policy approach vs a ‘one size fits all’ approach; “the specificity, complexity</w:t>
      </w:r>
      <w:r w:rsidRPr="003570D0">
        <w:rPr>
          <w:rFonts w:ascii="TimesNewRomanPS" w:hAnsi="TimesNewRomanPS"/>
          <w:b/>
          <w:bCs/>
          <w:color w:val="auto"/>
          <w:szCs w:val="18"/>
          <w:lang w:val="en-GB" w:eastAsia="en-GB"/>
        </w:rPr>
        <w:t xml:space="preserve"> </w:t>
      </w:r>
      <w:r w:rsidRPr="003570D0">
        <w:rPr>
          <w:szCs w:val="18"/>
          <w:lang w:val="en-GB"/>
        </w:rPr>
        <w:t>and interconnectedness of a territory are essential parts of an industrial development policy strategy. In this sense, place-based strategies are different to “top-down” policies – often identified as place-neutral policies in the World Bank’s view– where central governments pursue a one-size-fits all solution to spur growth”</w:t>
      </w:r>
      <w:r w:rsidR="00186D5A" w:rsidRPr="003570D0">
        <w:rPr>
          <w:szCs w:val="18"/>
          <w:lang w:val="en-GB"/>
        </w:rPr>
        <w:t xml:space="preserve"> (page 15)</w:t>
      </w:r>
      <w:r w:rsidRPr="003570D0">
        <w:rPr>
          <w:szCs w:val="18"/>
          <w:lang w:val="en-GB"/>
        </w:rPr>
        <w:t xml:space="preserve">.  </w:t>
      </w:r>
    </w:p>
    <w:p w14:paraId="5EE6BA4B" w14:textId="4176BC10" w:rsidR="00E15C38" w:rsidRPr="003570D0" w:rsidRDefault="00594FE0" w:rsidP="00594FE0">
      <w:r w:rsidRPr="003570D0">
        <w:t>In spite of these principles, implementation of the place-based approach is not without challenges. Iacobucci (</w:t>
      </w:r>
      <w:hyperlink w:anchor="_Iacobucci,_D._(2012)." w:history="1">
        <w:r w:rsidR="00B41735" w:rsidRPr="003570D0">
          <w:rPr>
            <w:rStyle w:val="Hyperlink"/>
          </w:rPr>
          <w:t>Ia</w:t>
        </w:r>
        <w:r w:rsidRPr="003570D0">
          <w:rPr>
            <w:rStyle w:val="Hyperlink"/>
          </w:rPr>
          <w:t>cobucci 2012</w:t>
        </w:r>
      </w:hyperlink>
      <w:r w:rsidRPr="003570D0">
        <w:t xml:space="preserve">) is one of the early authors recognising challenges in the RIS3 design and delivery, especially in the case of peripheral regions and/or regions characterised by low or medium-tech economies. Such regions, it is argued need, at least at the start, lower their ambitions regardig the adoption of very advanced technologies. On the other hand, however, if regions lower their ambitions, how can they hope to be able to ever compete in any market, since what they produce is better and cheaper produced elsewhere by more advanced regions, and imported locally? This is the challenge of lock ins typical of the </w:t>
      </w:r>
      <w:r w:rsidR="003D08CD" w:rsidRPr="003570D0">
        <w:t xml:space="preserve">‘innovation non- frontier’ </w:t>
      </w:r>
      <w:r w:rsidRPr="003570D0">
        <w:t>regions</w:t>
      </w:r>
      <w:r w:rsidR="003D08CD" w:rsidRPr="003570D0">
        <w:rPr>
          <w:rStyle w:val="FootnoteReference"/>
        </w:rPr>
        <w:footnoteReference w:id="20"/>
      </w:r>
      <w:r w:rsidR="003D08CD" w:rsidRPr="003570D0">
        <w:t>,</w:t>
      </w:r>
      <w:r w:rsidRPr="003570D0">
        <w:rPr>
          <w:rStyle w:val="EndnoteReference"/>
        </w:rPr>
        <w:endnoteReference w:id="3"/>
      </w:r>
      <w:r w:rsidRPr="003570D0">
        <w:t>. Ultimately the question is: how less advanced regions can</w:t>
      </w:r>
      <w:r w:rsidR="00516C3C" w:rsidRPr="003570D0">
        <w:t xml:space="preserve"> learn &amp;</w:t>
      </w:r>
      <w:r w:rsidRPr="003570D0">
        <w:t xml:space="preserve"> scale up effectively?</w:t>
      </w:r>
      <w:r w:rsidR="00E15C38" w:rsidRPr="003570D0">
        <w:t xml:space="preserve"> What does “effectively” mean in this case? It means that through </w:t>
      </w:r>
      <w:r w:rsidR="003C5EB2" w:rsidRPr="003570D0">
        <w:t xml:space="preserve">the </w:t>
      </w:r>
      <w:r w:rsidR="00E15C38" w:rsidRPr="003570D0">
        <w:t xml:space="preserve">scaling up </w:t>
      </w:r>
      <w:r w:rsidR="003C5EB2" w:rsidRPr="003570D0">
        <w:t xml:space="preserve">efforts &amp; inputs to the supply side, regions </w:t>
      </w:r>
      <w:r w:rsidR="00E15C38" w:rsidRPr="003570D0">
        <w:t xml:space="preserve">reach </w:t>
      </w:r>
      <w:r w:rsidR="00516C3C" w:rsidRPr="003570D0">
        <w:t xml:space="preserve">a corresponding </w:t>
      </w:r>
      <w:r w:rsidR="00E15C38" w:rsidRPr="003570D0">
        <w:t xml:space="preserve">competitive advantage to </w:t>
      </w:r>
      <w:r w:rsidR="003C5EB2" w:rsidRPr="003570D0">
        <w:t xml:space="preserve">scale up also their market placement. </w:t>
      </w:r>
    </w:p>
    <w:p w14:paraId="3AA10D8A" w14:textId="122475DB" w:rsidR="00186D5A" w:rsidRPr="003570D0" w:rsidRDefault="00E15C38" w:rsidP="00594FE0">
      <w:pPr>
        <w:rPr>
          <w:lang w:val="fi-FI"/>
        </w:rPr>
      </w:pPr>
      <w:r w:rsidRPr="003570D0">
        <w:t xml:space="preserve">The </w:t>
      </w:r>
      <w:hyperlink w:anchor="OECD (2020). Broad-based Innovation Policy for All Regions and Cities. OECD Regional Development Studies, OECD Publishing, Paris. Chapter 4 Chapter 4 Supporting innovations in all types of regions. https://doi.org/10.1787/299731d2-en. https://www.oecd-ili" w:history="1">
        <w:r w:rsidRPr="003570D0">
          <w:rPr>
            <w:rStyle w:val="Hyperlink"/>
            <w:sz w:val="18"/>
            <w:szCs w:val="24"/>
          </w:rPr>
          <w:t>OECD (2020)</w:t>
        </w:r>
      </w:hyperlink>
      <w:r w:rsidRPr="003570D0">
        <w:t xml:space="preserve"> paper on broad-based innovation</w:t>
      </w:r>
      <w:r w:rsidR="005C39C8" w:rsidRPr="003570D0">
        <w:t xml:space="preserve"> policies</w:t>
      </w:r>
      <w:r w:rsidRPr="003570D0">
        <w:t xml:space="preserve"> links the</w:t>
      </w:r>
      <w:r w:rsidR="003C5EB2" w:rsidRPr="003570D0">
        <w:t xml:space="preserve"> scaling up efforts to technologically lagging regions’ absorptive capacity</w:t>
      </w:r>
      <w:r w:rsidR="005C39C8" w:rsidRPr="003570D0">
        <w:t>, distinguishing between i</w:t>
      </w:r>
      <w:r w:rsidR="00BE03B0" w:rsidRPr="003570D0">
        <w:t>nnovation advanced from innovation lagging regions: “</w:t>
      </w:r>
      <w:r w:rsidR="00BE03B0" w:rsidRPr="003570D0">
        <w:rPr>
          <w:lang w:val="en-FI"/>
        </w:rPr>
        <w:t>Innovation in non-frontier regions relies more on imitation and adoption than the development of own innovations. The distinction can be captured by a dichotomy between production capabilities and technology capabilities. Production capabilities are the capabilities of a region in using a given capital-embodied technology, labour and set of the organisational methods (e.g. managerial skills) to produce output. Technological capabilities, in contrast, are those that generate and manage technological change</w:t>
      </w:r>
      <w:r w:rsidR="00842E41" w:rsidRPr="003570D0">
        <w:rPr>
          <w:lang w:val="fi-FI"/>
        </w:rPr>
        <w:t>”</w:t>
      </w:r>
      <w:r w:rsidR="00186D5A" w:rsidRPr="003570D0">
        <w:rPr>
          <w:lang w:val="fi-FI"/>
        </w:rPr>
        <w:t>(page 2)</w:t>
      </w:r>
      <w:r w:rsidR="00BE03B0" w:rsidRPr="003570D0">
        <w:rPr>
          <w:lang w:val="en-FI"/>
        </w:rPr>
        <w:t xml:space="preserve">. </w:t>
      </w:r>
      <w:r w:rsidR="00842E41" w:rsidRPr="00CC282E">
        <w:t>It implies that innovation advanced regions are characterised by technology capabilities while the innovation lagging regions are characterised by production capabilities. While this is a realistic approach</w:t>
      </w:r>
      <w:r w:rsidR="000F39F1" w:rsidRPr="00CC282E">
        <w:t xml:space="preserve">, </w:t>
      </w:r>
      <w:r w:rsidR="00842E41" w:rsidRPr="00CC282E">
        <w:t>advocating long</w:t>
      </w:r>
      <w:r w:rsidR="000F39F1" w:rsidRPr="00CC282E">
        <w:t>-</w:t>
      </w:r>
      <w:r w:rsidR="00842E41" w:rsidRPr="00CC282E">
        <w:t>term</w:t>
      </w:r>
      <w:r w:rsidR="000F39F1" w:rsidRPr="00CC282E">
        <w:t>, strategic interregional collaborations</w:t>
      </w:r>
      <w:r w:rsidR="00842E41" w:rsidRPr="00CC282E">
        <w:t xml:space="preserve">, we feel that </w:t>
      </w:r>
      <w:r w:rsidR="000F39F1" w:rsidRPr="00CC282E">
        <w:t>it might not be always</w:t>
      </w:r>
      <w:r w:rsidR="000F39F1" w:rsidRPr="003570D0">
        <w:rPr>
          <w:lang w:val="fi-FI"/>
        </w:rPr>
        <w:t xml:space="preserve"> </w:t>
      </w:r>
      <w:r w:rsidR="000F39F1" w:rsidRPr="003570D0">
        <w:rPr>
          <w:lang w:val="fi-FI"/>
        </w:rPr>
        <w:lastRenderedPageBreak/>
        <w:t xml:space="preserve">reflecting the </w:t>
      </w:r>
      <w:r w:rsidR="00BB0878" w:rsidRPr="003570D0">
        <w:rPr>
          <w:lang w:val="fi-FI"/>
        </w:rPr>
        <w:t>potential</w:t>
      </w:r>
      <w:r w:rsidR="000F39F1" w:rsidRPr="003570D0">
        <w:rPr>
          <w:lang w:val="fi-FI"/>
        </w:rPr>
        <w:t xml:space="preserve"> of both advanced and less advanced regions. </w:t>
      </w:r>
      <w:r w:rsidR="00BD7579" w:rsidRPr="003570D0">
        <w:rPr>
          <w:lang w:val="fi-FI"/>
        </w:rPr>
        <w:t>’</w:t>
      </w:r>
      <w:r w:rsidR="00BB0878" w:rsidRPr="003570D0">
        <w:rPr>
          <w:lang w:val="fi-FI"/>
        </w:rPr>
        <w:t>Less advanced regions</w:t>
      </w:r>
      <w:r w:rsidR="00BD7579" w:rsidRPr="003570D0">
        <w:rPr>
          <w:lang w:val="fi-FI"/>
        </w:rPr>
        <w:t xml:space="preserve">’ is a  metric; this does not imply that a region is a </w:t>
      </w:r>
      <w:r w:rsidR="00BB0878" w:rsidRPr="003570D0">
        <w:rPr>
          <w:lang w:val="fi-FI"/>
        </w:rPr>
        <w:t>homogenuous</w:t>
      </w:r>
      <w:r w:rsidR="00BD7579" w:rsidRPr="003570D0">
        <w:rPr>
          <w:lang w:val="fi-FI"/>
        </w:rPr>
        <w:t>ly less advanced</w:t>
      </w:r>
      <w:r w:rsidR="00BB0878" w:rsidRPr="003570D0">
        <w:rPr>
          <w:lang w:val="fi-FI"/>
        </w:rPr>
        <w:t xml:space="preserve"> space. </w:t>
      </w:r>
      <w:r w:rsidR="000F39F1" w:rsidRPr="003570D0">
        <w:rPr>
          <w:lang w:val="fi-FI"/>
        </w:rPr>
        <w:t xml:space="preserve">For example, </w:t>
      </w:r>
      <w:r w:rsidR="00BB0878" w:rsidRPr="003570D0">
        <w:rPr>
          <w:lang w:val="fi-FI"/>
        </w:rPr>
        <w:t xml:space="preserve">we have noticed </w:t>
      </w:r>
      <w:r w:rsidR="000F39F1" w:rsidRPr="003570D0">
        <w:rPr>
          <w:lang w:val="fi-FI"/>
        </w:rPr>
        <w:t xml:space="preserve">that important knowledge resources </w:t>
      </w:r>
      <w:r w:rsidR="00BB0878" w:rsidRPr="003570D0">
        <w:rPr>
          <w:lang w:val="fi-FI"/>
        </w:rPr>
        <w:t xml:space="preserve">might </w:t>
      </w:r>
      <w:r w:rsidR="000F39F1" w:rsidRPr="003570D0">
        <w:rPr>
          <w:lang w:val="fi-FI"/>
        </w:rPr>
        <w:t>exist in less advanced regions without -for whatever reasons- being diffused to the regional economy.</w:t>
      </w:r>
      <w:r w:rsidR="00BB0878" w:rsidRPr="003570D0">
        <w:rPr>
          <w:lang w:val="fi-FI"/>
        </w:rPr>
        <w:t xml:space="preserve"> Should they not be taken into account? </w:t>
      </w:r>
      <w:r w:rsidR="005C39C8" w:rsidRPr="003570D0">
        <w:rPr>
          <w:lang w:val="fi-FI"/>
        </w:rPr>
        <w:t xml:space="preserve">The same applies to innovation advanced regions. </w:t>
      </w:r>
      <w:r w:rsidR="00BB0878" w:rsidRPr="003570D0">
        <w:rPr>
          <w:lang w:val="fi-FI"/>
        </w:rPr>
        <w:t xml:space="preserve">It is also important that innovation advanced regions </w:t>
      </w:r>
      <w:r w:rsidR="00BD7579" w:rsidRPr="003570D0">
        <w:rPr>
          <w:lang w:val="fi-FI"/>
        </w:rPr>
        <w:t>embed</w:t>
      </w:r>
      <w:r w:rsidR="00BB0878" w:rsidRPr="003570D0">
        <w:rPr>
          <w:lang w:val="fi-FI"/>
        </w:rPr>
        <w:t xml:space="preserve"> edge technologies at regional </w:t>
      </w:r>
      <w:r w:rsidR="00BD7579" w:rsidRPr="003570D0">
        <w:rPr>
          <w:lang w:val="fi-FI"/>
        </w:rPr>
        <w:t xml:space="preserve">market </w:t>
      </w:r>
      <w:r w:rsidR="00BB0878" w:rsidRPr="003570D0">
        <w:rPr>
          <w:lang w:val="fi-FI"/>
        </w:rPr>
        <w:t>level</w:t>
      </w:r>
      <w:r w:rsidR="00BD7579" w:rsidRPr="003570D0">
        <w:rPr>
          <w:lang w:val="fi-FI"/>
        </w:rPr>
        <w:t xml:space="preserve">, this is their renewal through specialisation </w:t>
      </w:r>
      <w:r w:rsidR="00516C3C" w:rsidRPr="003570D0">
        <w:rPr>
          <w:lang w:val="fi-FI"/>
        </w:rPr>
        <w:t>dynamics</w:t>
      </w:r>
      <w:r w:rsidR="00BD7579" w:rsidRPr="003570D0">
        <w:rPr>
          <w:lang w:val="fi-FI"/>
        </w:rPr>
        <w:t xml:space="preserve">. </w:t>
      </w:r>
      <w:r w:rsidR="005C39C8" w:rsidRPr="003570D0">
        <w:rPr>
          <w:lang w:val="fi-FI"/>
        </w:rPr>
        <w:t xml:space="preserve">In conclusion, we feel that a critical </w:t>
      </w:r>
      <w:r w:rsidR="002A1A41" w:rsidRPr="003570D0">
        <w:rPr>
          <w:lang w:val="fi-FI"/>
        </w:rPr>
        <w:t>issue</w:t>
      </w:r>
      <w:r w:rsidR="005C39C8" w:rsidRPr="003570D0">
        <w:rPr>
          <w:lang w:val="fi-FI"/>
        </w:rPr>
        <w:t xml:space="preserve"> for the </w:t>
      </w:r>
      <w:r w:rsidR="002A1A41" w:rsidRPr="003570D0">
        <w:rPr>
          <w:lang w:val="fi-FI"/>
        </w:rPr>
        <w:t xml:space="preserve">innovation measures and initiatives </w:t>
      </w:r>
      <w:r w:rsidR="002D529E" w:rsidRPr="003570D0">
        <w:rPr>
          <w:lang w:val="fi-FI"/>
        </w:rPr>
        <w:t xml:space="preserve">of less advanced regions </w:t>
      </w:r>
      <w:r w:rsidR="002A1A41" w:rsidRPr="003570D0">
        <w:rPr>
          <w:lang w:val="fi-FI"/>
        </w:rPr>
        <w:t>is methodological: how to organise and deploy policy measures</w:t>
      </w:r>
      <w:r w:rsidR="005C39C8" w:rsidRPr="003570D0">
        <w:rPr>
          <w:lang w:val="fi-FI"/>
        </w:rPr>
        <w:t xml:space="preserve"> </w:t>
      </w:r>
      <w:r w:rsidR="002A1A41" w:rsidRPr="003570D0">
        <w:rPr>
          <w:lang w:val="fi-FI"/>
        </w:rPr>
        <w:t>s</w:t>
      </w:r>
      <w:r w:rsidR="005C39C8" w:rsidRPr="003570D0">
        <w:rPr>
          <w:lang w:val="fi-FI"/>
        </w:rPr>
        <w:t xml:space="preserve">so that improvement of </w:t>
      </w:r>
      <w:r w:rsidR="002A1A41" w:rsidRPr="003570D0">
        <w:rPr>
          <w:lang w:val="fi-FI"/>
        </w:rPr>
        <w:t xml:space="preserve">&amp; capitalisation on </w:t>
      </w:r>
      <w:r w:rsidR="005C39C8" w:rsidRPr="003570D0">
        <w:rPr>
          <w:lang w:val="fi-FI"/>
        </w:rPr>
        <w:t>absorptive capacity</w:t>
      </w:r>
      <w:r w:rsidR="002A1A41" w:rsidRPr="003570D0">
        <w:rPr>
          <w:lang w:val="fi-FI"/>
        </w:rPr>
        <w:t xml:space="preserve"> </w:t>
      </w:r>
      <w:r w:rsidR="002D529E" w:rsidRPr="003570D0">
        <w:rPr>
          <w:lang w:val="fi-FI"/>
        </w:rPr>
        <w:t xml:space="preserve">are not sequential, but overlapping. </w:t>
      </w:r>
    </w:p>
    <w:p w14:paraId="79DB9040" w14:textId="48B9131A" w:rsidR="00594FE0" w:rsidRPr="003570D0" w:rsidRDefault="00594FE0" w:rsidP="00594FE0">
      <w:r w:rsidRPr="003570D0">
        <w:t xml:space="preserve">Iacobucci builds on three RIS3 framework principles: embeddedness, relatedness, and connectivity. Could these three principles be interlinked to lead to radical diversification? In any case, </w:t>
      </w:r>
      <w:r w:rsidR="00E15C38" w:rsidRPr="003570D0">
        <w:t xml:space="preserve">applying these principles </w:t>
      </w:r>
      <w:r w:rsidRPr="003570D0">
        <w:t>implies both endogenous and exogenous interactions, especially in cases where regional capabilities are not sufficient for diversification and scaling up, i.e. consideration of interregional complementarities, while embeddedness and relatedness should be understood, both, as demand driven and supply bounded.</w:t>
      </w:r>
    </w:p>
    <w:p w14:paraId="7739D4CB" w14:textId="77777777" w:rsidR="00594FE0" w:rsidRPr="003570D0" w:rsidRDefault="00594FE0" w:rsidP="00594FE0">
      <w:pPr>
        <w:rPr>
          <w:szCs w:val="18"/>
        </w:rPr>
      </w:pPr>
      <w:r w:rsidRPr="003570D0">
        <w:rPr>
          <w:szCs w:val="18"/>
        </w:rPr>
        <w:t xml:space="preserve"> </w:t>
      </w:r>
      <w:hyperlink w:anchor="_Foray_D._(2015)." w:history="1">
        <w:r w:rsidRPr="003570D0">
          <w:rPr>
            <w:rStyle w:val="Hyperlink"/>
            <w:sz w:val="18"/>
            <w:szCs w:val="18"/>
          </w:rPr>
          <w:t>Foray (2015)</w:t>
        </w:r>
      </w:hyperlink>
      <w:r w:rsidRPr="003570D0">
        <w:rPr>
          <w:rStyle w:val="ref-lnk"/>
          <w:color w:val="4BAF73" w:themeColor="accent3"/>
          <w:szCs w:val="18"/>
        </w:rPr>
        <w:t xml:space="preserve"> </w:t>
      </w:r>
      <w:r w:rsidRPr="003570D0">
        <w:rPr>
          <w:szCs w:val="18"/>
        </w:rPr>
        <w:t xml:space="preserve">acknowledges the place-based approach as one of the four key priority-setting characteristics of S3 next to related variety, revealed competitive advantage and entrepreneurial discovery. It is also acknowledged that the ourtward looking dimension of the RIS3 is not sufficiently considered, exogenous actors and factors have not been sufficiently integrated into the RIS3 process. </w:t>
      </w:r>
      <w:hyperlink r:id="rId24" w:history="1">
        <w:r w:rsidRPr="003570D0">
          <w:rPr>
            <w:rStyle w:val="Hyperlink"/>
            <w:sz w:val="18"/>
            <w:szCs w:val="18"/>
          </w:rPr>
          <w:t>Sotarauta (2020)</w:t>
        </w:r>
      </w:hyperlink>
      <w:r w:rsidRPr="003570D0">
        <w:rPr>
          <w:rStyle w:val="Hyperlink"/>
          <w:sz w:val="18"/>
          <w:szCs w:val="18"/>
        </w:rPr>
        <w:t xml:space="preserve"> </w:t>
      </w:r>
      <w:r w:rsidRPr="003570D0">
        <w:rPr>
          <w:szCs w:val="18"/>
        </w:rPr>
        <w:t xml:space="preserve">distinguishes between the place-based and place -blind approach: “… the place-based approach relies more on locally embedded knowledge than the spatially blind approach, which aims to build on general patterns of societal and economic development” (p3). He also states that “there is a need for appropriate inclusive policies across a range of policy domains, reflecting the desired and aimed-for competitive advantage of regions” (ibid.). </w:t>
      </w:r>
    </w:p>
    <w:p w14:paraId="00A55F2B" w14:textId="3708B3EA" w:rsidR="00594FE0" w:rsidRPr="003570D0" w:rsidRDefault="00594FE0" w:rsidP="00594FE0">
      <w:pPr>
        <w:rPr>
          <w:szCs w:val="18"/>
        </w:rPr>
      </w:pPr>
      <w:r w:rsidRPr="003570D0">
        <w:rPr>
          <w:szCs w:val="18"/>
        </w:rPr>
        <w:t>Another challenge faced by many regions, is lack of critical mass. Critical mass, in relation to regional development, means “the mass necessary to have a basis for more and intensive cooperation, to better exploit the innovative potential, to sustainably defend its market position, etc. Critical mass is determined by the number of firms, the number of employees and other local conditions such as regional human capital, the presence of supporting services, and public research institutions” (</w:t>
      </w:r>
      <w:hyperlink w:anchor="EUROPEAN COMMISSION (2010). Communication from the commission to the European parliament, the council, the European economic and social committee and the Committee of the Regions: Regional Policy contributing to smart growth in Europe 2020. https://ec.eur" w:history="1">
        <w:r w:rsidRPr="003570D0">
          <w:rPr>
            <w:rStyle w:val="Hyperlink"/>
            <w:sz w:val="18"/>
            <w:szCs w:val="18"/>
          </w:rPr>
          <w:t>European Commission 2010</w:t>
        </w:r>
      </w:hyperlink>
      <w:r w:rsidRPr="003570D0">
        <w:rPr>
          <w:szCs w:val="18"/>
        </w:rPr>
        <w:t xml:space="preserve">:29). Researchers observe that for the place-based approach to be effective, the </w:t>
      </w:r>
      <w:r w:rsidRPr="003570D0">
        <w:rPr>
          <w:rStyle w:val="ref-lnk"/>
          <w:szCs w:val="18"/>
        </w:rPr>
        <w:t>critical mass of regional capabilities is  crucial</w:t>
      </w:r>
      <w:r w:rsidRPr="003570D0">
        <w:rPr>
          <w:rStyle w:val="ref-lnk"/>
          <w:color w:val="4BAF73" w:themeColor="accent3"/>
          <w:szCs w:val="18"/>
        </w:rPr>
        <w:t xml:space="preserve"> </w:t>
      </w:r>
      <w:hyperlink w:anchor="Barca, F. (2009). An agenda for a reformed cohesion policy: A place-based approach to meeting European Union challenges and expectations. Independent Report prepared at the request of Danuta Hübner, Commissioner for Regional Policy, April 2009. Brussels:" w:history="1">
        <w:r w:rsidRPr="003570D0">
          <w:rPr>
            <w:rStyle w:val="Hyperlink"/>
            <w:sz w:val="18"/>
            <w:szCs w:val="18"/>
          </w:rPr>
          <w:t>(Barca 2009</w:t>
        </w:r>
      </w:hyperlink>
      <w:r w:rsidRPr="003570D0">
        <w:rPr>
          <w:rStyle w:val="ref-lnk"/>
          <w:color w:val="4BAF73" w:themeColor="accent3"/>
          <w:szCs w:val="18"/>
        </w:rPr>
        <w:t xml:space="preserve">, </w:t>
      </w:r>
      <w:hyperlink w:anchor="_Foray,_D.,_Goddard," w:history="1">
        <w:r w:rsidRPr="003570D0">
          <w:rPr>
            <w:rStyle w:val="Hyperlink"/>
            <w:sz w:val="18"/>
            <w:szCs w:val="18"/>
          </w:rPr>
          <w:t>Foray et al. 2012</w:t>
        </w:r>
      </w:hyperlink>
      <w:r w:rsidRPr="003570D0">
        <w:rPr>
          <w:rStyle w:val="Hyperlink"/>
          <w:sz w:val="18"/>
          <w:szCs w:val="18"/>
        </w:rPr>
        <w:t>).</w:t>
      </w:r>
      <w:r w:rsidRPr="003570D0">
        <w:rPr>
          <w:rStyle w:val="ref-lnk"/>
          <w:color w:val="4BAF73" w:themeColor="accent3"/>
          <w:szCs w:val="18"/>
        </w:rPr>
        <w:t xml:space="preserve"> </w:t>
      </w:r>
      <w:r w:rsidRPr="003570D0">
        <w:rPr>
          <w:szCs w:val="18"/>
        </w:rPr>
        <w:t>The place-based approach must effectively serve regional competitiveness and further construction of regional competitive advantage, which is revealed through the lens of a region’s complement of industries and the competitive position of those industries in</w:t>
      </w:r>
      <w:r w:rsidRPr="003570D0">
        <w:rPr>
          <w:color w:val="3AAF8F"/>
          <w:szCs w:val="18"/>
        </w:rPr>
        <w:t xml:space="preserve"> </w:t>
      </w:r>
      <w:r w:rsidRPr="003570D0">
        <w:rPr>
          <w:szCs w:val="18"/>
        </w:rPr>
        <w:t>the</w:t>
      </w:r>
      <w:r w:rsidRPr="003570D0">
        <w:rPr>
          <w:color w:val="3AAF8F"/>
          <w:szCs w:val="18"/>
        </w:rPr>
        <w:t xml:space="preserve"> </w:t>
      </w:r>
      <w:r w:rsidRPr="003570D0">
        <w:rPr>
          <w:szCs w:val="18"/>
        </w:rPr>
        <w:t>national [or</w:t>
      </w:r>
      <w:r w:rsidRPr="003570D0">
        <w:rPr>
          <w:color w:val="3AAF8F"/>
          <w:szCs w:val="18"/>
        </w:rPr>
        <w:t xml:space="preserve"> </w:t>
      </w:r>
      <w:r w:rsidRPr="003570D0">
        <w:rPr>
          <w:szCs w:val="18"/>
        </w:rPr>
        <w:t>international] marketplace (</w:t>
      </w:r>
      <w:hyperlink w:anchor="_Edward_W._Hill" w:history="1">
        <w:r w:rsidRPr="003570D0">
          <w:rPr>
            <w:rStyle w:val="Hyperlink"/>
            <w:sz w:val="18"/>
            <w:szCs w:val="18"/>
          </w:rPr>
          <w:t>Hill et al., 2000</w:t>
        </w:r>
      </w:hyperlink>
      <w:r w:rsidRPr="003570D0">
        <w:rPr>
          <w:szCs w:val="18"/>
        </w:rPr>
        <w:t>)</w:t>
      </w:r>
      <w:r w:rsidRPr="003570D0">
        <w:rPr>
          <w:color w:val="3AAF8F"/>
          <w:szCs w:val="18"/>
        </w:rPr>
        <w:t xml:space="preserve">. </w:t>
      </w:r>
      <w:r w:rsidRPr="003570D0">
        <w:rPr>
          <w:szCs w:val="18"/>
        </w:rPr>
        <w:t>The European Committee of the Regions</w:t>
      </w:r>
      <w:r w:rsidRPr="003570D0">
        <w:rPr>
          <w:color w:val="3AAF8F"/>
          <w:szCs w:val="18"/>
        </w:rPr>
        <w:t xml:space="preserve"> (</w:t>
      </w:r>
      <w:hyperlink r:id="rId25" w:anchor="EUROPEAN UNION, COMMITTEE OF THE REGIONS (2019). Implementing a place-based approach to EU industrial policy strategy. doi:10.2863/713416. Related: Asheim, B. (2012). " w:history="1">
        <w:r w:rsidRPr="003570D0">
          <w:rPr>
            <w:i/>
            <w:iCs/>
            <w:szCs w:val="18"/>
          </w:rPr>
          <w:t>2019</w:t>
        </w:r>
        <w:r w:rsidR="00AC0686" w:rsidRPr="003570D0">
          <w:rPr>
            <w:i/>
            <w:iCs/>
            <w:szCs w:val="18"/>
          </w:rPr>
          <w:footnoteReference w:id="21"/>
        </w:r>
        <w:r w:rsidRPr="003570D0">
          <w:rPr>
            <w:i/>
            <w:iCs/>
            <w:szCs w:val="18"/>
          </w:rPr>
          <w:t xml:space="preserve">) </w:t>
        </w:r>
        <w:r w:rsidRPr="003570D0">
          <w:rPr>
            <w:szCs w:val="18"/>
          </w:rPr>
          <w:t>explicitly links size to structu</w:t>
        </w:r>
      </w:hyperlink>
      <w:r w:rsidRPr="003570D0">
        <w:rPr>
          <w:i/>
          <w:iCs/>
          <w:szCs w:val="18"/>
        </w:rPr>
        <w:t>re to capabilities</w:t>
      </w:r>
      <w:r w:rsidRPr="003570D0">
        <w:rPr>
          <w:szCs w:val="18"/>
        </w:rPr>
        <w:t xml:space="preserve">: “Critical mass is a pre-requisite for regional </w:t>
      </w:r>
      <w:r w:rsidRPr="003570D0">
        <w:rPr>
          <w:szCs w:val="18"/>
        </w:rPr>
        <w:lastRenderedPageBreak/>
        <w:t xml:space="preserve">embeddedness and regional relatedness (p. 31). Critical mass is critical for building attractive and economically feasible processes (p. 58) in fields such as market size, capabilities of strong actors (p. 85), and skilled labour (p. 65) in new domains such as circular economy”. Critical mass is also a precondition for </w:t>
      </w:r>
      <w:r w:rsidRPr="003570D0">
        <w:rPr>
          <w:rStyle w:val="ref-lnk"/>
          <w:szCs w:val="18"/>
        </w:rPr>
        <w:t>a well-functioning innovation system (</w:t>
      </w:r>
      <w:hyperlink r:id="rId26" w:history="1">
        <w:r w:rsidRPr="003570D0">
          <w:rPr>
            <w:rStyle w:val="Hyperlink"/>
            <w:sz w:val="18"/>
            <w:szCs w:val="18"/>
          </w:rPr>
          <w:t>Leydesdorff et al., 2006</w:t>
        </w:r>
      </w:hyperlink>
      <w:r w:rsidRPr="003570D0">
        <w:rPr>
          <w:rStyle w:val="ref-lnk"/>
          <w:szCs w:val="18"/>
        </w:rPr>
        <w:t>) and the availability of high level knowledge (</w:t>
      </w:r>
      <w:hyperlink r:id="rId27" w:history="1">
        <w:r w:rsidRPr="003570D0">
          <w:rPr>
            <w:rStyle w:val="Hyperlink"/>
            <w:sz w:val="18"/>
            <w:szCs w:val="18"/>
          </w:rPr>
          <w:t>OECD, 2013</w:t>
        </w:r>
      </w:hyperlink>
      <w:r w:rsidRPr="003570D0">
        <w:rPr>
          <w:rStyle w:val="Hyperlink"/>
          <w:sz w:val="18"/>
          <w:szCs w:val="18"/>
        </w:rPr>
        <w:t xml:space="preserve"> </w:t>
      </w:r>
      <w:r w:rsidRPr="003570D0">
        <w:rPr>
          <w:rStyle w:val="EndnoteReference"/>
          <w:sz w:val="18"/>
          <w:szCs w:val="18"/>
          <w:u w:val="single"/>
        </w:rPr>
        <w:endnoteReference w:id="4"/>
      </w:r>
      <w:r w:rsidRPr="003570D0">
        <w:rPr>
          <w:rStyle w:val="ref-lnk"/>
          <w:szCs w:val="18"/>
        </w:rPr>
        <w:t xml:space="preserve">). </w:t>
      </w:r>
      <w:r w:rsidRPr="003570D0">
        <w:rPr>
          <w:szCs w:val="18"/>
        </w:rPr>
        <w:t>(</w:t>
      </w:r>
      <w:hyperlink r:id="rId28" w:history="1">
        <w:r w:rsidRPr="003570D0">
          <w:rPr>
            <w:rStyle w:val="Hyperlink"/>
            <w:sz w:val="18"/>
            <w:szCs w:val="18"/>
          </w:rPr>
          <w:t>Foray et al. 2012</w:t>
        </w:r>
      </w:hyperlink>
      <w:r w:rsidRPr="003570D0">
        <w:rPr>
          <w:rStyle w:val="Hyperlink"/>
          <w:sz w:val="18"/>
          <w:szCs w:val="18"/>
        </w:rPr>
        <w:t>)</w:t>
      </w:r>
      <w:r w:rsidRPr="003570D0">
        <w:rPr>
          <w:szCs w:val="18"/>
        </w:rPr>
        <w:t xml:space="preserve"> remarked </w:t>
      </w:r>
      <w:r w:rsidRPr="003570D0">
        <w:rPr>
          <w:rStyle w:val="ref-lnk"/>
          <w:szCs w:val="18"/>
        </w:rPr>
        <w:t>the difficulty of achieving ideal conditions including that of achieving critical mass, “</w:t>
      </w:r>
      <w:r w:rsidRPr="003570D0">
        <w:rPr>
          <w:szCs w:val="18"/>
        </w:rPr>
        <w:t>i.e. critical mass of all key actors in medium and small size regions” (p. 6), while the solution of replacing spatially critical mass by domain-specific interactions and interlinkages as part of Cohesion policy including S3 is proposed (p.14 and p.17 respectively). The suggestion to replace missing, local domain-specific interactions by linkages based on interregional complementarities, is aligned with and contributes to the strengthening of regional competitive advantage. This is coherent with the starting point of S3, as a sectorial concept. Only later it developed as a territory-based concept (</w:t>
      </w:r>
      <w:hyperlink w:anchor="_McCann,_P._and" w:history="1">
        <w:r w:rsidRPr="003570D0">
          <w:rPr>
            <w:rStyle w:val="Hyperlink"/>
            <w:sz w:val="18"/>
            <w:szCs w:val="18"/>
          </w:rPr>
          <w:t>McCann &amp; Ortega-Argilés, 2013</w:t>
        </w:r>
      </w:hyperlink>
      <w:r w:rsidRPr="003570D0">
        <w:rPr>
          <w:szCs w:val="18"/>
        </w:rPr>
        <w:t xml:space="preserve">:3). </w:t>
      </w:r>
      <w:hyperlink w:anchor="_Heimeriks_G._&amp;" w:history="1">
        <w:r w:rsidR="0015258A" w:rsidRPr="003570D0">
          <w:rPr>
            <w:rStyle w:val="Hyperlink"/>
            <w:sz w:val="18"/>
            <w:szCs w:val="18"/>
          </w:rPr>
          <w:t>He</w:t>
        </w:r>
        <w:r w:rsidRPr="003570D0">
          <w:rPr>
            <w:rStyle w:val="Hyperlink"/>
            <w:sz w:val="18"/>
            <w:szCs w:val="18"/>
          </w:rPr>
          <w:t>imeriks &amp; Balland (2016</w:t>
        </w:r>
      </w:hyperlink>
      <w:r w:rsidRPr="003570D0">
        <w:rPr>
          <w:szCs w:val="18"/>
        </w:rPr>
        <w:t xml:space="preserve">:562) acknowledge that different fields of knowledge have different characteristics requiring different approaches to smart specialisation. So the links between smart specialisation and industrial policy have been acknowledged and the sectorial approach is linked to the competitiveness of entire industries and value chains, i.e. to distributed production. It follows that exogenous inputs to RIS3 design and delivery could be sometimes be intrinsic need rather than conjectural. </w:t>
      </w:r>
    </w:p>
    <w:p w14:paraId="6340ABFE" w14:textId="6CE806FA" w:rsidR="00594FE0" w:rsidRPr="003570D0" w:rsidRDefault="00594FE0" w:rsidP="00594FE0">
      <w:pPr>
        <w:rPr>
          <w:szCs w:val="18"/>
        </w:rPr>
      </w:pPr>
      <w:r w:rsidRPr="003570D0">
        <w:rPr>
          <w:rStyle w:val="ref-lnk"/>
          <w:szCs w:val="18"/>
        </w:rPr>
        <w:t xml:space="preserve">Finally, to some researchers, the place -based approach is also an issue of ethos, of values, to ensure </w:t>
      </w:r>
      <w:r w:rsidRPr="003570D0">
        <w:rPr>
          <w:szCs w:val="18"/>
        </w:rPr>
        <w:t>inclusiveness (</w:t>
      </w:r>
      <w:hyperlink w:anchor="_Albalate_D.,_Bel" w:history="1">
        <w:r w:rsidRPr="003570D0">
          <w:rPr>
            <w:rStyle w:val="Hyperlink"/>
            <w:sz w:val="18"/>
            <w:szCs w:val="18"/>
          </w:rPr>
          <w:t>Albalate et al. 2021</w:t>
        </w:r>
      </w:hyperlink>
      <w:r w:rsidRPr="003570D0">
        <w:rPr>
          <w:szCs w:val="18"/>
        </w:rPr>
        <w:t xml:space="preserve">, </w:t>
      </w:r>
      <w:hyperlink w:anchor="_Beer_A.,_McKenzie" w:history="1">
        <w:r w:rsidRPr="003570D0">
          <w:rPr>
            <w:rStyle w:val="Hyperlink"/>
            <w:sz w:val="18"/>
            <w:szCs w:val="18"/>
          </w:rPr>
          <w:t>Beer et al. 2020</w:t>
        </w:r>
      </w:hyperlink>
      <w:r w:rsidRPr="003570D0">
        <w:rPr>
          <w:szCs w:val="18"/>
        </w:rPr>
        <w:t xml:space="preserve"> p. 6, </w:t>
      </w:r>
      <w:hyperlink w:anchor="Ross D. G., Oppegaard B. and Willerton R. (2019). &quot;Principles of Place: Developing a Place-Based Ethic for Discussing, Debating, and Anticipating Technical Communication Concerns,&quot; in IEEE Transactions on Professional Communication, vol. 62, no. 1, pp. 4-" w:history="1">
        <w:r w:rsidRPr="003570D0">
          <w:rPr>
            <w:rStyle w:val="Hyperlink"/>
            <w:sz w:val="18"/>
            <w:szCs w:val="18"/>
          </w:rPr>
          <w:t>Ross et al.</w:t>
        </w:r>
      </w:hyperlink>
      <w:r w:rsidRPr="003570D0">
        <w:rPr>
          <w:szCs w:val="18"/>
        </w:rPr>
        <w:t xml:space="preserve">, 2019, </w:t>
      </w:r>
      <w:hyperlink w:anchor="_Chase_L._(2017)." w:history="1">
        <w:r w:rsidRPr="003570D0">
          <w:rPr>
            <w:rStyle w:val="Hyperlink"/>
            <w:sz w:val="18"/>
            <w:szCs w:val="18"/>
          </w:rPr>
          <w:t>Chase L.</w:t>
        </w:r>
      </w:hyperlink>
      <w:r w:rsidRPr="003570D0">
        <w:rPr>
          <w:szCs w:val="18"/>
        </w:rPr>
        <w:t xml:space="preserve"> 2017), respect of the place, the city, and inclusion of local actors into the transformation process. In our experience, this perspective, while essential, it might require adjustments, maybe some re-interpretation. RIS3-based transformation, as indicated above, has an exogenous dimension. In such cases, the question might be more on the ethical aspects of interregional complementarities. Through the BRIDGES project, we acknowledged this dimension, not for its ethical but, rather, for its self-sustaining dynamics and tried to address it, by encouraging a better understanding of win-win collaborations between innovation advanced and less advanced regions. The results were not conclusive, more work is required.</w:t>
      </w:r>
    </w:p>
    <w:p w14:paraId="43131208" w14:textId="194FE473" w:rsidR="00594FE0" w:rsidRPr="003570D0" w:rsidRDefault="00594FE0" w:rsidP="00594FE0">
      <w:pPr>
        <w:rPr>
          <w:color w:val="C00000"/>
          <w:szCs w:val="18"/>
        </w:rPr>
      </w:pPr>
      <w:r w:rsidRPr="003570D0">
        <w:rPr>
          <w:szCs w:val="18"/>
        </w:rPr>
        <w:t xml:space="preserve">In conclusion: the place-based approach is an inescapable precondition in terms of existing capabilities and natural endowments. Their interaction forms the competitive advantage of regions, related to specific industries. This potential is qualified by its relevance to current industry- and innovation- driven dominant or emerging market trends. Through innovation strategies, regions are expected to be capable of transforming themselves, i.e. in a bottom up way; and the ideal is that this happens in a cohesive and inclusive way. This requires ideal contexts, i.e. circumstances where regional capabilities, natural endowments, related variety, revealed competitive advantage and entrepreneurial discovery are all co-located and sufficiently present, in a sufficiently large economic space, to ensure self-transformative capacity. One question arising, is what is “sufficient” in this case, it needs to be better understood. There are very few ideal regions. More frequently, regions are non- ideal innovation contexts which, however, still need to transform their economies. In such cases, interregional complementarities, interactions &amp; connectivities with exogenous actors, need to be activated and invested in. In some cases, regions’ absorptive capacity and their current technological profile </w:t>
      </w:r>
      <w:r w:rsidRPr="003570D0">
        <w:rPr>
          <w:szCs w:val="18"/>
        </w:rPr>
        <w:lastRenderedPageBreak/>
        <w:t xml:space="preserve">of regions (low, medium, high tech) will be important parametres impacting the range and type of interregional interactions. </w:t>
      </w:r>
    </w:p>
    <w:p w14:paraId="28FBCC05" w14:textId="77777777" w:rsidR="00595B15" w:rsidRPr="003570D0" w:rsidRDefault="00595B15" w:rsidP="00594FE0">
      <w:pPr>
        <w:rPr>
          <w:color w:val="C00000"/>
        </w:rPr>
      </w:pPr>
    </w:p>
    <w:p w14:paraId="2EE98B40" w14:textId="1849D03F" w:rsidR="00594FE0" w:rsidRPr="003570D0" w:rsidRDefault="00594FE0" w:rsidP="00B818DF">
      <w:pPr>
        <w:pStyle w:val="Heading6"/>
      </w:pPr>
      <w:bookmarkStart w:id="10" w:name="_Interregional_complementarities"/>
      <w:bookmarkStart w:id="11" w:name="_Ref91574673"/>
      <w:bookmarkEnd w:id="10"/>
      <w:r w:rsidRPr="003570D0">
        <w:t>Interregional complementarities</w:t>
      </w:r>
      <w:bookmarkEnd w:id="11"/>
    </w:p>
    <w:p w14:paraId="32558F31" w14:textId="09578287" w:rsidR="00595B15" w:rsidRPr="003570D0" w:rsidRDefault="00FE484D" w:rsidP="00595B15">
      <w:r w:rsidRPr="003570D0">
        <w:t>In the present conjecture, collaboration between and among regions appears essential. Researchers remark that “In the contemporary economy, what can decisively justify the inter-regional commitment is the availability of relational assets that are an essential condition for the development of territories. This happens because, in an era marked by globalisation, open innovation, brain circulation etc, factors triggering and feeding development are increasingly found ”elsewhere” rather than within the internal network of relations that have traditionally been the main focus of regional studies</w:t>
      </w:r>
      <w:r w:rsidRPr="003570D0">
        <w:rPr>
          <w:rStyle w:val="FootnoteReference"/>
          <w:rFonts w:eastAsia="HGPMinchoE"/>
        </w:rPr>
        <w:footnoteReference w:id="22"/>
      </w:r>
      <w:r w:rsidRPr="003570D0">
        <w:t>”. This is a framework. Ultimately, “Regions cooperate because the cost of non-cooperation is much higher than the cost of cooperation</w:t>
      </w:r>
      <w:r w:rsidRPr="003570D0">
        <w:rPr>
          <w:rStyle w:val="FootnoteReference"/>
          <w:rFonts w:eastAsia="HGPMinchoE"/>
        </w:rPr>
        <w:footnoteReference w:id="23"/>
      </w:r>
      <w:r w:rsidRPr="003570D0">
        <w:t xml:space="preserve">”. </w:t>
      </w:r>
      <w:r w:rsidR="00A14D96" w:rsidRPr="003570D0">
        <w:t xml:space="preserve">Moreover, </w:t>
      </w:r>
      <w:r w:rsidRPr="003570D0">
        <w:t>interregional complementarities are acknowledged as increasingly important in the design and delivery of smart specialisation strategies. This is a result of the limitations of any strictly localised place-based approach, but, also, of the</w:t>
      </w:r>
      <w:r w:rsidR="00A14D96" w:rsidRPr="003570D0">
        <w:t xml:space="preserve"> </w:t>
      </w:r>
      <w:r w:rsidRPr="003570D0">
        <w:t xml:space="preserve">”elsewhere” potential(-s) triggering development. </w:t>
      </w:r>
      <w:r w:rsidR="00595B15" w:rsidRPr="003570D0">
        <w:t>It implies that interregional complementarities deal with regional contexts’ gaps and challenges, exportable strengths, as well as with opportunities that are unknown yet but can be envisaged and explored. The latter liaises with the concept of entrepreneurial discovery, and more specifically, with one essential aspect for regional diversification, that of identifying innovative, economic activity niches unexplored yet (</w:t>
      </w:r>
      <w:hyperlink w:anchor="_Kirzner_I.M._(1997)." w:history="1">
        <w:r w:rsidR="00595B15" w:rsidRPr="003570D0">
          <w:rPr>
            <w:rStyle w:val="Hyperlink"/>
          </w:rPr>
          <w:t>Kirzner, 1997</w:t>
        </w:r>
      </w:hyperlink>
      <w:r w:rsidR="00595B15" w:rsidRPr="003570D0">
        <w:rPr>
          <w:rStyle w:val="EndnoteReference"/>
        </w:rPr>
        <w:endnoteReference w:id="5"/>
      </w:r>
      <w:r w:rsidR="00595B15" w:rsidRPr="003570D0">
        <w:t xml:space="preserve">). </w:t>
      </w:r>
    </w:p>
    <w:p w14:paraId="17630D6B" w14:textId="1680A09D" w:rsidR="00595B15" w:rsidRPr="003570D0" w:rsidRDefault="00595B15" w:rsidP="00595B15">
      <w:r w:rsidRPr="003570D0">
        <w:t xml:space="preserve">Exploring interregional complementarities can be seen as a process involving several steps: (i) </w:t>
      </w:r>
      <w:r w:rsidR="00A14D96" w:rsidRPr="003570D0">
        <w:t xml:space="preserve">legitimacy of the approach, (ii) </w:t>
      </w:r>
      <w:r w:rsidRPr="003570D0">
        <w:t>identification of relational assets, (i</w:t>
      </w:r>
      <w:r w:rsidR="00A14D96" w:rsidRPr="003570D0">
        <w:t>i</w:t>
      </w:r>
      <w:r w:rsidRPr="003570D0">
        <w:t>i) screening and acknowledgement of potential interlinkages based on these assets, (i</w:t>
      </w:r>
      <w:r w:rsidR="00A14D96" w:rsidRPr="003570D0">
        <w:t>v</w:t>
      </w:r>
      <w:r w:rsidRPr="003570D0">
        <w:t>) availability of tools activating interlinkages, (v) activation of interlinkages, (v</w:t>
      </w:r>
      <w:r w:rsidR="00A14D96" w:rsidRPr="003570D0">
        <w:t>i</w:t>
      </w:r>
      <w:r w:rsidRPr="003570D0">
        <w:t xml:space="preserve">) evaluation of impacts and improvements. </w:t>
      </w:r>
    </w:p>
    <w:p w14:paraId="122AEB68" w14:textId="77777777" w:rsidR="00484C64" w:rsidRPr="003570D0" w:rsidRDefault="005E25F1" w:rsidP="00595B15">
      <w:r w:rsidRPr="003570D0">
        <w:t>In our understanding, identification of interregional complementarities is in principle, relevant at two phases: policy planning and policy delivery.</w:t>
      </w:r>
      <w:r w:rsidR="00484C64" w:rsidRPr="003570D0">
        <w:t xml:space="preserve"> </w:t>
      </w:r>
    </w:p>
    <w:p w14:paraId="4E067858" w14:textId="1AD69915" w:rsidR="00595B15" w:rsidRPr="003570D0" w:rsidRDefault="00595B15" w:rsidP="00595B15">
      <w:r w:rsidRPr="003570D0">
        <w:t xml:space="preserve">Tools for anticipating and identifying relational assets and associated </w:t>
      </w:r>
      <w:r w:rsidR="00AA3D33" w:rsidRPr="003570D0">
        <w:t>interlinkages have</w:t>
      </w:r>
      <w:r w:rsidRPr="003570D0">
        <w:t xml:space="preserve"> not been widespread</w:t>
      </w:r>
      <w:r w:rsidR="00B477E4" w:rsidRPr="003570D0">
        <w:t xml:space="preserve"> yet</w:t>
      </w:r>
      <w:r w:rsidRPr="003570D0">
        <w:t xml:space="preserve">. </w:t>
      </w:r>
      <w:r w:rsidRPr="003570D0">
        <w:rPr>
          <w:rStyle w:val="ref-lnk"/>
        </w:rPr>
        <w:t>Research  indicates that a systematic, well-accepted and easy-to-apply method to identify relevant links (beyond the strategic level) between regions is still missing or weakly developed (</w:t>
      </w:r>
      <w:hyperlink w:anchor="_Iacobucci,_D.,_&amp;" w:history="1">
        <w:r w:rsidRPr="003570D0">
          <w:rPr>
            <w:rStyle w:val="Hyperlink"/>
            <w:sz w:val="18"/>
            <w:szCs w:val="24"/>
          </w:rPr>
          <w:t>Iacobucci &amp; Guzzini</w:t>
        </w:r>
      </w:hyperlink>
      <w:r w:rsidRPr="003570D0">
        <w:rPr>
          <w:rStyle w:val="ref-lnk"/>
        </w:rPr>
        <w:t>,</w:t>
      </w:r>
      <w:r w:rsidRPr="003570D0">
        <w:rPr>
          <w:rStyle w:val="apple-converted-space"/>
          <w:rFonts w:eastAsiaTheme="majorEastAsia"/>
        </w:rPr>
        <w:t> </w:t>
      </w:r>
      <w:hyperlink r:id="rId29" w:history="1">
        <w:r w:rsidRPr="003570D0">
          <w:rPr>
            <w:rStyle w:val="Hyperlink"/>
            <w:color w:val="10147E"/>
          </w:rPr>
          <w:t>2016</w:t>
        </w:r>
      </w:hyperlink>
      <w:r w:rsidRPr="003570D0">
        <w:rPr>
          <w:rStyle w:val="ref-lnk"/>
        </w:rPr>
        <w:t xml:space="preserve">)  </w:t>
      </w:r>
      <w:hyperlink r:id="rId30" w:history="1">
        <w:r w:rsidRPr="003570D0">
          <w:rPr>
            <w:rStyle w:val="Hyperlink"/>
          </w:rPr>
          <w:t>Balland et al. (2021</w:t>
        </w:r>
      </w:hyperlink>
      <w:r w:rsidRPr="003570D0">
        <w:rPr>
          <w:rStyle w:val="Hyperlink"/>
        </w:rPr>
        <w:t>)</w:t>
      </w:r>
      <w:r w:rsidRPr="003570D0">
        <w:t xml:space="preserve"> propose a method for this purpose. “</w:t>
      </w:r>
      <w:r w:rsidRPr="003570D0">
        <w:rPr>
          <w:rStyle w:val="ref-lnk"/>
        </w:rPr>
        <w:t xml:space="preserve">In the RIS3 literature, there is </w:t>
      </w:r>
      <w:r w:rsidRPr="003570D0">
        <w:t xml:space="preserve">yet little focus in S3 policy on the role of interregional linkages”. In a study reviewing 292 NUTS-2 regions in Europe, it was found that “interregional linkages have a positive effect on the probability of regions to diversify, especially in peripheral regions. What matters is not being connected to other regions per se but being connected to regions that provide complementary capabilities. …”. An indicator for identifying and quantifying interregional technological complementarity </w:t>
      </w:r>
      <w:r w:rsidRPr="003570D0">
        <w:rPr>
          <w:i/>
          <w:iCs/>
        </w:rPr>
        <w:t xml:space="preserve">opportunities </w:t>
      </w:r>
      <w:r w:rsidRPr="003570D0">
        <w:t xml:space="preserve">has been proposed. The indicator is based on calculating </w:t>
      </w:r>
      <w:r w:rsidRPr="003570D0">
        <w:lastRenderedPageBreak/>
        <w:t xml:space="preserve">technological relatedness and associated densities: ”This indicator </w:t>
      </w:r>
      <w:r w:rsidRPr="003570D0">
        <w:rPr>
          <w:i/>
          <w:iCs/>
        </w:rPr>
        <w:t>aims at capturing the impact of co-inventor linkages with other regions that provide access to relevant capabilities that are missing in a region</w:t>
      </w:r>
      <w:r w:rsidRPr="003570D0">
        <w:t xml:space="preserve">, and which could increase its ability to diversify into a new technology. … What matters is not being connected to other regions per se but being connected to regions that provide complementary capabilities”. [p. 9 and Abstract]. Based on this indicator, a conceptualisation of what interregional complementarities, involving two or more regions, could be about is also proposed (Figure 2). </w:t>
      </w:r>
    </w:p>
    <w:p w14:paraId="1AA219EE" w14:textId="79DD4C2E" w:rsidR="00595B15" w:rsidRPr="003570D0" w:rsidRDefault="00595B15" w:rsidP="0066134A">
      <w:pPr>
        <w:pStyle w:val="Caption"/>
      </w:pPr>
      <w:bookmarkStart w:id="12" w:name="_Toc83546218"/>
      <w:bookmarkStart w:id="13" w:name="_Toc83887160"/>
      <w:bookmarkStart w:id="14" w:name="_Toc84053460"/>
      <w:bookmarkStart w:id="15" w:name="_Toc84053504"/>
      <w:r w:rsidRPr="003570D0">
        <w:t xml:space="preserve">Figure </w:t>
      </w:r>
      <w:r w:rsidRPr="003570D0">
        <w:fldChar w:fldCharType="begin"/>
      </w:r>
      <w:r w:rsidRPr="003570D0">
        <w:instrText xml:space="preserve"> SEQ Figure \* ARABIC </w:instrText>
      </w:r>
      <w:r w:rsidRPr="003570D0">
        <w:fldChar w:fldCharType="separate"/>
      </w:r>
      <w:r w:rsidR="004C3C8A" w:rsidRPr="003570D0">
        <w:t>2</w:t>
      </w:r>
      <w:r w:rsidRPr="003570D0">
        <w:fldChar w:fldCharType="end"/>
      </w:r>
      <w:r w:rsidRPr="003570D0">
        <w:t xml:space="preserve"> Diversification opportunities of a region through complementary interregional ties.</w:t>
      </w:r>
      <w:bookmarkEnd w:id="12"/>
      <w:bookmarkEnd w:id="13"/>
      <w:bookmarkEnd w:id="14"/>
      <w:bookmarkEnd w:id="15"/>
      <w:r w:rsidRPr="003570D0">
        <w:t xml:space="preserve"> </w:t>
      </w:r>
    </w:p>
    <w:p w14:paraId="57C98FB5" w14:textId="77777777" w:rsidR="00595B15" w:rsidRPr="003570D0" w:rsidRDefault="00595B15" w:rsidP="00595B15">
      <w:pPr>
        <w:rPr>
          <w:lang w:eastAsia="en-US"/>
        </w:rPr>
      </w:pPr>
      <w:r w:rsidRPr="003570D0">
        <w:rPr>
          <w:lang w:eastAsia="en-US"/>
        </w:rPr>
        <w:drawing>
          <wp:inline distT="0" distB="0" distL="0" distR="0" wp14:anchorId="5789D153" wp14:editId="5D304826">
            <wp:extent cx="4059382" cy="20808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85942" cy="2094474"/>
                    </a:xfrm>
                    <a:prstGeom prst="rect">
                      <a:avLst/>
                    </a:prstGeom>
                  </pic:spPr>
                </pic:pic>
              </a:graphicData>
            </a:graphic>
          </wp:inline>
        </w:drawing>
      </w:r>
    </w:p>
    <w:p w14:paraId="6A9B0132" w14:textId="55BC1418" w:rsidR="00595B15" w:rsidRPr="003570D0" w:rsidRDefault="00595B15" w:rsidP="00595B15">
      <w:r w:rsidRPr="003570D0">
        <w:rPr>
          <w:lang w:eastAsia="en-US"/>
        </w:rPr>
        <w:t xml:space="preserve">Source: </w:t>
      </w:r>
      <w:hyperlink r:id="rId32" w:history="1">
        <w:r w:rsidRPr="003570D0">
          <w:rPr>
            <w:rStyle w:val="Hyperlink"/>
          </w:rPr>
          <w:t>Balland et al. (2021</w:t>
        </w:r>
      </w:hyperlink>
      <w:r w:rsidRPr="003570D0">
        <w:t>:1066).</w:t>
      </w:r>
    </w:p>
    <w:p w14:paraId="2B5BD2BB" w14:textId="7B95FE74" w:rsidR="00445392" w:rsidRPr="003570D0" w:rsidRDefault="00445392" w:rsidP="00595B15">
      <w:r w:rsidRPr="003570D0">
        <w:t xml:space="preserve">We consider this methodology very important, a breakthrough, because, besides </w:t>
      </w:r>
      <w:r w:rsidR="00FA4508" w:rsidRPr="003570D0">
        <w:t>a</w:t>
      </w:r>
      <w:r w:rsidRPr="003570D0">
        <w:t xml:space="preserve"> </w:t>
      </w:r>
      <w:r w:rsidR="00FA4508" w:rsidRPr="003570D0">
        <w:t>well-defined, systematic approach,</w:t>
      </w:r>
      <w:r w:rsidRPr="003570D0">
        <w:t xml:space="preserve"> it goes beyond the </w:t>
      </w:r>
      <w:r w:rsidR="00FA4508" w:rsidRPr="003570D0">
        <w:t xml:space="preserve">usual approach of </w:t>
      </w:r>
      <w:r w:rsidRPr="003570D0">
        <w:t>‘bridging gaps’ arguments</w:t>
      </w:r>
      <w:r w:rsidR="00FA4508" w:rsidRPr="003570D0">
        <w:t xml:space="preserve">. On the contrary, </w:t>
      </w:r>
      <w:r w:rsidRPr="003570D0">
        <w:t xml:space="preserve">it sheds light </w:t>
      </w:r>
      <w:r w:rsidR="00FA4508" w:rsidRPr="003570D0">
        <w:t xml:space="preserve">on </w:t>
      </w:r>
      <w:r w:rsidRPr="003570D0">
        <w:t>how joint development can happen</w:t>
      </w:r>
      <w:r w:rsidR="005D0388" w:rsidRPr="003570D0">
        <w:t xml:space="preserve">. </w:t>
      </w:r>
      <w:r w:rsidR="00FA4508" w:rsidRPr="003570D0">
        <w:t>It has found the way to match strengths, opportunities</w:t>
      </w:r>
      <w:r w:rsidR="005D0388" w:rsidRPr="003570D0">
        <w:t xml:space="preserve"> and jointly develop them</w:t>
      </w:r>
      <w:r w:rsidR="00FA4508" w:rsidRPr="003570D0">
        <w:t xml:space="preserve">. </w:t>
      </w:r>
      <w:r w:rsidR="005D0388" w:rsidRPr="003570D0">
        <w:t>I</w:t>
      </w:r>
      <w:r w:rsidRPr="003570D0">
        <w:t xml:space="preserve">t points the way as to how interregional complementarities can work in very different regional contexts, advanced-to-advanced, advanced-to-less advanced, </w:t>
      </w:r>
      <w:r w:rsidR="00FA4508" w:rsidRPr="003570D0">
        <w:t>less advanced-to-less advanced</w:t>
      </w:r>
      <w:r w:rsidR="005D0388" w:rsidRPr="003570D0">
        <w:t>. Our experience from the eight initiatives, and especially Science Link, Baltic TRAM, BRIDGES and BERRY+</w:t>
      </w:r>
      <w:r w:rsidR="00953F31" w:rsidRPr="003570D0">
        <w:t>, indicates that</w:t>
      </w:r>
      <w:r w:rsidR="005D0388" w:rsidRPr="003570D0">
        <w:t xml:space="preserve"> </w:t>
      </w:r>
      <w:r w:rsidR="00953F31" w:rsidRPr="003570D0">
        <w:t>o</w:t>
      </w:r>
      <w:r w:rsidR="005D0388" w:rsidRPr="003570D0">
        <w:t xml:space="preserve">ne of the parametres </w:t>
      </w:r>
      <w:r w:rsidR="00B37BF0" w:rsidRPr="003570D0">
        <w:t>involved</w:t>
      </w:r>
      <w:r w:rsidR="005D0388" w:rsidRPr="003570D0">
        <w:t xml:space="preserve"> in regions’ </w:t>
      </w:r>
      <w:r w:rsidR="00B37BF0" w:rsidRPr="003570D0">
        <w:t>openness</w:t>
      </w:r>
      <w:r w:rsidR="005D0388" w:rsidRPr="003570D0">
        <w:t xml:space="preserve"> towards interregional complementarities </w:t>
      </w:r>
      <w:r w:rsidR="00953F31" w:rsidRPr="003570D0">
        <w:t xml:space="preserve">is about </w:t>
      </w:r>
      <w:r w:rsidR="005D0388" w:rsidRPr="003570D0">
        <w:t xml:space="preserve">benefits for innovation leader regions, beyond economic transfers. </w:t>
      </w:r>
      <w:r w:rsidR="00953F31" w:rsidRPr="003570D0">
        <w:t>What is the relevance of such complementarities to such regions’ economic model? By</w:t>
      </w:r>
      <w:r w:rsidR="00A24021" w:rsidRPr="003570D0">
        <w:t xml:space="preserve"> considering the regional implications of</w:t>
      </w:r>
      <w:r w:rsidR="00953F31" w:rsidRPr="003570D0">
        <w:t xml:space="preserve"> the technological relatedness methodology, we understand that among the potential structural impacts would be further specialisation and reinforcement of economies of scope. This could be one input to </w:t>
      </w:r>
      <w:r w:rsidR="00B37BF0" w:rsidRPr="003570D0">
        <w:t>consider</w:t>
      </w:r>
      <w:r w:rsidR="00953F31" w:rsidRPr="003570D0">
        <w:t xml:space="preserve"> when planning regional innovation strategy measures.</w:t>
      </w:r>
    </w:p>
    <w:p w14:paraId="376AD368" w14:textId="3A8BA29D" w:rsidR="00F629F8" w:rsidRPr="003570D0" w:rsidRDefault="00F629F8" w:rsidP="00A24021">
      <w:pPr>
        <w:pStyle w:val="NormalWeb"/>
        <w:shd w:val="clear" w:color="auto" w:fill="FFFFFF"/>
        <w:rPr>
          <w:rFonts w:ascii="Times New Roman" w:hAnsi="Times New Roman"/>
          <w:color w:val="auto"/>
          <w:sz w:val="24"/>
          <w:lang w:val="en-FI" w:eastAsia="en-GB"/>
        </w:rPr>
      </w:pPr>
      <w:r w:rsidRPr="00B37BF0">
        <w:rPr>
          <w:lang w:val="en-GB"/>
        </w:rPr>
        <w:t>However, this methodology is not always easy to apply in all contexts and especially in less advanced regions, since available patents in some cases do not reflect actual potential. This has been obsevred also</w:t>
      </w:r>
      <w:r w:rsidRPr="003570D0">
        <w:t xml:space="preserve"> by the </w:t>
      </w:r>
      <w:hyperlink w:anchor="OECD (2020). Broad-based Innovation Policy for All Regions and Cities. OECD Regional Development Studies, OECD Publishing, Paris. Chapter 4 Chapter 4 Supporting innovations in all types of regions. https://doi.org/10.1787/299731d2-en. https://www.oecd-ili" w:history="1">
        <w:r w:rsidRPr="003570D0">
          <w:rPr>
            <w:rStyle w:val="Hyperlink"/>
            <w:sz w:val="18"/>
            <w:szCs w:val="24"/>
          </w:rPr>
          <w:t>OECD 2020, research</w:t>
        </w:r>
      </w:hyperlink>
      <w:r w:rsidRPr="003570D0">
        <w:t xml:space="preserve"> “</w:t>
      </w:r>
      <w:r w:rsidRPr="003570D0">
        <w:rPr>
          <w:lang w:val="en-FI" w:eastAsia="en-GB"/>
        </w:rPr>
        <w:t>Traditional innovation indicators are not adapted to capture innovation in non-frontier regions. They are focused on technological capacities and perform well in capturing the type of innovation activity taking place in frontier regions, but not in any others. Traditional innovation indicators include metrics such as R&amp;D expenditures, number of patents, numbers of academic publications or number people with PhDs</w:t>
      </w:r>
      <w:r w:rsidRPr="003570D0">
        <w:t>” (page 2)</w:t>
      </w:r>
      <w:r w:rsidR="00A24021" w:rsidRPr="003570D0">
        <w:t xml:space="preserve">. We feel that a proxy might be useful to be able to apply the methodology in all types of </w:t>
      </w:r>
      <w:r w:rsidR="00A24021" w:rsidRPr="003570D0">
        <w:lastRenderedPageBreak/>
        <w:t>regions. On the other hand, the concept of product space and density, is applicable across any regional context.</w:t>
      </w:r>
    </w:p>
    <w:p w14:paraId="546A109C" w14:textId="748498A0" w:rsidR="00484C64" w:rsidRPr="003570D0" w:rsidRDefault="00484C64" w:rsidP="00595B15">
      <w:r w:rsidRPr="003570D0">
        <w:rPr>
          <w:i/>
          <w:iCs/>
        </w:rPr>
        <w:t xml:space="preserve">Tools for identifying interregional complementarities at policy delivery level, </w:t>
      </w:r>
      <w:r w:rsidR="000C7A17" w:rsidRPr="003570D0">
        <w:t xml:space="preserve">are not very widespread either. </w:t>
      </w:r>
      <w:r w:rsidR="00B25CE2" w:rsidRPr="003570D0">
        <w:t>In our experience, there have been / are various Interreg project experiences which have been very useful. The problem is that as projects, they have an end date including the end of funding. We feel that institutionalisation of the most useful findings is needed, including funding options. Another tool are the various domain or industry-related platforms such as the BBI (Bio Based Industries)</w:t>
      </w:r>
      <w:r w:rsidR="00275DB1" w:rsidRPr="003570D0">
        <w:t>, S3 initiatives, Vanguard initiative</w:t>
      </w:r>
      <w:r w:rsidR="00B25CE2" w:rsidRPr="003570D0">
        <w:t xml:space="preserve">. </w:t>
      </w:r>
      <w:r w:rsidR="00275DB1" w:rsidRPr="003570D0">
        <w:t xml:space="preserve">We feel that, in addition to such initiatives, stronger methodological approaches would be very useful to have. Therefore, it might be good if regions adopt </w:t>
      </w:r>
      <w:r w:rsidR="000C7A17" w:rsidRPr="003570D0">
        <w:t>technology-based relational analyses</w:t>
      </w:r>
      <w:r w:rsidR="00275DB1" w:rsidRPr="003570D0">
        <w:t xml:space="preserve">, as a way to orient and focus their interregional complementarities </w:t>
      </w:r>
      <w:r w:rsidR="006139F4" w:rsidRPr="003570D0">
        <w:t>efforts.</w:t>
      </w:r>
    </w:p>
    <w:p w14:paraId="66D9E35C" w14:textId="5B673DEE" w:rsidR="000C7A17" w:rsidRPr="003570D0" w:rsidRDefault="00B477E4" w:rsidP="000C7A17">
      <w:r w:rsidRPr="003570D0">
        <w:t>O</w:t>
      </w:r>
      <w:r w:rsidR="000C7A17" w:rsidRPr="003570D0">
        <w:t xml:space="preserve">ne problem is that often, the current enablers of interregional complementarities (identification methodologies and activation instruments including regional &amp; interregional funding), are sometimes nominal, and not always operationally interconnected or, when they are, they are not on a comparable level of accessibility. For example, identification of an interregional opportunity does not automatically qualify for getting some means encouraging its realisation. That might be one of the reasons explaining under-activation of interregional complementarities. In response to this, many Interreg programmes since the 2014-2020 programming period have encouraged piloting such connectivities by making eligible activation costs of interlinkages. However, there has not been to-date &amp; to our knowledge at least, mainstreaming, institutionalisation of at least the successful aspects. Admittedly, the strategic dimension has not been considered sufficiently. </w:t>
      </w:r>
    </w:p>
    <w:p w14:paraId="117A56F8" w14:textId="77777777" w:rsidR="00D33201" w:rsidRPr="003570D0" w:rsidRDefault="00D33201" w:rsidP="00B818DF">
      <w:pPr>
        <w:pStyle w:val="Body5"/>
      </w:pPr>
    </w:p>
    <w:p w14:paraId="51DAC753" w14:textId="3D3E1361" w:rsidR="00594FE0" w:rsidRPr="003570D0" w:rsidRDefault="00594FE0" w:rsidP="00B818DF">
      <w:pPr>
        <w:pStyle w:val="Heading6"/>
      </w:pPr>
      <w:r w:rsidRPr="003570D0">
        <w:t>Value chains</w:t>
      </w:r>
    </w:p>
    <w:p w14:paraId="34B4E789" w14:textId="77777777" w:rsidR="000D37E2" w:rsidRPr="003570D0" w:rsidRDefault="000D37E2" w:rsidP="000D37E2">
      <w:r w:rsidRPr="003570D0">
        <w:t>Value chains are modularised and distributed production models, considered as autonomous systems</w:t>
      </w:r>
      <w:r w:rsidRPr="003570D0">
        <w:rPr>
          <w:rStyle w:val="EndnoteReference"/>
          <w:rFonts w:eastAsia="HGPMinchoE"/>
        </w:rPr>
        <w:endnoteReference w:id="6"/>
      </w:r>
      <w:r w:rsidRPr="003570D0">
        <w:t>. The BRIDGES and BERRY+ projects’ interest in value chains is, primarily, investigating their potential as policy design and delivery decision making tools, relating to reshoring, in-shoring and near shoring decisions and consequently benefitting from interregional complementarities. This challenge has not been yet sufficiently addressed, even if it has been acknowledged (</w:t>
      </w:r>
      <w:r w:rsidRPr="003570D0">
        <w:rPr>
          <w:rStyle w:val="EndnoteReference"/>
        </w:rPr>
        <w:endnoteReference w:id="7"/>
      </w:r>
      <w:r w:rsidRPr="003570D0">
        <w:t xml:space="preserve">). </w:t>
      </w:r>
    </w:p>
    <w:p w14:paraId="1B23481E" w14:textId="77777777" w:rsidR="000D37E2" w:rsidRPr="003570D0" w:rsidRDefault="000D37E2" w:rsidP="000D37E2">
      <w:r w:rsidRPr="003570D0">
        <w:t>Value chains were introduced by Michael Porter in 1985. The term refers to the full range of activities that firms engage in to bring a product from its conception to its end use and beyond. This includes design, production, marketing, distribution, and support to the final consumer. An important aspect of value chains is that they relate to segmented, forecasted demand</w:t>
      </w:r>
      <w:r w:rsidRPr="003570D0">
        <w:rPr>
          <w:rStyle w:val="EndnoteReference"/>
          <w:rFonts w:eastAsia="HGPMinchoE"/>
        </w:rPr>
        <w:endnoteReference w:id="8"/>
      </w:r>
      <w:r w:rsidRPr="003570D0">
        <w:t xml:space="preserve">, i.e. there is a predictable ‘pull factor’ involved. This reduces the risk of development decisions for businesses and regions. </w:t>
      </w:r>
    </w:p>
    <w:p w14:paraId="3392561B" w14:textId="77777777" w:rsidR="000D37E2" w:rsidRPr="003570D0" w:rsidRDefault="000D37E2" w:rsidP="000D37E2">
      <w:r w:rsidRPr="003570D0">
        <w:t>There is a difference between a value chain and a supply chain: a value chain refers to a “process in which a company adds value to its raw materials to produce products; a supply chain involves all parties in, fulfilling a customer request</w:t>
      </w:r>
      <w:r w:rsidRPr="003570D0">
        <w:rPr>
          <w:rStyle w:val="EndnoteReference"/>
          <w:rFonts w:eastAsia="HGPMinchoE"/>
          <w:szCs w:val="26"/>
          <w:shd w:val="clear" w:color="auto" w:fill="FFFFFF"/>
        </w:rPr>
        <w:endnoteReference w:id="9"/>
      </w:r>
      <w:r w:rsidRPr="003570D0">
        <w:t>. It follows that value chains build &amp; defend longer-term competitive advantage, ensuring the ‘pull effect’ as well,  through complex and hard to imitate firm-level assets / capabilities. (</w:t>
      </w:r>
      <w:hyperlink r:id="rId33" w:history="1">
        <w:r w:rsidRPr="003570D0">
          <w:rPr>
            <w:rStyle w:val="Hyperlink"/>
          </w:rPr>
          <w:t>Brennan et al., 2015</w:t>
        </w:r>
      </w:hyperlink>
      <w:r w:rsidRPr="003570D0">
        <w:rPr>
          <w:rStyle w:val="Hyperlink"/>
        </w:rPr>
        <w:t xml:space="preserve">:8 </w:t>
      </w:r>
      <w:r w:rsidRPr="003570D0">
        <w:rPr>
          <w:rStyle w:val="EndnoteReference"/>
          <w:u w:val="single"/>
        </w:rPr>
        <w:endnoteReference w:id="10"/>
      </w:r>
      <w:r w:rsidRPr="003570D0">
        <w:t xml:space="preserve">). </w:t>
      </w:r>
    </w:p>
    <w:p w14:paraId="0FFE0DEC" w14:textId="77777777" w:rsidR="000D37E2" w:rsidRPr="003570D0" w:rsidRDefault="000D37E2" w:rsidP="000D37E2">
      <w:r w:rsidRPr="003570D0">
        <w:lastRenderedPageBreak/>
        <w:t>Currently, value and supply chains are prioritised within the European Union, as they are understood to contribute to the autonomy of the EU industry</w:t>
      </w:r>
      <w:r w:rsidRPr="003570D0">
        <w:rPr>
          <w:rStyle w:val="EndnoteReference"/>
          <w:rFonts w:eastAsia="HGPMinchoE"/>
        </w:rPr>
        <w:endnoteReference w:id="11"/>
      </w:r>
      <w:r w:rsidRPr="003570D0">
        <w:t xml:space="preserve">. The European Parliament’s Research Service (EPRS </w:t>
      </w:r>
      <w:r w:rsidRPr="003570D0">
        <w:rPr>
          <w:rStyle w:val="EndnoteReference"/>
        </w:rPr>
        <w:endnoteReference w:id="12"/>
      </w:r>
      <w:r w:rsidRPr="003570D0">
        <w:t xml:space="preserve">) investigated in more depth the potential impact of integrated value chains on regions’ resilience and found that enhanced resilience will result from the re-definition of European or global value and supply chains through possible reshoring and inshoring of value-based segments. The European Council conclusions on the </w:t>
      </w:r>
      <w:r w:rsidRPr="003570D0">
        <w:rPr>
          <w:i/>
          <w:iCs/>
        </w:rPr>
        <w:t>EU industrial policy strategy (</w:t>
      </w:r>
      <w:r w:rsidRPr="003570D0">
        <w:t xml:space="preserve">European Council, 2019) emphasises the importance of strong European industrial value chains in a global context and of developing pan-European integrated industrial projects, encouraging Member States to incentivise national, regional and local efforts towards such purposes, including through mobilisation of Cohesion funds. </w:t>
      </w:r>
    </w:p>
    <w:p w14:paraId="2068CE7C" w14:textId="77777777" w:rsidR="000D37E2" w:rsidRPr="003570D0" w:rsidRDefault="000D37E2" w:rsidP="000D37E2">
      <w:r w:rsidRPr="003570D0">
        <w:t xml:space="preserve">Regarding the term ‘competitive advantage’, we adopt the Hill et al. (2000) definition, emphasising that competitive advantage is about the competitive position of a region’s complement of industries in the national or international market. This definition has helped focus our value chain approach as a decision-making tool, by proposing to connect and embed, in the context of a specific value chain, competitive advantage within and across regions. It also enables connecting RIS3 across regions. It implies that the place–based approach would be at the cross-roads of the unique characteristics and assets of each region underlining competitive advantages in respect to various industries (Sotarauta 2018:13 </w:t>
      </w:r>
      <w:r w:rsidRPr="003570D0">
        <w:rPr>
          <w:rStyle w:val="EndnoteReference"/>
        </w:rPr>
        <w:endnoteReference w:id="13"/>
      </w:r>
      <w:r w:rsidRPr="003570D0">
        <w:t>), while tools for the growth of these unique characteristics could be localised or not through the distributed production models of value chains. Gupta (2015)</w:t>
      </w:r>
      <w:r w:rsidRPr="003570D0">
        <w:rPr>
          <w:rStyle w:val="EndnoteReference"/>
        </w:rPr>
        <w:endnoteReference w:id="14"/>
      </w:r>
      <w:r w:rsidRPr="003570D0">
        <w:t xml:space="preserve"> relates competitive advantage to innovation strategies and policies, operationalised by firms through their potential for product differentiation and industry diversification, but he acknowledges that maintaining and enhancing competitive advantage might pose challenges to small and medium-sized regions, which might not have co-located the required resources for product differentiation and industry diversification. The relevance of value chains in S3 implementation is also emphasised in other works, e.g. EC value chains as carriers of industrial autonomy (EC, 2021)</w:t>
      </w:r>
      <w:r w:rsidRPr="003570D0">
        <w:rPr>
          <w:rStyle w:val="EndnoteReference"/>
        </w:rPr>
        <w:endnoteReference w:id="15"/>
      </w:r>
      <w:r w:rsidRPr="003570D0">
        <w:t>, industrial integrators and tools to break fragmentations of industries and research across the EU (OECD 2013</w:t>
      </w:r>
      <w:r w:rsidRPr="003570D0">
        <w:rPr>
          <w:rStyle w:val="EndnoteReference"/>
        </w:rPr>
        <w:endnoteReference w:id="16"/>
      </w:r>
      <w:r w:rsidRPr="003570D0">
        <w:t>; Larosse 2016</w:t>
      </w:r>
      <w:r w:rsidRPr="003570D0">
        <w:rPr>
          <w:rStyle w:val="EndnoteReference"/>
        </w:rPr>
        <w:endnoteReference w:id="17"/>
      </w:r>
      <w:r w:rsidRPr="003570D0">
        <w:t>; Foray et al. 2019</w:t>
      </w:r>
      <w:r w:rsidRPr="003570D0">
        <w:rPr>
          <w:rStyle w:val="EndnoteReference"/>
        </w:rPr>
        <w:endnoteReference w:id="18"/>
      </w:r>
      <w:r w:rsidRPr="003570D0">
        <w:t>).</w:t>
      </w:r>
    </w:p>
    <w:p w14:paraId="6FC623EA" w14:textId="582EEAA2" w:rsidR="000D37E2" w:rsidRPr="003570D0" w:rsidRDefault="000D37E2" w:rsidP="000D37E2">
      <w:r w:rsidRPr="003570D0">
        <w:t xml:space="preserve">By adopting the value chain approach, regions have potential access to diversification concepts / paths for longer term, innovation-based growth, and investment of funds with reduced risks. </w:t>
      </w:r>
      <w:hyperlink w:anchor="_Radosevic,_S.,_&amp;" w:history="1">
        <w:r w:rsidRPr="003570D0">
          <w:rPr>
            <w:rStyle w:val="Hyperlink"/>
            <w:sz w:val="18"/>
            <w:szCs w:val="24"/>
          </w:rPr>
          <w:t>Radosevic et al. (2018</w:t>
        </w:r>
      </w:hyperlink>
      <w:r w:rsidRPr="003570D0">
        <w:rPr>
          <w:rStyle w:val="ref-lnk"/>
        </w:rPr>
        <w:t xml:space="preserve">:39) </w:t>
      </w:r>
      <w:r w:rsidRPr="003570D0">
        <w:t xml:space="preserve">specifies these opportunities as assisting larger companies to expand their supply chains with innovative SMEs across Europe and enhancing the innovation capabilities of SMEs, as preparatory steps towards establishing long-term supplier relationships with medium-sized or large enterprises (cf. integrators). These strategic partnerships would be co-operation in near market innovation projects in selected sectors/technology areas. </w:t>
      </w:r>
    </w:p>
    <w:p w14:paraId="1F5CC30B" w14:textId="76C21969" w:rsidR="000D37E2" w:rsidRPr="003570D0" w:rsidRDefault="000D37E2" w:rsidP="000D37E2">
      <w:r w:rsidRPr="003570D0">
        <w:t>In this sense, interregional complementarities can become sufficiently relevant growth and innovation-inducing agents and the place-based approach shifts towards a functional rather administrative space. Researchers have also claimed that value chains tend to reduce complexity of localised economic systems and increase specialisation (</w:t>
      </w:r>
      <w:hyperlink w:anchor="_Radosevic,_S.,_&amp;" w:history="1">
        <w:r w:rsidRPr="003570D0">
          <w:rPr>
            <w:rStyle w:val="Hyperlink"/>
            <w:sz w:val="18"/>
            <w:szCs w:val="24"/>
          </w:rPr>
          <w:t>Radosevic, 2018</w:t>
        </w:r>
      </w:hyperlink>
      <w:r w:rsidRPr="003570D0">
        <w:t>). However, for a region to reduce complexity might mean that it potentially closes the door to forthcoming opportunities. There is a considerable risk there. This risk will hinder interregional collaborations. Once again, the need to institutionalise, optimise and govern interregional complementarities is evident.</w:t>
      </w:r>
      <w:bookmarkStart w:id="16" w:name="_3._Empirical_references;"/>
      <w:bookmarkStart w:id="17" w:name="_3._The_four"/>
      <w:bookmarkEnd w:id="16"/>
      <w:bookmarkEnd w:id="17"/>
    </w:p>
    <w:p w14:paraId="0F55C24A" w14:textId="77777777" w:rsidR="007618BE" w:rsidRPr="003570D0" w:rsidRDefault="007618BE" w:rsidP="000D37E2"/>
    <w:p w14:paraId="55DD4987" w14:textId="680B4F25" w:rsidR="007618BE" w:rsidRPr="003570D0" w:rsidRDefault="007618BE" w:rsidP="00B818DF">
      <w:pPr>
        <w:pStyle w:val="Heading6"/>
      </w:pPr>
      <w:r w:rsidRPr="003570D0">
        <w:lastRenderedPageBreak/>
        <w:t>The enabling framework</w:t>
      </w:r>
    </w:p>
    <w:p w14:paraId="2261D997" w14:textId="3B30AF31" w:rsidR="000A7877" w:rsidRPr="003570D0" w:rsidRDefault="009C4951" w:rsidP="000A7877">
      <w:pPr>
        <w:rPr>
          <w:lang w:val="fi-FI"/>
        </w:rPr>
      </w:pPr>
      <w:r w:rsidRPr="003570D0">
        <w:t xml:space="preserve">Proactively turning to interregional complementarities as a way to complete imperfect regional innovation systems by collaborating with regions beyond </w:t>
      </w:r>
      <w:r w:rsidR="00AA79E8" w:rsidRPr="003570D0">
        <w:t xml:space="preserve">regional </w:t>
      </w:r>
      <w:r w:rsidRPr="003570D0">
        <w:t>programme area</w:t>
      </w:r>
      <w:r w:rsidR="00AA79E8" w:rsidRPr="003570D0">
        <w:t>s,</w:t>
      </w:r>
      <w:r w:rsidRPr="003570D0">
        <w:t xml:space="preserve"> is currently one of the flagships of the on-going (2021-2027) Structural Funds</w:t>
      </w:r>
      <w:r w:rsidR="002526F0" w:rsidRPr="003570D0">
        <w:rPr>
          <w:rStyle w:val="FootnoteReference"/>
          <w:lang w:eastAsia="de-DE"/>
        </w:rPr>
        <w:footnoteReference w:id="24"/>
      </w:r>
      <w:r w:rsidR="002526F0" w:rsidRPr="003570D0">
        <w:t xml:space="preserve"> (SF)</w:t>
      </w:r>
      <w:r w:rsidRPr="003570D0">
        <w:t xml:space="preserve"> period.</w:t>
      </w:r>
      <w:r w:rsidR="00CA2D38" w:rsidRPr="003570D0">
        <w:rPr>
          <w:lang w:val="el-GR"/>
        </w:rPr>
        <w:t xml:space="preserve"> </w:t>
      </w:r>
      <w:r w:rsidR="00CA2D38" w:rsidRPr="003570D0">
        <w:rPr>
          <w:lang w:val="fi-FI"/>
        </w:rPr>
        <w:t>It has come a long way since earlier days (</w:t>
      </w:r>
      <w:r w:rsidR="002526F0" w:rsidRPr="003570D0">
        <w:rPr>
          <w:lang w:val="fi-FI"/>
        </w:rPr>
        <w:t>1999 – 2006 SF</w:t>
      </w:r>
      <w:r w:rsidR="002526F0" w:rsidRPr="003570D0">
        <w:rPr>
          <w:rStyle w:val="FootnoteReference"/>
          <w:lang w:val="fi-FI" w:eastAsia="de-DE"/>
        </w:rPr>
        <w:footnoteReference w:id="25"/>
      </w:r>
      <w:r w:rsidR="00E626BE" w:rsidRPr="003570D0">
        <w:rPr>
          <w:lang w:val="fi-FI"/>
        </w:rPr>
        <w:t xml:space="preserve"> articles 20 &amp; 22</w:t>
      </w:r>
      <w:r w:rsidR="002526F0" w:rsidRPr="003570D0">
        <w:rPr>
          <w:lang w:val="fi-FI"/>
        </w:rPr>
        <w:t xml:space="preserve">, </w:t>
      </w:r>
      <w:r w:rsidR="00CA2D38" w:rsidRPr="003570D0">
        <w:rPr>
          <w:lang w:val="fi-FI"/>
        </w:rPr>
        <w:t>2007-2013 SF article 21</w:t>
      </w:r>
      <w:r w:rsidR="00CA2D38" w:rsidRPr="003570D0">
        <w:rPr>
          <w:rStyle w:val="FootnoteReference"/>
          <w:lang w:val="fi-FI" w:eastAsia="de-DE"/>
        </w:rPr>
        <w:footnoteReference w:id="26"/>
      </w:r>
      <w:r w:rsidR="00664F9F" w:rsidRPr="003570D0">
        <w:rPr>
          <w:lang w:val="fi-FI"/>
        </w:rPr>
        <w:t xml:space="preserve">, </w:t>
      </w:r>
      <w:r w:rsidR="000C3F5F" w:rsidRPr="003570D0">
        <w:rPr>
          <w:lang w:val="fi-FI"/>
        </w:rPr>
        <w:t>2014-2020 SF article 70</w:t>
      </w:r>
      <w:r w:rsidR="000C3F5F" w:rsidRPr="003570D0">
        <w:rPr>
          <w:rStyle w:val="FootnoteReference"/>
          <w:lang w:val="fi-FI" w:eastAsia="de-DE"/>
        </w:rPr>
        <w:footnoteReference w:id="27"/>
      </w:r>
      <w:r w:rsidR="000C3F5F" w:rsidRPr="003570D0">
        <w:rPr>
          <w:lang w:val="fi-FI"/>
        </w:rPr>
        <w:t>).</w:t>
      </w:r>
      <w:r w:rsidR="00AA79E8" w:rsidRPr="003570D0">
        <w:rPr>
          <w:lang w:val="fi-FI"/>
        </w:rPr>
        <w:t xml:space="preserve"> </w:t>
      </w:r>
      <w:r w:rsidR="000C7C9B" w:rsidRPr="003570D0">
        <w:rPr>
          <w:lang w:val="fi-FI"/>
        </w:rPr>
        <w:t xml:space="preserve">During these 22 years, </w:t>
      </w:r>
      <w:r w:rsidR="00C868B0" w:rsidRPr="003570D0">
        <w:rPr>
          <w:lang w:val="fi-FI"/>
        </w:rPr>
        <w:t xml:space="preserve">the rôle attached to </w:t>
      </w:r>
      <w:r w:rsidR="000C7C9B" w:rsidRPr="003570D0">
        <w:rPr>
          <w:lang w:val="fi-FI"/>
        </w:rPr>
        <w:t xml:space="preserve">interregional complementarities evolved from a project-based </w:t>
      </w:r>
      <w:r w:rsidR="00C868B0" w:rsidRPr="003570D0">
        <w:rPr>
          <w:lang w:val="fi-FI"/>
        </w:rPr>
        <w:t xml:space="preserve">resource to explore, to a strategic resource, a precondition for the Smart Specialisation Strategy: </w:t>
      </w:r>
    </w:p>
    <w:p w14:paraId="0B14A474" w14:textId="77777777" w:rsidR="000A7877" w:rsidRPr="003570D0" w:rsidRDefault="00AA79E8" w:rsidP="000A7877">
      <w:pPr>
        <w:pStyle w:val="ListBullet5"/>
        <w:rPr>
          <w:rFonts w:ascii="Times New Roman" w:hAnsi="Times New Roman"/>
          <w:sz w:val="24"/>
          <w:lang w:val="en-FI"/>
        </w:rPr>
      </w:pPr>
      <w:r w:rsidRPr="003570D0">
        <w:rPr>
          <w:lang w:val="fi-FI"/>
        </w:rPr>
        <w:t xml:space="preserve">During the period SF 1999-2006 the </w:t>
      </w:r>
      <w:r w:rsidRPr="003570D0">
        <w:rPr>
          <w:lang w:val="en-FI"/>
        </w:rPr>
        <w:t xml:space="preserve">ERDF </w:t>
      </w:r>
      <w:r w:rsidRPr="003570D0">
        <w:rPr>
          <w:lang w:val="fi-FI"/>
        </w:rPr>
        <w:t xml:space="preserve">was planned </w:t>
      </w:r>
      <w:r w:rsidRPr="003570D0">
        <w:rPr>
          <w:lang w:val="en-FI"/>
        </w:rPr>
        <w:t>to contribute to financing cross-border, transn</w:t>
      </w:r>
      <w:r w:rsidRPr="003570D0">
        <w:rPr>
          <w:lang w:val="fi-FI"/>
        </w:rPr>
        <w:t>a</w:t>
      </w:r>
      <w:r w:rsidRPr="003570D0">
        <w:rPr>
          <w:lang w:val="en-FI"/>
        </w:rPr>
        <w:t>tional and interregional cooperation</w:t>
      </w:r>
      <w:r w:rsidR="00E626BE" w:rsidRPr="003570D0">
        <w:rPr>
          <w:lang w:val="fi-FI"/>
        </w:rPr>
        <w:t xml:space="preserve"> as part of Interreg programme projects. </w:t>
      </w:r>
    </w:p>
    <w:p w14:paraId="65A93FAA" w14:textId="3386A3DF" w:rsidR="00E626BE" w:rsidRPr="003570D0" w:rsidRDefault="00A07CF1" w:rsidP="000A7877">
      <w:pPr>
        <w:pStyle w:val="ListBullet5"/>
        <w:rPr>
          <w:rFonts w:ascii="Times New Roman" w:hAnsi="Times New Roman"/>
          <w:sz w:val="24"/>
          <w:lang w:val="en-FI"/>
        </w:rPr>
      </w:pPr>
      <w:r w:rsidRPr="003570D0">
        <w:rPr>
          <w:lang w:val="fi-FI"/>
        </w:rPr>
        <w:t xml:space="preserve">During the </w:t>
      </w:r>
      <w:r w:rsidR="00E626BE" w:rsidRPr="003570D0">
        <w:rPr>
          <w:lang w:val="fi-FI"/>
        </w:rPr>
        <w:t>2007-2013</w:t>
      </w:r>
      <w:r w:rsidRPr="003570D0">
        <w:rPr>
          <w:lang w:val="fi-FI"/>
        </w:rPr>
        <w:t xml:space="preserve"> period</w:t>
      </w:r>
      <w:r w:rsidR="00E626BE" w:rsidRPr="003570D0">
        <w:rPr>
          <w:lang w:val="fi-FI"/>
        </w:rPr>
        <w:t xml:space="preserve">, </w:t>
      </w:r>
      <w:r w:rsidR="00E626BE" w:rsidRPr="003570D0">
        <w:rPr>
          <w:lang w:val="en-FI"/>
        </w:rPr>
        <w:t>spending beyond the programme area is brought up,</w:t>
      </w:r>
      <w:r w:rsidR="000A7877" w:rsidRPr="003570D0">
        <w:rPr>
          <w:lang w:val="fi-FI"/>
        </w:rPr>
        <w:t xml:space="preserve"> but only in NUTS3-adjacent areas or excpetionally, in NUTS 2</w:t>
      </w:r>
      <w:r w:rsidRPr="003570D0">
        <w:rPr>
          <w:lang w:val="fi-FI"/>
        </w:rPr>
        <w:t>-</w:t>
      </w:r>
      <w:r w:rsidR="000A7877" w:rsidRPr="003570D0">
        <w:rPr>
          <w:lang w:val="fi-FI"/>
        </w:rPr>
        <w:t xml:space="preserve">adjacent areas; </w:t>
      </w:r>
      <w:r w:rsidR="00E626BE" w:rsidRPr="003570D0">
        <w:rPr>
          <w:lang w:val="en-FI"/>
        </w:rPr>
        <w:t xml:space="preserve"> Article 21</w:t>
      </w:r>
      <w:r w:rsidRPr="003570D0">
        <w:rPr>
          <w:lang w:val="fi-FI"/>
        </w:rPr>
        <w:t>:</w:t>
      </w:r>
      <w:r w:rsidR="00E626BE" w:rsidRPr="003570D0">
        <w:rPr>
          <w:lang w:val="en-FI"/>
        </w:rPr>
        <w:t xml:space="preserve"> ”Special conditions governing the location of operations: 1. In the context of cross-border cooperation and in duly justified cases, the ERDF may finance expenditure incurred in implementing operations or parts of operations up to a limit of 20 % of the amount of its contribution to the operational programme concerned in NUTS level 3 areas adjacent to the eligible areas for the programme referred to in Article 7(1) of Regulation (EC) No 1083/2006 or surrounded by such adjacent areas. In exceptional cases as agreed between the Commission and Member States, this flexibility may be extended to the NUTS level 2 areas in which the areas referred to in Article 7(1) of Regulation (EC) No 1083/2006 are located. </w:t>
      </w:r>
      <w:r w:rsidR="00E626BE" w:rsidRPr="003570D0">
        <w:rPr>
          <w:i/>
          <w:iCs/>
          <w:lang w:val="en-FI"/>
        </w:rPr>
        <w:t>At project level, expenditure incurred by partners located outside the programme area as defined in the first sub- paragraph may be eligible, if the project would have difficulty in achieving its objectives without that partner's participation</w:t>
      </w:r>
      <w:r w:rsidR="00E626BE" w:rsidRPr="003570D0">
        <w:rPr>
          <w:lang w:val="en-FI"/>
        </w:rPr>
        <w:t xml:space="preserve">. </w:t>
      </w:r>
    </w:p>
    <w:p w14:paraId="49D8D380" w14:textId="0503401C" w:rsidR="000A7877" w:rsidRPr="003570D0" w:rsidRDefault="0081122A" w:rsidP="000A7877">
      <w:pPr>
        <w:pStyle w:val="ListBullet5"/>
      </w:pPr>
      <w:r w:rsidRPr="003570D0">
        <w:rPr>
          <w:lang w:val="fi-FI"/>
        </w:rPr>
        <w:t>Significant steps are</w:t>
      </w:r>
      <w:r w:rsidR="00A07CF1" w:rsidRPr="003570D0">
        <w:rPr>
          <w:lang w:val="fi-FI"/>
        </w:rPr>
        <w:t xml:space="preserve"> </w:t>
      </w:r>
      <w:r w:rsidR="000A7877" w:rsidRPr="003570D0">
        <w:rPr>
          <w:lang w:val="fi-FI"/>
        </w:rPr>
        <w:t>made in the SF 2014 – 2020</w:t>
      </w:r>
      <w:r w:rsidR="00A07CF1" w:rsidRPr="003570D0">
        <w:rPr>
          <w:lang w:val="fi-FI"/>
        </w:rPr>
        <w:t>:</w:t>
      </w:r>
      <w:r w:rsidR="000A7877" w:rsidRPr="003570D0">
        <w:rPr>
          <w:lang w:val="fi-FI"/>
        </w:rPr>
        <w:t xml:space="preserve"> Article 70</w:t>
      </w:r>
      <w:r w:rsidR="00A07CF1" w:rsidRPr="003570D0">
        <w:rPr>
          <w:lang w:val="fi-FI"/>
        </w:rPr>
        <w:t xml:space="preserve"> of the </w:t>
      </w:r>
      <w:r w:rsidR="000A7877" w:rsidRPr="003570D0">
        <w:rPr>
          <w:lang w:val="fi-FI"/>
        </w:rPr>
        <w:t>Common Provisions Regulation (CPR) 2014-2020</w:t>
      </w:r>
      <w:r w:rsidR="000A7877" w:rsidRPr="003570D0">
        <w:rPr>
          <w:b/>
          <w:bCs/>
          <w:color w:val="FF0000"/>
          <w:vertAlign w:val="superscript"/>
          <w:lang w:val="fi-FI"/>
        </w:rPr>
        <w:footnoteReference w:id="28"/>
      </w:r>
      <w:r w:rsidR="000A7877" w:rsidRPr="003570D0">
        <w:rPr>
          <w:b/>
          <w:bCs/>
          <w:color w:val="FF0000"/>
          <w:vertAlign w:val="superscript"/>
          <w:lang w:val="fi-FI"/>
        </w:rPr>
        <w:t>,</w:t>
      </w:r>
      <w:r w:rsidR="000A7877" w:rsidRPr="003570D0">
        <w:rPr>
          <w:lang w:val="fi-FI"/>
        </w:rPr>
        <w:t xml:space="preserve"> encouraged national and regional authorities to “open the programming documents for transnational activities, foreseeing explicitly the possibility to invest outside the </w:t>
      </w:r>
      <w:r w:rsidR="000A7877" w:rsidRPr="003570D0">
        <w:rPr>
          <w:lang w:val="fi-FI"/>
        </w:rPr>
        <w:lastRenderedPageBreak/>
        <w:t>programme area (Article 70(2) of CPR</w:t>
      </w:r>
      <w:r w:rsidR="005D757B" w:rsidRPr="003570D0">
        <w:rPr>
          <w:lang w:val="fi-FI"/>
        </w:rPr>
        <w:t>; up to 5% of their ERDF</w:t>
      </w:r>
      <w:r w:rsidR="000A7877" w:rsidRPr="003570D0">
        <w:rPr>
          <w:lang w:val="fi-FI"/>
        </w:rPr>
        <w:t>). The ESIF programme section dedicated to interregional and transnational actions (Article 96(3)d of CPR)</w:t>
      </w:r>
      <w:r w:rsidR="005D757B" w:rsidRPr="003570D0">
        <w:rPr>
          <w:lang w:val="fi-FI"/>
        </w:rPr>
        <w:t xml:space="preserve">, provides for </w:t>
      </w:r>
      <w:r w:rsidR="000A7877" w:rsidRPr="003570D0">
        <w:rPr>
          <w:lang w:val="fi-FI"/>
        </w:rPr>
        <w:t>more than one Member State to allow the cooperation potential with other Member States to be fully exploited (e.g. through making use of macro-regional and sea-basin strategie</w:t>
      </w:r>
      <w:r w:rsidR="00712C61" w:rsidRPr="003570D0">
        <w:rPr>
          <w:lang w:val="fi-FI"/>
        </w:rPr>
        <w:t>s</w:t>
      </w:r>
      <w:r w:rsidR="000A7877" w:rsidRPr="003570D0">
        <w:rPr>
          <w:b/>
          <w:color w:val="FF0000"/>
          <w:vertAlign w:val="superscript"/>
          <w:lang w:val="fi-FI"/>
        </w:rPr>
        <w:footnoteReference w:id="29"/>
      </w:r>
      <w:r w:rsidR="000A7877" w:rsidRPr="003570D0">
        <w:rPr>
          <w:lang w:val="fi-FI"/>
        </w:rPr>
        <w:t>; consider European territorial cooperation opportunities</w:t>
      </w:r>
      <w:r w:rsidR="000A7877" w:rsidRPr="003570D0">
        <w:rPr>
          <w:b/>
          <w:color w:val="FF0000"/>
          <w:vertAlign w:val="superscript"/>
          <w:lang w:val="fi-FI"/>
        </w:rPr>
        <w:footnoteReference w:id="30"/>
      </w:r>
      <w:r w:rsidR="000A7877" w:rsidRPr="003570D0">
        <w:rPr>
          <w:lang w:val="fi-FI"/>
        </w:rPr>
        <w:t>”. In addition, the CPR encourages regions to envisage types of priorities, implementation and project selection methods that allow for combinations and synergies in the course of</w:t>
      </w:r>
      <w:r w:rsidR="000A7877" w:rsidRPr="003570D0">
        <w:t xml:space="preserve"> the ESIF programme implementation, e.g. permanently open submission of applications for funding to react timely to Horizon 2020 or other call/opportunity for combined funding / synergies. As far as we are aware, the opportunities provided by the CPR 2014-2020 provisions contained in articles 15(1)b(i), 65(11), 67(5)b, 68(1)c and 70(2), have not benefitted regions to a large scale, but more research would be needed to confirm this. Nevertheless, the existence of these provisions, and the considerable preparation and mobilisation activities that took place during the previous Structural Funds period (2014-2020) form a strong, relevant, and inspiring basis for continuing.</w:t>
      </w:r>
    </w:p>
    <w:p w14:paraId="39EDAFF6" w14:textId="0D1CF8C5" w:rsidR="000C7C9B" w:rsidRPr="003570D0" w:rsidRDefault="0012661C" w:rsidP="000C7C9B">
      <w:pPr>
        <w:pStyle w:val="ListBullet5"/>
        <w:rPr>
          <w:lang w:eastAsia="de-DE"/>
        </w:rPr>
      </w:pPr>
      <w:r w:rsidRPr="003570D0">
        <w:t>During the present programming period of the Structural Funds (SF), provisions for supporting interregional innovation investments are not only a legitimate potential, but a condition (the 6</w:t>
      </w:r>
      <w:r w:rsidRPr="003570D0">
        <w:rPr>
          <w:vertAlign w:val="superscript"/>
        </w:rPr>
        <w:t>th</w:t>
      </w:r>
      <w:r w:rsidRPr="003570D0">
        <w:t xml:space="preserve"> Actions to manage industrial transition and 7</w:t>
      </w:r>
      <w:r w:rsidRPr="003570D0">
        <w:rPr>
          <w:vertAlign w:val="superscript"/>
        </w:rPr>
        <w:t>th</w:t>
      </w:r>
      <w:r w:rsidRPr="003570D0">
        <w:t xml:space="preserve"> Measures for international collaboration enabling conditions) of the thematic objective 1 (TO1) Strengthening research, technological development and innovation)</w:t>
      </w:r>
      <w:r w:rsidRPr="003570D0">
        <w:rPr>
          <w:rStyle w:val="FootnoteReference"/>
          <w:rFonts w:eastAsia="HGPMinchoE"/>
        </w:rPr>
        <w:footnoteReference w:id="31"/>
      </w:r>
      <w:r w:rsidRPr="003570D0">
        <w:t xml:space="preserve"> of the Structural Funds and the I3 instrument (Article 13). The I3 foresees support for Commercialisation and scaling up of innovation </w:t>
      </w:r>
      <w:r w:rsidRPr="003570D0">
        <w:rPr>
          <w:rFonts w:ascii="ArialMT" w:hAnsi="ArialMT"/>
        </w:rPr>
        <w:t xml:space="preserve">projects for the development of </w:t>
      </w:r>
      <w:r w:rsidRPr="003570D0">
        <w:t>European value chains.  Macro regional approaches</w:t>
      </w:r>
      <w:r w:rsidRPr="003570D0">
        <w:rPr>
          <w:rStyle w:val="FootnoteReference"/>
          <w:rFonts w:eastAsia="HGPMinchoE"/>
          <w:color w:val="3AAF8F"/>
        </w:rPr>
        <w:footnoteReference w:id="32"/>
      </w:r>
      <w:r w:rsidRPr="003570D0">
        <w:t>. “The macro-regions’ geographical proximity creates opportunities by forming regional value chains that build on the respective strengths of the different parts of the region. Proximity can also enable close integration, which would give the macro-region greater critical mass and allow it to compete in global markets for skills and investment</w:t>
      </w:r>
      <w:r w:rsidRPr="003570D0">
        <w:rPr>
          <w:rStyle w:val="FootnoteReference"/>
          <w:rFonts w:eastAsia="HGPMinchoE"/>
          <w:color w:val="3AAF8F"/>
        </w:rPr>
        <w:footnoteReference w:id="33"/>
      </w:r>
      <w:r w:rsidRPr="003570D0">
        <w:t>”.</w:t>
      </w:r>
      <w:r w:rsidR="00712C61" w:rsidRPr="003570D0">
        <w:t xml:space="preserve"> </w:t>
      </w:r>
      <w:r w:rsidRPr="003570D0">
        <w:t>Concrete initiatives already testing interregional innovation investments</w:t>
      </w:r>
      <w:r w:rsidR="00712C61" w:rsidRPr="003570D0">
        <w:t xml:space="preserve"> have already been organised</w:t>
      </w:r>
      <w:r w:rsidRPr="003570D0">
        <w:rPr>
          <w:rStyle w:val="FootnoteReference"/>
          <w:rFonts w:eastAsia="HGPMinchoE"/>
          <w:color w:val="3AAF8F"/>
        </w:rPr>
        <w:footnoteReference w:id="34"/>
      </w:r>
      <w:r w:rsidRPr="003570D0">
        <w:t>.</w:t>
      </w:r>
      <w:r w:rsidR="00712C61" w:rsidRPr="003570D0">
        <w:t xml:space="preserve"> </w:t>
      </w:r>
      <w:r w:rsidRPr="003570D0">
        <w:t xml:space="preserve">Voluntary transfer of up to 5% to other shared / directly / indirectly </w:t>
      </w:r>
      <w:r w:rsidRPr="003570D0">
        <w:rPr>
          <w:rFonts w:cs="Tahoma"/>
          <w:szCs w:val="18"/>
        </w:rPr>
        <w:t>managed EU funds and policies</w:t>
      </w:r>
      <w:r w:rsidRPr="003570D0">
        <w:rPr>
          <w:rStyle w:val="FootnoteReference"/>
          <w:rFonts w:eastAsia="HGPMinchoE" w:cs="Tahoma"/>
          <w:szCs w:val="18"/>
        </w:rPr>
        <w:footnoteReference w:id="35"/>
      </w:r>
      <w:r w:rsidR="00712C61" w:rsidRPr="003570D0">
        <w:rPr>
          <w:rFonts w:cs="Tahoma"/>
          <w:szCs w:val="18"/>
        </w:rPr>
        <w:t xml:space="preserve"> is also foreseen.</w:t>
      </w:r>
      <w:r w:rsidRPr="003570D0">
        <w:rPr>
          <w:rFonts w:cs="Tahoma"/>
          <w:szCs w:val="18"/>
        </w:rPr>
        <w:t xml:space="preserve"> </w:t>
      </w:r>
      <w:r w:rsidR="00C2704D" w:rsidRPr="003570D0">
        <w:rPr>
          <w:rFonts w:cs="Tahoma"/>
          <w:szCs w:val="18"/>
        </w:rPr>
        <w:t xml:space="preserve">This re-orientation was affected by two factors: (i) the necessity </w:t>
      </w:r>
      <w:r w:rsidR="00C2704D" w:rsidRPr="003570D0">
        <w:rPr>
          <w:rFonts w:cs="Tahoma"/>
          <w:color w:val="212529"/>
          <w:szCs w:val="18"/>
          <w:shd w:val="clear" w:color="auto" w:fill="FFFFFF"/>
        </w:rPr>
        <w:t>to take into account the effects of the </w:t>
      </w:r>
      <w:hyperlink r:id="rId34" w:history="1">
        <w:r w:rsidR="00C2704D" w:rsidRPr="003570D0">
          <w:rPr>
            <w:rStyle w:val="Hyperlink"/>
            <w:rFonts w:eastAsia="HGPMinchoE"/>
          </w:rPr>
          <w:t>COVID-19 (coronavirus) pandemic</w:t>
        </w:r>
      </w:hyperlink>
      <w:r w:rsidR="00C2704D" w:rsidRPr="003570D0">
        <w:rPr>
          <w:rFonts w:cs="Tahoma"/>
          <w:color w:val="212529"/>
          <w:szCs w:val="18"/>
          <w:shd w:val="clear" w:color="auto" w:fill="FFFFFF"/>
        </w:rPr>
        <w:t> in the context of the </w:t>
      </w:r>
      <w:hyperlink r:id="rId35" w:history="1">
        <w:r w:rsidR="00C2704D" w:rsidRPr="003570D0">
          <w:rPr>
            <w:rStyle w:val="Hyperlink"/>
            <w:rFonts w:eastAsiaTheme="majorEastAsia"/>
          </w:rPr>
          <w:t>Recovery Plan for Europe</w:t>
        </w:r>
      </w:hyperlink>
      <w:r w:rsidR="00C2704D" w:rsidRPr="003570D0">
        <w:rPr>
          <w:rStyle w:val="EndnoteReference"/>
          <w:rFonts w:cs="Tahoma"/>
          <w:sz w:val="18"/>
          <w:szCs w:val="18"/>
        </w:rPr>
        <w:endnoteReference w:id="19"/>
      </w:r>
      <w:r w:rsidR="00C2704D" w:rsidRPr="003570D0">
        <w:rPr>
          <w:rFonts w:cs="Tahoma"/>
          <w:color w:val="212529"/>
          <w:szCs w:val="18"/>
          <w:shd w:val="clear" w:color="auto" w:fill="FFFFFF"/>
        </w:rPr>
        <w:t xml:space="preserve">. The revised draft law introduced </w:t>
      </w:r>
      <w:r w:rsidR="00D37FB9" w:rsidRPr="003570D0">
        <w:rPr>
          <w:rFonts w:cs="Tahoma"/>
          <w:color w:val="212529"/>
          <w:szCs w:val="18"/>
          <w:shd w:val="clear" w:color="auto" w:fill="FFFFFF"/>
        </w:rPr>
        <w:t xml:space="preserve">(28.5.2020) </w:t>
      </w:r>
      <w:r w:rsidR="00C2704D" w:rsidRPr="003570D0">
        <w:rPr>
          <w:rFonts w:cs="Tahoma"/>
          <w:color w:val="212529"/>
          <w:szCs w:val="18"/>
          <w:shd w:val="clear" w:color="auto" w:fill="FFFFFF"/>
        </w:rPr>
        <w:t xml:space="preserve">amendments to the scope and specific objectives of the ERDF; and (ii) </w:t>
      </w:r>
      <w:r w:rsidR="00B51228" w:rsidRPr="003570D0">
        <w:rPr>
          <w:rFonts w:cs="Tahoma"/>
          <w:szCs w:val="18"/>
        </w:rPr>
        <w:t>the renewed EU industrial strategy with focus on European industrial autonomy</w:t>
      </w:r>
      <w:r w:rsidR="000C7C9B" w:rsidRPr="003570D0">
        <w:rPr>
          <w:rFonts w:cs="Tahoma"/>
          <w:szCs w:val="18"/>
        </w:rPr>
        <w:t>, and the emphasis on European value chains</w:t>
      </w:r>
      <w:r w:rsidR="006115D7" w:rsidRPr="003570D0">
        <w:rPr>
          <w:rStyle w:val="FootnoteReference"/>
          <w:rFonts w:cs="Tahoma"/>
          <w:szCs w:val="18"/>
        </w:rPr>
        <w:footnoteReference w:id="36"/>
      </w:r>
      <w:r w:rsidR="00B51228" w:rsidRPr="003570D0">
        <w:rPr>
          <w:rFonts w:cs="Tahoma"/>
          <w:szCs w:val="18"/>
        </w:rPr>
        <w:t>.</w:t>
      </w:r>
      <w:r w:rsidR="00EE634B" w:rsidRPr="003570D0">
        <w:rPr>
          <w:rFonts w:cs="Tahoma"/>
          <w:szCs w:val="18"/>
        </w:rPr>
        <w:t xml:space="preserve"> </w:t>
      </w:r>
    </w:p>
    <w:p w14:paraId="0D21C7DA" w14:textId="7722ABA2" w:rsidR="005E25F1" w:rsidRPr="003570D0" w:rsidRDefault="00D42BD9" w:rsidP="00B818DF">
      <w:pPr>
        <w:pStyle w:val="Heading6"/>
      </w:pPr>
      <w:bookmarkStart w:id="18" w:name="_FINDINGS"/>
      <w:bookmarkEnd w:id="18"/>
      <w:r w:rsidRPr="003570D0">
        <w:lastRenderedPageBreak/>
        <w:t>CONCLUSIONS</w:t>
      </w:r>
    </w:p>
    <w:p w14:paraId="382786A6" w14:textId="3434FCCF" w:rsidR="00D06245" w:rsidRPr="003570D0" w:rsidRDefault="00D06245" w:rsidP="00D42BD9">
      <w:pPr>
        <w:rPr>
          <w:lang w:eastAsia="de-DE"/>
        </w:rPr>
      </w:pPr>
      <w:r w:rsidRPr="003570D0">
        <w:rPr>
          <w:lang w:eastAsia="de-DE"/>
        </w:rPr>
        <w:t>The answers to the research questions, based on project and newtwork intiatives planned and implemented during the period 2010-2021, is that interregional complementarities do indeed impact the place-based approach, advocating the definition of more comprehensive and well functioning regional innovation system and associated space, and therefore also implying adjustments of RIS3. The related findin</w:t>
      </w:r>
      <w:r w:rsidR="00617FD2" w:rsidRPr="003570D0">
        <w:rPr>
          <w:lang w:eastAsia="de-DE"/>
        </w:rPr>
        <w:t>g</w:t>
      </w:r>
      <w:r w:rsidRPr="003570D0">
        <w:rPr>
          <w:lang w:eastAsia="de-DE"/>
        </w:rPr>
        <w:t>s are briefly discussed below.</w:t>
      </w:r>
    </w:p>
    <w:p w14:paraId="4A25A0FD" w14:textId="7B6F3C71" w:rsidR="00A84DCF" w:rsidRPr="003570D0" w:rsidRDefault="0027109E" w:rsidP="00E5459D">
      <w:pPr>
        <w:widowControl w:val="0"/>
      </w:pPr>
      <w:r w:rsidRPr="003570D0">
        <w:t>T</w:t>
      </w:r>
      <w:r w:rsidR="00A41789" w:rsidRPr="003570D0">
        <w:t xml:space="preserve">wo </w:t>
      </w:r>
      <w:r w:rsidRPr="003570D0">
        <w:t>key insight</w:t>
      </w:r>
      <w:r w:rsidR="00A41789" w:rsidRPr="003570D0">
        <w:t>s</w:t>
      </w:r>
      <w:r w:rsidRPr="003570D0">
        <w:t xml:space="preserve"> </w:t>
      </w:r>
      <w:r w:rsidR="00506C69" w:rsidRPr="003570D0">
        <w:t xml:space="preserve">resulted </w:t>
      </w:r>
      <w:r w:rsidRPr="003570D0">
        <w:t xml:space="preserve">from </w:t>
      </w:r>
      <w:r w:rsidR="00031CDC" w:rsidRPr="003570D0">
        <w:rPr>
          <w:lang w:eastAsia="de-DE"/>
        </w:rPr>
        <w:t xml:space="preserve">of </w:t>
      </w:r>
      <w:r w:rsidR="00617FD2" w:rsidRPr="003570D0">
        <w:rPr>
          <w:lang w:eastAsia="de-DE"/>
        </w:rPr>
        <w:t xml:space="preserve">ten (10) </w:t>
      </w:r>
      <w:r w:rsidRPr="003570D0">
        <w:t>initiatives</w:t>
      </w:r>
      <w:r w:rsidR="004F4BFD" w:rsidRPr="003570D0">
        <w:t>:</w:t>
      </w:r>
      <w:r w:rsidR="00A25288" w:rsidRPr="003570D0">
        <w:t xml:space="preserve"> </w:t>
      </w:r>
      <w:r w:rsidR="00C447DD" w:rsidRPr="003570D0">
        <w:t>it is clear that for many regions -if not for all, reinterpreting the place-based approach to include extraterritorial interactions, ensuring critical mass, a (more) comprehensive, dynamic, self-renewing regional innovation system, capturing “what is out there”, leading to a more effective RIS3, appears to be relevant.</w:t>
      </w:r>
      <w:r w:rsidR="0044577C" w:rsidRPr="003570D0">
        <w:t xml:space="preserve"> Secondly, this has been acknowledged for a while already, since it has been mainstreamed as an option (2014-2020 period) and a pecondition (2021-2027 period) into the </w:t>
      </w:r>
      <w:r w:rsidR="00C23C0C" w:rsidRPr="003570D0">
        <w:t xml:space="preserve">overarching EU </w:t>
      </w:r>
      <w:r w:rsidR="00A25288" w:rsidRPr="003570D0">
        <w:t>policy framework</w:t>
      </w:r>
      <w:r w:rsidR="0044577C" w:rsidRPr="003570D0">
        <w:t>,</w:t>
      </w:r>
      <w:r w:rsidR="00A25288" w:rsidRPr="003570D0">
        <w:t xml:space="preserve"> support</w:t>
      </w:r>
      <w:r w:rsidR="0044577C" w:rsidRPr="003570D0">
        <w:t>ing</w:t>
      </w:r>
      <w:r w:rsidR="00A25288" w:rsidRPr="003570D0">
        <w:t xml:space="preserve"> regional connectivity at strategic level in the regions</w:t>
      </w:r>
      <w:r w:rsidR="0044577C" w:rsidRPr="003570D0">
        <w:t xml:space="preserve">. </w:t>
      </w:r>
      <w:r w:rsidR="002111AD" w:rsidRPr="003570D0">
        <w:t xml:space="preserve">The frequency, depth, and density of </w:t>
      </w:r>
      <w:r w:rsidR="0044577C" w:rsidRPr="003570D0">
        <w:t xml:space="preserve">extraterritorrial </w:t>
      </w:r>
      <w:r w:rsidR="002111AD" w:rsidRPr="003570D0">
        <w:t xml:space="preserve">interactions define a space which extends the regional programme area, it transcends the place-based approach. </w:t>
      </w:r>
      <w:r w:rsidR="0044577C" w:rsidRPr="003570D0">
        <w:t xml:space="preserve">Realising this approach at regional level will not follow automatically. </w:t>
      </w:r>
      <w:r w:rsidR="00A167E1" w:rsidRPr="003570D0">
        <w:t xml:space="preserve">The mechanisms defining such a space need to be better understood. </w:t>
      </w:r>
      <w:r w:rsidR="00C23C0C" w:rsidRPr="003570D0">
        <w:rPr>
          <w:rStyle w:val="ref-lnk"/>
        </w:rPr>
        <w:t>Regional diversification studies have primarily fo</w:t>
      </w:r>
      <w:r w:rsidR="00F7422A" w:rsidRPr="003570D0">
        <w:rPr>
          <w:rStyle w:val="ref-lnk"/>
        </w:rPr>
        <w:t xml:space="preserve">cused </w:t>
      </w:r>
      <w:r w:rsidR="00C23C0C" w:rsidRPr="003570D0">
        <w:rPr>
          <w:rStyle w:val="ref-lnk"/>
        </w:rPr>
        <w:t>on regional capabilities, but neglected the role of interregional linkages (Boschma,</w:t>
      </w:r>
      <w:r w:rsidR="00C23C0C" w:rsidRPr="003570D0">
        <w:rPr>
          <w:rStyle w:val="apple-converted-space"/>
          <w:rFonts w:eastAsiaTheme="majorEastAsia"/>
        </w:rPr>
        <w:t> </w:t>
      </w:r>
      <w:hyperlink r:id="rId36" w:history="1">
        <w:r w:rsidR="00C23C0C" w:rsidRPr="003570D0">
          <w:rPr>
            <w:rStyle w:val="Hyperlink"/>
            <w:color w:val="10147E"/>
          </w:rPr>
          <w:t>2017</w:t>
        </w:r>
      </w:hyperlink>
      <w:r w:rsidR="00C23C0C" w:rsidRPr="003570D0">
        <w:rPr>
          <w:rStyle w:val="FootnoteReference"/>
          <w:rFonts w:eastAsia="HGPMinchoE"/>
          <w:u w:val="single"/>
        </w:rPr>
        <w:footnoteReference w:id="37"/>
      </w:r>
      <w:r w:rsidR="00C23C0C" w:rsidRPr="003570D0">
        <w:rPr>
          <w:rStyle w:val="ref-lnk"/>
        </w:rPr>
        <w:t>; Whittle</w:t>
      </w:r>
      <w:r w:rsidR="00C23C0C" w:rsidRPr="003570D0">
        <w:rPr>
          <w:rStyle w:val="apple-converted-space"/>
          <w:rFonts w:eastAsiaTheme="majorEastAsia"/>
        </w:rPr>
        <w:t> </w:t>
      </w:r>
      <w:hyperlink r:id="rId37" w:history="1">
        <w:r w:rsidR="00C23C0C" w:rsidRPr="003570D0">
          <w:rPr>
            <w:rStyle w:val="Hyperlink"/>
            <w:color w:val="10147E"/>
          </w:rPr>
          <w:t>2020</w:t>
        </w:r>
      </w:hyperlink>
      <w:r w:rsidR="00C23C0C" w:rsidRPr="003570D0">
        <w:rPr>
          <w:rStyle w:val="FootnoteReference"/>
          <w:rFonts w:eastAsia="HGPMinchoE"/>
          <w:u w:val="single"/>
        </w:rPr>
        <w:footnoteReference w:id="38"/>
      </w:r>
      <w:r w:rsidR="00C23C0C" w:rsidRPr="003570D0">
        <w:rPr>
          <w:rStyle w:val="ref-lnk"/>
        </w:rPr>
        <w:t>). The same is true concerning literature on new path development that paid little to no</w:t>
      </w:r>
      <w:r w:rsidR="00E5459D" w:rsidRPr="003570D0">
        <w:rPr>
          <w:rStyle w:val="ref-lnk"/>
        </w:rPr>
        <w:t xml:space="preserve"> </w:t>
      </w:r>
      <w:r w:rsidR="00C23C0C" w:rsidRPr="003570D0">
        <w:rPr>
          <w:rStyle w:val="ref-lnk"/>
        </w:rPr>
        <w:t>attention to interregional links (Trippl et al.,</w:t>
      </w:r>
      <w:r w:rsidR="00C23C0C" w:rsidRPr="003570D0">
        <w:rPr>
          <w:rStyle w:val="apple-converted-space"/>
          <w:rFonts w:eastAsiaTheme="majorEastAsia"/>
        </w:rPr>
        <w:t> </w:t>
      </w:r>
      <w:hyperlink r:id="rId38" w:history="1">
        <w:r w:rsidR="00C23C0C" w:rsidRPr="003570D0">
          <w:rPr>
            <w:rStyle w:val="Hyperlink"/>
            <w:color w:val="10147E"/>
          </w:rPr>
          <w:t>2018</w:t>
        </w:r>
      </w:hyperlink>
      <w:r w:rsidR="00C23C0C" w:rsidRPr="003570D0">
        <w:rPr>
          <w:rStyle w:val="FootnoteReference"/>
          <w:rFonts w:eastAsia="HGPMinchoE"/>
          <w:u w:val="single"/>
        </w:rPr>
        <w:footnoteReference w:id="39"/>
      </w:r>
      <w:r w:rsidR="00C23C0C" w:rsidRPr="003570D0">
        <w:rPr>
          <w:rStyle w:val="ref-lnk"/>
        </w:rPr>
        <w:t xml:space="preserve">). </w:t>
      </w:r>
    </w:p>
    <w:p w14:paraId="071C8C03" w14:textId="211A11A8" w:rsidR="00485219" w:rsidRPr="003570D0" w:rsidRDefault="005432B0" w:rsidP="00AA3D33">
      <w:r w:rsidRPr="003570D0">
        <w:t>A first finding regards regions’ variable m</w:t>
      </w:r>
      <w:r w:rsidR="00485219" w:rsidRPr="003570D0">
        <w:t xml:space="preserve">otivations </w:t>
      </w:r>
      <w:r w:rsidR="00617FD2" w:rsidRPr="003570D0">
        <w:t>to</w:t>
      </w:r>
      <w:r w:rsidRPr="003570D0">
        <w:t xml:space="preserve"> </w:t>
      </w:r>
      <w:r w:rsidR="005A37AF" w:rsidRPr="003570D0">
        <w:t xml:space="preserve">seek solutions through </w:t>
      </w:r>
      <w:r w:rsidR="006A4BB0" w:rsidRPr="003570D0">
        <w:t>interregional complementarities</w:t>
      </w:r>
      <w:r w:rsidRPr="003570D0">
        <w:t xml:space="preserve">. </w:t>
      </w:r>
      <w:r w:rsidR="000F0914" w:rsidRPr="003570D0">
        <w:t>Table 1 summarises them together with the associated objectives</w:t>
      </w:r>
      <w:r w:rsidR="0015258A" w:rsidRPr="003570D0">
        <w:t>,</w:t>
      </w:r>
      <w:r w:rsidR="000F0914" w:rsidRPr="003570D0">
        <w:t xml:space="preserve"> addressed by each one of </w:t>
      </w:r>
      <w:r w:rsidR="00617FD2" w:rsidRPr="003570D0">
        <w:t xml:space="preserve">ten (10) </w:t>
      </w:r>
      <w:r w:rsidR="000F0914" w:rsidRPr="003570D0">
        <w:t>initiatives.</w:t>
      </w:r>
      <w:r w:rsidR="003E5236" w:rsidRPr="003570D0">
        <w:t xml:space="preserve"> </w:t>
      </w:r>
    </w:p>
    <w:p w14:paraId="4EEF49B9" w14:textId="2E767D45" w:rsidR="00780107" w:rsidRPr="003570D0" w:rsidRDefault="00780107" w:rsidP="0066134A">
      <w:pPr>
        <w:pStyle w:val="Caption"/>
      </w:pPr>
      <w:r w:rsidRPr="003570D0">
        <w:t xml:space="preserve">Table </w:t>
      </w:r>
      <w:r w:rsidRPr="003570D0">
        <w:fldChar w:fldCharType="begin"/>
      </w:r>
      <w:r w:rsidRPr="003570D0">
        <w:instrText xml:space="preserve"> SEQ Table \* ARABIC </w:instrText>
      </w:r>
      <w:r w:rsidRPr="003570D0">
        <w:fldChar w:fldCharType="separate"/>
      </w:r>
      <w:r w:rsidR="004C3C8A" w:rsidRPr="003570D0">
        <w:t>1</w:t>
      </w:r>
      <w:r w:rsidRPr="003570D0">
        <w:fldChar w:fldCharType="end"/>
      </w:r>
      <w:r w:rsidRPr="003570D0">
        <w:t xml:space="preserve"> </w:t>
      </w:r>
      <w:r w:rsidR="004B7F46" w:rsidRPr="003570D0">
        <w:t xml:space="preserve">Motivations and objectives of interregional </w:t>
      </w:r>
      <w:r w:rsidRPr="003570D0">
        <w:t>complementarities</w:t>
      </w:r>
      <w:r w:rsidR="00972780" w:rsidRPr="003570D0">
        <w:t>,</w:t>
      </w:r>
      <w:r w:rsidRPr="003570D0">
        <w:t xml:space="preserve"> </w:t>
      </w:r>
      <w:r w:rsidR="00382049" w:rsidRPr="003570D0">
        <w:t>based on the eight initiatives</w:t>
      </w:r>
    </w:p>
    <w:tbl>
      <w:tblPr>
        <w:tblStyle w:val="TableGrid"/>
        <w:tblW w:w="4683" w:type="pct"/>
        <w:tblInd w:w="284" w:type="dxa"/>
        <w:tblLook w:val="04A0" w:firstRow="1" w:lastRow="0" w:firstColumn="1" w:lastColumn="0" w:noHBand="0" w:noVBand="1"/>
      </w:tblPr>
      <w:tblGrid>
        <w:gridCol w:w="3115"/>
        <w:gridCol w:w="5529"/>
      </w:tblGrid>
      <w:tr w:rsidR="00780107" w:rsidRPr="003570D0" w14:paraId="1A4EE88D" w14:textId="77777777" w:rsidTr="003E5236">
        <w:trPr>
          <w:tblHeader/>
        </w:trPr>
        <w:tc>
          <w:tcPr>
            <w:tcW w:w="1802" w:type="pct"/>
            <w:shd w:val="clear" w:color="auto" w:fill="F2F2F2" w:themeFill="background1" w:themeFillShade="F2"/>
          </w:tcPr>
          <w:p w14:paraId="4CEC193F" w14:textId="35A71747" w:rsidR="00780107" w:rsidRPr="003570D0" w:rsidRDefault="00941772" w:rsidP="0050421E">
            <w:pPr>
              <w:spacing w:after="0" w:line="276" w:lineRule="auto"/>
              <w:ind w:left="0" w:right="137"/>
              <w:jc w:val="left"/>
              <w:rPr>
                <w:b/>
                <w:bCs/>
                <w:sz w:val="16"/>
                <w:szCs w:val="16"/>
              </w:rPr>
            </w:pPr>
            <w:r w:rsidRPr="003570D0">
              <w:rPr>
                <w:b/>
                <w:bCs/>
                <w:sz w:val="16"/>
                <w:szCs w:val="16"/>
              </w:rPr>
              <w:t>Motivation</w:t>
            </w:r>
          </w:p>
        </w:tc>
        <w:tc>
          <w:tcPr>
            <w:tcW w:w="3198" w:type="pct"/>
            <w:shd w:val="clear" w:color="auto" w:fill="F2F2F2" w:themeFill="background1" w:themeFillShade="F2"/>
          </w:tcPr>
          <w:p w14:paraId="189153F7" w14:textId="229CE78A" w:rsidR="00780107" w:rsidRPr="003570D0" w:rsidRDefault="00941772" w:rsidP="0050421E">
            <w:pPr>
              <w:spacing w:after="0" w:line="276" w:lineRule="auto"/>
              <w:ind w:left="0" w:right="88"/>
              <w:rPr>
                <w:b/>
                <w:bCs/>
                <w:sz w:val="16"/>
                <w:szCs w:val="16"/>
              </w:rPr>
            </w:pPr>
            <w:r w:rsidRPr="003570D0">
              <w:rPr>
                <w:b/>
                <w:bCs/>
                <w:sz w:val="16"/>
                <w:szCs w:val="16"/>
              </w:rPr>
              <w:t>Objective</w:t>
            </w:r>
          </w:p>
        </w:tc>
      </w:tr>
      <w:tr w:rsidR="00941772" w:rsidRPr="003570D0" w14:paraId="3068746D" w14:textId="77777777" w:rsidTr="003E5236">
        <w:tc>
          <w:tcPr>
            <w:tcW w:w="1802" w:type="pct"/>
          </w:tcPr>
          <w:p w14:paraId="6E3B1899" w14:textId="1FF33AA5" w:rsidR="00941772" w:rsidRPr="003570D0" w:rsidRDefault="00A009EF" w:rsidP="00A84DCF">
            <w:pPr>
              <w:spacing w:after="80" w:line="240" w:lineRule="auto"/>
              <w:ind w:left="0" w:right="91"/>
              <w:jc w:val="left"/>
              <w:rPr>
                <w:sz w:val="16"/>
                <w:szCs w:val="16"/>
              </w:rPr>
            </w:pPr>
            <w:r w:rsidRPr="003570D0">
              <w:rPr>
                <w:sz w:val="16"/>
                <w:szCs w:val="16"/>
              </w:rPr>
              <w:t xml:space="preserve">1 </w:t>
            </w:r>
            <w:r w:rsidR="00941772" w:rsidRPr="003570D0">
              <w:rPr>
                <w:sz w:val="16"/>
                <w:szCs w:val="16"/>
              </w:rPr>
              <w:t xml:space="preserve">Closing gaps </w:t>
            </w:r>
          </w:p>
        </w:tc>
        <w:tc>
          <w:tcPr>
            <w:tcW w:w="3198" w:type="pct"/>
          </w:tcPr>
          <w:p w14:paraId="2539AB2C" w14:textId="44E0AB0B" w:rsidR="00D404A3" w:rsidRPr="003570D0" w:rsidRDefault="000F0914" w:rsidP="00BF706E">
            <w:pPr>
              <w:spacing w:after="80" w:line="240" w:lineRule="auto"/>
              <w:ind w:left="0" w:right="91"/>
              <w:rPr>
                <w:sz w:val="16"/>
                <w:szCs w:val="16"/>
              </w:rPr>
            </w:pPr>
            <w:r w:rsidRPr="003570D0">
              <w:rPr>
                <w:sz w:val="16"/>
                <w:szCs w:val="16"/>
              </w:rPr>
              <w:t>K</w:t>
            </w:r>
            <w:r w:rsidR="00941772" w:rsidRPr="003570D0">
              <w:rPr>
                <w:sz w:val="16"/>
                <w:szCs w:val="16"/>
              </w:rPr>
              <w:t>nowledge and technology transfer, case-by-case</w:t>
            </w:r>
            <w:r w:rsidR="00A84DCF" w:rsidRPr="003570D0">
              <w:rPr>
                <w:sz w:val="16"/>
                <w:szCs w:val="16"/>
              </w:rPr>
              <w:t xml:space="preserve"> </w:t>
            </w:r>
            <w:r w:rsidR="00BF706E" w:rsidRPr="003570D0">
              <w:rPr>
                <w:sz w:val="16"/>
                <w:szCs w:val="16"/>
              </w:rPr>
              <w:t>(</w:t>
            </w:r>
            <w:r w:rsidR="00D404A3" w:rsidRPr="003570D0">
              <w:rPr>
                <w:sz w:val="16"/>
                <w:szCs w:val="16"/>
              </w:rPr>
              <w:t xml:space="preserve">FRESH, SCIENCE LINK, BALTIC TRAM, BRIDGES, </w:t>
            </w:r>
            <w:r w:rsidR="00500AA4">
              <w:rPr>
                <w:sz w:val="16"/>
                <w:szCs w:val="16"/>
              </w:rPr>
              <w:t>CapREx</w:t>
            </w:r>
            <w:r w:rsidR="00617FD2" w:rsidRPr="003570D0">
              <w:rPr>
                <w:sz w:val="16"/>
                <w:szCs w:val="16"/>
              </w:rPr>
              <w:t xml:space="preserve">, </w:t>
            </w:r>
            <w:r w:rsidR="00D404A3" w:rsidRPr="003570D0">
              <w:rPr>
                <w:sz w:val="16"/>
                <w:szCs w:val="16"/>
              </w:rPr>
              <w:t>BERRY+</w:t>
            </w:r>
            <w:r w:rsidR="00BF706E" w:rsidRPr="003570D0">
              <w:rPr>
                <w:sz w:val="16"/>
                <w:szCs w:val="16"/>
              </w:rPr>
              <w:t>)</w:t>
            </w:r>
            <w:r w:rsidR="00D404A3" w:rsidRPr="003570D0">
              <w:rPr>
                <w:sz w:val="16"/>
                <w:szCs w:val="16"/>
              </w:rPr>
              <w:t xml:space="preserve"> </w:t>
            </w:r>
          </w:p>
        </w:tc>
      </w:tr>
      <w:tr w:rsidR="004B7F46" w:rsidRPr="003570D0" w14:paraId="056D3566" w14:textId="77777777" w:rsidTr="003E5236">
        <w:tc>
          <w:tcPr>
            <w:tcW w:w="1802" w:type="pct"/>
          </w:tcPr>
          <w:p w14:paraId="5C9F884C" w14:textId="78094B5D" w:rsidR="004B7F46" w:rsidRPr="003570D0" w:rsidRDefault="00A009EF" w:rsidP="00A84DCF">
            <w:pPr>
              <w:spacing w:after="80" w:line="240" w:lineRule="auto"/>
              <w:ind w:left="0" w:right="91"/>
              <w:jc w:val="left"/>
              <w:rPr>
                <w:sz w:val="16"/>
                <w:szCs w:val="16"/>
              </w:rPr>
            </w:pPr>
            <w:r w:rsidRPr="003570D0">
              <w:rPr>
                <w:sz w:val="16"/>
                <w:szCs w:val="16"/>
              </w:rPr>
              <w:t xml:space="preserve">2 </w:t>
            </w:r>
            <w:r w:rsidR="004B7F46" w:rsidRPr="003570D0">
              <w:rPr>
                <w:sz w:val="16"/>
                <w:szCs w:val="16"/>
              </w:rPr>
              <w:t>Innovation system improvement</w:t>
            </w:r>
          </w:p>
        </w:tc>
        <w:tc>
          <w:tcPr>
            <w:tcW w:w="3198" w:type="pct"/>
          </w:tcPr>
          <w:p w14:paraId="6F3CAAB1" w14:textId="1C919932" w:rsidR="00D404A3" w:rsidRPr="003570D0" w:rsidRDefault="004B7F46" w:rsidP="00BF706E">
            <w:pPr>
              <w:spacing w:after="80" w:line="240" w:lineRule="auto"/>
              <w:ind w:left="0" w:right="91"/>
              <w:rPr>
                <w:sz w:val="16"/>
                <w:szCs w:val="16"/>
              </w:rPr>
            </w:pPr>
            <w:r w:rsidRPr="003570D0">
              <w:rPr>
                <w:sz w:val="16"/>
                <w:szCs w:val="16"/>
              </w:rPr>
              <w:t xml:space="preserve">Orchestrated exchanges </w:t>
            </w:r>
            <w:r w:rsidR="00485219" w:rsidRPr="003570D0">
              <w:rPr>
                <w:sz w:val="16"/>
                <w:szCs w:val="16"/>
              </w:rPr>
              <w:t>among</w:t>
            </w:r>
            <w:r w:rsidRPr="003570D0">
              <w:rPr>
                <w:sz w:val="16"/>
                <w:szCs w:val="16"/>
              </w:rPr>
              <w:t xml:space="preserve"> comparable innovation intermediaries</w:t>
            </w:r>
            <w:r w:rsidR="00BF706E" w:rsidRPr="003570D0">
              <w:rPr>
                <w:sz w:val="16"/>
                <w:szCs w:val="16"/>
              </w:rPr>
              <w:t xml:space="preserve"> (</w:t>
            </w:r>
            <w:r w:rsidR="000F0914" w:rsidRPr="003570D0">
              <w:rPr>
                <w:sz w:val="16"/>
                <w:szCs w:val="16"/>
              </w:rPr>
              <w:t xml:space="preserve">SCIENCE LINK, BALTIC TRAM, </w:t>
            </w:r>
            <w:r w:rsidR="00D404A3" w:rsidRPr="003570D0">
              <w:rPr>
                <w:sz w:val="16"/>
                <w:szCs w:val="16"/>
              </w:rPr>
              <w:t xml:space="preserve">ELMO, BRIDGES, </w:t>
            </w:r>
            <w:r w:rsidR="00617FD2" w:rsidRPr="003570D0">
              <w:rPr>
                <w:sz w:val="16"/>
                <w:szCs w:val="16"/>
              </w:rPr>
              <w:t xml:space="preserve">Big Five, </w:t>
            </w:r>
            <w:r w:rsidR="00500AA4">
              <w:rPr>
                <w:sz w:val="16"/>
                <w:szCs w:val="16"/>
              </w:rPr>
              <w:t>CapREx</w:t>
            </w:r>
            <w:r w:rsidR="00617FD2" w:rsidRPr="003570D0">
              <w:rPr>
                <w:sz w:val="16"/>
                <w:szCs w:val="16"/>
              </w:rPr>
              <w:t xml:space="preserve">, </w:t>
            </w:r>
            <w:r w:rsidR="00D404A3" w:rsidRPr="003570D0">
              <w:rPr>
                <w:sz w:val="16"/>
                <w:szCs w:val="16"/>
              </w:rPr>
              <w:t>BERRY+</w:t>
            </w:r>
            <w:r w:rsidR="0054715A" w:rsidRPr="003570D0">
              <w:rPr>
                <w:sz w:val="16"/>
                <w:szCs w:val="16"/>
              </w:rPr>
              <w:t>, CLUSSPORT</w:t>
            </w:r>
            <w:r w:rsidR="00BF706E" w:rsidRPr="003570D0">
              <w:rPr>
                <w:sz w:val="16"/>
                <w:szCs w:val="16"/>
              </w:rPr>
              <w:t>)</w:t>
            </w:r>
          </w:p>
        </w:tc>
      </w:tr>
      <w:tr w:rsidR="00941772" w:rsidRPr="003570D0" w14:paraId="0489550E" w14:textId="77777777" w:rsidTr="003E5236">
        <w:tc>
          <w:tcPr>
            <w:tcW w:w="1802" w:type="pct"/>
          </w:tcPr>
          <w:p w14:paraId="32475157" w14:textId="40CBEC10" w:rsidR="00941772" w:rsidRPr="003570D0" w:rsidRDefault="00A009EF" w:rsidP="00A84DCF">
            <w:pPr>
              <w:spacing w:after="80" w:line="240" w:lineRule="auto"/>
              <w:ind w:left="0" w:right="91"/>
              <w:jc w:val="left"/>
              <w:rPr>
                <w:sz w:val="16"/>
                <w:szCs w:val="16"/>
              </w:rPr>
            </w:pPr>
            <w:r w:rsidRPr="003570D0">
              <w:rPr>
                <w:sz w:val="16"/>
                <w:szCs w:val="16"/>
              </w:rPr>
              <w:t xml:space="preserve">3 </w:t>
            </w:r>
            <w:r w:rsidR="00941772" w:rsidRPr="003570D0">
              <w:rPr>
                <w:sz w:val="16"/>
                <w:szCs w:val="16"/>
              </w:rPr>
              <w:t>Expanding knowledge and awareness</w:t>
            </w:r>
            <w:r w:rsidR="005A37AF" w:rsidRPr="003570D0">
              <w:rPr>
                <w:sz w:val="16"/>
                <w:szCs w:val="16"/>
              </w:rPr>
              <w:t xml:space="preserve"> </w:t>
            </w:r>
            <w:r w:rsidR="0054715A" w:rsidRPr="003570D0">
              <w:rPr>
                <w:sz w:val="16"/>
                <w:szCs w:val="16"/>
              </w:rPr>
              <w:t xml:space="preserve">for strategic decision-making </w:t>
            </w:r>
          </w:p>
        </w:tc>
        <w:tc>
          <w:tcPr>
            <w:tcW w:w="3198" w:type="pct"/>
          </w:tcPr>
          <w:p w14:paraId="626064AF" w14:textId="04914D0C" w:rsidR="0054715A" w:rsidRPr="003570D0" w:rsidRDefault="0054715A" w:rsidP="005A37AF">
            <w:pPr>
              <w:spacing w:after="80" w:line="240" w:lineRule="auto"/>
              <w:ind w:left="0" w:right="91"/>
              <w:rPr>
                <w:sz w:val="16"/>
                <w:szCs w:val="16"/>
              </w:rPr>
            </w:pPr>
            <w:r w:rsidRPr="003570D0">
              <w:rPr>
                <w:sz w:val="16"/>
                <w:szCs w:val="16"/>
              </w:rPr>
              <w:t>Advanced good practices to speed up strategic renewal</w:t>
            </w:r>
            <w:r w:rsidR="003E5236" w:rsidRPr="003570D0">
              <w:rPr>
                <w:sz w:val="16"/>
                <w:szCs w:val="16"/>
              </w:rPr>
              <w:t xml:space="preserve"> (</w:t>
            </w:r>
            <w:r w:rsidRPr="003570D0">
              <w:rPr>
                <w:sz w:val="16"/>
                <w:szCs w:val="16"/>
              </w:rPr>
              <w:t>FRESH</w:t>
            </w:r>
            <w:r w:rsidR="00617FD2" w:rsidRPr="003570D0">
              <w:rPr>
                <w:sz w:val="16"/>
                <w:szCs w:val="16"/>
              </w:rPr>
              <w:t xml:space="preserve">, SCIENCE LINK, BALTIC TRAM, ELMO, BRIDGES, Big Five, </w:t>
            </w:r>
            <w:r w:rsidR="00500AA4">
              <w:rPr>
                <w:sz w:val="16"/>
                <w:szCs w:val="16"/>
              </w:rPr>
              <w:t>CapREx</w:t>
            </w:r>
            <w:r w:rsidR="00617FD2" w:rsidRPr="003570D0">
              <w:rPr>
                <w:sz w:val="16"/>
                <w:szCs w:val="16"/>
              </w:rPr>
              <w:t>, BERRY+</w:t>
            </w:r>
            <w:r w:rsidR="003E5236" w:rsidRPr="003570D0">
              <w:rPr>
                <w:sz w:val="16"/>
                <w:szCs w:val="16"/>
              </w:rPr>
              <w:t>)</w:t>
            </w:r>
          </w:p>
          <w:p w14:paraId="0B34D2D8" w14:textId="6A2BE82B" w:rsidR="00D404A3" w:rsidRPr="003570D0" w:rsidRDefault="00D404A3" w:rsidP="00BF706E">
            <w:pPr>
              <w:spacing w:after="80" w:line="240" w:lineRule="auto"/>
              <w:ind w:left="0" w:right="91"/>
              <w:rPr>
                <w:sz w:val="16"/>
                <w:szCs w:val="16"/>
              </w:rPr>
            </w:pPr>
          </w:p>
        </w:tc>
      </w:tr>
      <w:tr w:rsidR="005A37AF" w:rsidRPr="003570D0" w14:paraId="5C0FC322" w14:textId="77777777" w:rsidTr="003E5236">
        <w:tc>
          <w:tcPr>
            <w:tcW w:w="1802" w:type="pct"/>
          </w:tcPr>
          <w:p w14:paraId="6DB47926" w14:textId="0E3B50A8" w:rsidR="005A37AF" w:rsidRPr="003570D0" w:rsidRDefault="00A009EF" w:rsidP="00A84DCF">
            <w:pPr>
              <w:spacing w:after="80" w:line="240" w:lineRule="auto"/>
              <w:ind w:left="0" w:right="91"/>
              <w:jc w:val="left"/>
              <w:rPr>
                <w:sz w:val="16"/>
                <w:szCs w:val="16"/>
              </w:rPr>
            </w:pPr>
            <w:r w:rsidRPr="003570D0">
              <w:rPr>
                <w:sz w:val="16"/>
                <w:szCs w:val="16"/>
              </w:rPr>
              <w:lastRenderedPageBreak/>
              <w:t xml:space="preserve">4 </w:t>
            </w:r>
            <w:r w:rsidR="0054715A" w:rsidRPr="003570D0">
              <w:rPr>
                <w:sz w:val="16"/>
                <w:szCs w:val="16"/>
              </w:rPr>
              <w:t>C</w:t>
            </w:r>
            <w:r w:rsidR="005A37AF" w:rsidRPr="003570D0">
              <w:rPr>
                <w:sz w:val="16"/>
                <w:szCs w:val="16"/>
              </w:rPr>
              <w:t>omplementary technologies for excellence-based growth (edge research)</w:t>
            </w:r>
          </w:p>
        </w:tc>
        <w:tc>
          <w:tcPr>
            <w:tcW w:w="3198" w:type="pct"/>
          </w:tcPr>
          <w:p w14:paraId="3F989819" w14:textId="64424689" w:rsidR="00D404A3" w:rsidRPr="003570D0" w:rsidRDefault="005A37AF" w:rsidP="003E5236">
            <w:pPr>
              <w:spacing w:after="80" w:line="240" w:lineRule="auto"/>
              <w:ind w:left="0" w:right="91"/>
              <w:rPr>
                <w:sz w:val="16"/>
                <w:szCs w:val="16"/>
              </w:rPr>
            </w:pPr>
            <w:r w:rsidRPr="003570D0">
              <w:rPr>
                <w:sz w:val="16"/>
                <w:szCs w:val="16"/>
              </w:rPr>
              <w:t>Joint development (technological complementarities)</w:t>
            </w:r>
            <w:r w:rsidR="000F0914" w:rsidRPr="003570D0">
              <w:rPr>
                <w:sz w:val="16"/>
                <w:szCs w:val="16"/>
              </w:rPr>
              <w:t>; project–based collaborations</w:t>
            </w:r>
            <w:r w:rsidR="003E5236" w:rsidRPr="003570D0">
              <w:rPr>
                <w:sz w:val="16"/>
                <w:szCs w:val="16"/>
              </w:rPr>
              <w:t xml:space="preserve"> (</w:t>
            </w:r>
            <w:r w:rsidR="00D404A3" w:rsidRPr="003570D0">
              <w:rPr>
                <w:sz w:val="16"/>
                <w:szCs w:val="16"/>
              </w:rPr>
              <w:t>BRIDGES</w:t>
            </w:r>
            <w:r w:rsidR="0097215A" w:rsidRPr="003570D0">
              <w:rPr>
                <w:sz w:val="16"/>
                <w:szCs w:val="16"/>
              </w:rPr>
              <w:t xml:space="preserve">, </w:t>
            </w:r>
            <w:r w:rsidR="00617FD2" w:rsidRPr="003570D0">
              <w:rPr>
                <w:sz w:val="16"/>
                <w:szCs w:val="16"/>
              </w:rPr>
              <w:t xml:space="preserve">ClusSport, </w:t>
            </w:r>
            <w:r w:rsidR="0097215A" w:rsidRPr="003570D0">
              <w:rPr>
                <w:sz w:val="16"/>
                <w:szCs w:val="16"/>
              </w:rPr>
              <w:t>Mining Regions</w:t>
            </w:r>
            <w:r w:rsidR="00617FD2" w:rsidRPr="003570D0">
              <w:rPr>
                <w:sz w:val="16"/>
                <w:szCs w:val="16"/>
              </w:rPr>
              <w:t xml:space="preserve">, ELMO, Big Five, </w:t>
            </w:r>
            <w:r w:rsidR="00500AA4">
              <w:rPr>
                <w:sz w:val="16"/>
                <w:szCs w:val="16"/>
              </w:rPr>
              <w:t>CapREx</w:t>
            </w:r>
            <w:r w:rsidR="00617FD2" w:rsidRPr="003570D0">
              <w:rPr>
                <w:sz w:val="16"/>
                <w:szCs w:val="16"/>
              </w:rPr>
              <w:t>, BERRY+</w:t>
            </w:r>
            <w:r w:rsidR="003E5236" w:rsidRPr="003570D0">
              <w:rPr>
                <w:sz w:val="16"/>
                <w:szCs w:val="16"/>
              </w:rPr>
              <w:t>)</w:t>
            </w:r>
          </w:p>
        </w:tc>
      </w:tr>
      <w:tr w:rsidR="0054715A" w:rsidRPr="003570D0" w14:paraId="74BF7A38" w14:textId="77777777" w:rsidTr="003E5236">
        <w:tc>
          <w:tcPr>
            <w:tcW w:w="1802" w:type="pct"/>
          </w:tcPr>
          <w:p w14:paraId="4237DDF5" w14:textId="40BB5AC2" w:rsidR="0054715A" w:rsidRPr="003570D0" w:rsidRDefault="00A009EF" w:rsidP="00A84DCF">
            <w:pPr>
              <w:spacing w:after="80" w:line="240" w:lineRule="auto"/>
              <w:ind w:left="0" w:right="91"/>
              <w:jc w:val="left"/>
              <w:rPr>
                <w:sz w:val="16"/>
                <w:szCs w:val="16"/>
              </w:rPr>
            </w:pPr>
            <w:r w:rsidRPr="003570D0">
              <w:rPr>
                <w:sz w:val="16"/>
                <w:szCs w:val="16"/>
              </w:rPr>
              <w:t xml:space="preserve">5 </w:t>
            </w:r>
            <w:r w:rsidR="000F0914" w:rsidRPr="003570D0">
              <w:rPr>
                <w:sz w:val="16"/>
                <w:szCs w:val="16"/>
              </w:rPr>
              <w:t xml:space="preserve">Address joint development issues, joint development opportunities </w:t>
            </w:r>
          </w:p>
        </w:tc>
        <w:tc>
          <w:tcPr>
            <w:tcW w:w="3198" w:type="pct"/>
          </w:tcPr>
          <w:p w14:paraId="744ACDA0" w14:textId="4BAED657" w:rsidR="0054715A" w:rsidRPr="003570D0" w:rsidRDefault="00C77E06" w:rsidP="003E5236">
            <w:pPr>
              <w:spacing w:after="80" w:line="240" w:lineRule="auto"/>
              <w:ind w:left="0" w:right="91"/>
              <w:rPr>
                <w:sz w:val="16"/>
                <w:szCs w:val="16"/>
              </w:rPr>
            </w:pPr>
            <w:r w:rsidRPr="003570D0">
              <w:rPr>
                <w:sz w:val="16"/>
                <w:szCs w:val="16"/>
              </w:rPr>
              <w:t>Joint development; project– based collaborations</w:t>
            </w:r>
            <w:r w:rsidR="003E5236" w:rsidRPr="003570D0">
              <w:rPr>
                <w:sz w:val="16"/>
                <w:szCs w:val="16"/>
              </w:rPr>
              <w:t xml:space="preserve"> (</w:t>
            </w:r>
            <w:r w:rsidR="00617FD2" w:rsidRPr="003570D0">
              <w:rPr>
                <w:sz w:val="16"/>
                <w:szCs w:val="16"/>
              </w:rPr>
              <w:t xml:space="preserve">ClusSport, Mining Regions, ELMO, Big Five, </w:t>
            </w:r>
            <w:r w:rsidR="00500AA4">
              <w:rPr>
                <w:sz w:val="16"/>
                <w:szCs w:val="16"/>
              </w:rPr>
              <w:t>CapREx</w:t>
            </w:r>
            <w:r w:rsidR="00617FD2" w:rsidRPr="003570D0">
              <w:rPr>
                <w:sz w:val="16"/>
                <w:szCs w:val="16"/>
              </w:rPr>
              <w:t>, BERRY+)</w:t>
            </w:r>
          </w:p>
        </w:tc>
      </w:tr>
      <w:tr w:rsidR="00941772" w:rsidRPr="003570D0" w14:paraId="3178F134" w14:textId="77777777" w:rsidTr="003E5236">
        <w:tc>
          <w:tcPr>
            <w:tcW w:w="1802" w:type="pct"/>
          </w:tcPr>
          <w:p w14:paraId="4160FF90" w14:textId="7AC533AB" w:rsidR="00080DF7" w:rsidRPr="003570D0" w:rsidRDefault="00A009EF" w:rsidP="00A84DCF">
            <w:pPr>
              <w:spacing w:after="80" w:line="240" w:lineRule="auto"/>
              <w:ind w:left="0" w:right="88"/>
              <w:jc w:val="left"/>
              <w:rPr>
                <w:sz w:val="16"/>
                <w:szCs w:val="16"/>
              </w:rPr>
            </w:pPr>
            <w:r w:rsidRPr="003570D0">
              <w:rPr>
                <w:sz w:val="16"/>
                <w:szCs w:val="16"/>
              </w:rPr>
              <w:t xml:space="preserve">6 </w:t>
            </w:r>
            <w:r w:rsidR="004B7F46" w:rsidRPr="003570D0">
              <w:rPr>
                <w:sz w:val="16"/>
                <w:szCs w:val="16"/>
              </w:rPr>
              <w:t>Specialisation</w:t>
            </w:r>
            <w:r w:rsidR="00A84DCF" w:rsidRPr="003570D0">
              <w:rPr>
                <w:sz w:val="16"/>
                <w:szCs w:val="16"/>
              </w:rPr>
              <w:t>, economies of scope</w:t>
            </w:r>
            <w:r w:rsidR="00080DF7" w:rsidRPr="003570D0">
              <w:rPr>
                <w:rStyle w:val="FootnoteReference"/>
                <w:szCs w:val="16"/>
              </w:rPr>
              <w:footnoteReference w:id="40"/>
            </w:r>
          </w:p>
          <w:p w14:paraId="27F22096" w14:textId="38E814BB" w:rsidR="00941772" w:rsidRPr="003570D0" w:rsidRDefault="00A009EF" w:rsidP="00A84DCF">
            <w:pPr>
              <w:spacing w:after="80" w:line="240" w:lineRule="auto"/>
              <w:ind w:left="0" w:right="88"/>
              <w:jc w:val="left"/>
              <w:rPr>
                <w:sz w:val="16"/>
                <w:szCs w:val="16"/>
              </w:rPr>
            </w:pPr>
            <w:r w:rsidRPr="003570D0">
              <w:rPr>
                <w:sz w:val="16"/>
                <w:szCs w:val="16"/>
              </w:rPr>
              <w:t xml:space="preserve">7 </w:t>
            </w:r>
            <w:r w:rsidR="00080DF7" w:rsidRPr="003570D0">
              <w:rPr>
                <w:sz w:val="16"/>
                <w:szCs w:val="16"/>
              </w:rPr>
              <w:t>Diversification, economies of scale</w:t>
            </w:r>
            <w:r w:rsidR="006A4BB0" w:rsidRPr="003570D0">
              <w:rPr>
                <w:rStyle w:val="FootnoteReference"/>
                <w:szCs w:val="16"/>
              </w:rPr>
              <w:footnoteReference w:id="41"/>
            </w:r>
            <w:r w:rsidR="004B7F46" w:rsidRPr="003570D0">
              <w:rPr>
                <w:sz w:val="16"/>
                <w:szCs w:val="16"/>
              </w:rPr>
              <w:t xml:space="preserve"> </w:t>
            </w:r>
          </w:p>
        </w:tc>
        <w:tc>
          <w:tcPr>
            <w:tcW w:w="3198" w:type="pct"/>
          </w:tcPr>
          <w:p w14:paraId="43FB3510" w14:textId="77777777" w:rsidR="00D404A3" w:rsidRPr="003570D0" w:rsidRDefault="004B7F46" w:rsidP="003E5236">
            <w:pPr>
              <w:spacing w:after="80" w:line="240" w:lineRule="auto"/>
              <w:ind w:left="0" w:right="88"/>
              <w:rPr>
                <w:sz w:val="16"/>
                <w:szCs w:val="16"/>
              </w:rPr>
            </w:pPr>
            <w:r w:rsidRPr="003570D0">
              <w:rPr>
                <w:sz w:val="16"/>
                <w:szCs w:val="16"/>
              </w:rPr>
              <w:t>Value chain</w:t>
            </w:r>
            <w:r w:rsidR="00485219" w:rsidRPr="003570D0">
              <w:rPr>
                <w:sz w:val="16"/>
                <w:szCs w:val="16"/>
              </w:rPr>
              <w:t xml:space="preserve"> re-shoring &amp; in-shoring</w:t>
            </w:r>
            <w:r w:rsidRPr="003570D0">
              <w:rPr>
                <w:sz w:val="16"/>
                <w:szCs w:val="16"/>
              </w:rPr>
              <w:t>, value chain near-shoring</w:t>
            </w:r>
            <w:r w:rsidR="003E5236" w:rsidRPr="003570D0">
              <w:rPr>
                <w:sz w:val="16"/>
                <w:szCs w:val="16"/>
              </w:rPr>
              <w:t xml:space="preserve"> (</w:t>
            </w:r>
            <w:r w:rsidR="00D404A3" w:rsidRPr="003570D0">
              <w:rPr>
                <w:sz w:val="16"/>
                <w:szCs w:val="16"/>
              </w:rPr>
              <w:t>BRIDGES and BERRY+</w:t>
            </w:r>
            <w:r w:rsidR="003E5236" w:rsidRPr="003570D0">
              <w:rPr>
                <w:sz w:val="16"/>
                <w:szCs w:val="16"/>
              </w:rPr>
              <w:t>)</w:t>
            </w:r>
          </w:p>
          <w:p w14:paraId="0ED8E294" w14:textId="0A122C1C" w:rsidR="00A009EF" w:rsidRPr="003570D0" w:rsidRDefault="00A009EF" w:rsidP="003E5236">
            <w:pPr>
              <w:spacing w:after="80" w:line="240" w:lineRule="auto"/>
              <w:ind w:left="0" w:right="88"/>
              <w:rPr>
                <w:sz w:val="16"/>
                <w:szCs w:val="16"/>
              </w:rPr>
            </w:pPr>
            <w:r w:rsidRPr="003570D0">
              <w:rPr>
                <w:sz w:val="16"/>
                <w:szCs w:val="16"/>
              </w:rPr>
              <w:t>Identifying development niches, including and reinforcing EDP decision making (BRIDGES</w:t>
            </w:r>
            <w:r w:rsidR="00617FD2" w:rsidRPr="003570D0">
              <w:rPr>
                <w:sz w:val="16"/>
                <w:szCs w:val="16"/>
              </w:rPr>
              <w:t>, BERRY+</w:t>
            </w:r>
            <w:r w:rsidRPr="003570D0">
              <w:rPr>
                <w:sz w:val="16"/>
                <w:szCs w:val="16"/>
              </w:rPr>
              <w:t>)</w:t>
            </w:r>
          </w:p>
        </w:tc>
      </w:tr>
      <w:tr w:rsidR="003E5236" w:rsidRPr="003570D0" w14:paraId="169FF63A" w14:textId="77777777" w:rsidTr="003E5236">
        <w:tc>
          <w:tcPr>
            <w:tcW w:w="1802" w:type="pct"/>
          </w:tcPr>
          <w:p w14:paraId="70A42FD3" w14:textId="7C94A387" w:rsidR="003E5236" w:rsidRPr="003570D0" w:rsidRDefault="00A009EF" w:rsidP="0050421E">
            <w:pPr>
              <w:spacing w:after="80" w:line="240" w:lineRule="auto"/>
              <w:ind w:left="0" w:right="88"/>
              <w:jc w:val="left"/>
              <w:rPr>
                <w:sz w:val="16"/>
                <w:szCs w:val="16"/>
              </w:rPr>
            </w:pPr>
            <w:r w:rsidRPr="003570D0">
              <w:rPr>
                <w:sz w:val="16"/>
                <w:szCs w:val="16"/>
              </w:rPr>
              <w:t xml:space="preserve">8 </w:t>
            </w:r>
            <w:r w:rsidR="003E5236" w:rsidRPr="003570D0">
              <w:rPr>
                <w:sz w:val="16"/>
                <w:szCs w:val="16"/>
              </w:rPr>
              <w:t>Market development</w:t>
            </w:r>
          </w:p>
        </w:tc>
        <w:tc>
          <w:tcPr>
            <w:tcW w:w="3198" w:type="pct"/>
          </w:tcPr>
          <w:p w14:paraId="524AB21D" w14:textId="690F9378" w:rsidR="003E5236" w:rsidRPr="003570D0" w:rsidRDefault="003E5236" w:rsidP="003E5236">
            <w:pPr>
              <w:spacing w:after="80" w:line="240" w:lineRule="auto"/>
              <w:ind w:left="0" w:right="88"/>
              <w:rPr>
                <w:sz w:val="16"/>
                <w:szCs w:val="16"/>
              </w:rPr>
            </w:pPr>
            <w:r w:rsidRPr="003570D0">
              <w:rPr>
                <w:sz w:val="16"/>
                <w:szCs w:val="16"/>
              </w:rPr>
              <w:t>Transregional clustering (ELMO, BERRY+, CLUSSPORT)</w:t>
            </w:r>
          </w:p>
        </w:tc>
      </w:tr>
      <w:tr w:rsidR="00941772" w:rsidRPr="003570D0" w14:paraId="13FA98A5" w14:textId="77777777" w:rsidTr="003E5236">
        <w:tc>
          <w:tcPr>
            <w:tcW w:w="1802" w:type="pct"/>
          </w:tcPr>
          <w:p w14:paraId="07CA1C87" w14:textId="0DDBF950" w:rsidR="00941772" w:rsidRPr="003570D0" w:rsidRDefault="00A009EF" w:rsidP="00A84DCF">
            <w:pPr>
              <w:spacing w:after="80" w:line="240" w:lineRule="auto"/>
              <w:ind w:left="0" w:right="88"/>
              <w:jc w:val="left"/>
              <w:rPr>
                <w:sz w:val="16"/>
                <w:szCs w:val="16"/>
              </w:rPr>
            </w:pPr>
            <w:r w:rsidRPr="003570D0">
              <w:rPr>
                <w:sz w:val="16"/>
                <w:szCs w:val="16"/>
              </w:rPr>
              <w:t xml:space="preserve">9 </w:t>
            </w:r>
            <w:r w:rsidR="004B7F46" w:rsidRPr="003570D0">
              <w:rPr>
                <w:sz w:val="16"/>
                <w:szCs w:val="16"/>
              </w:rPr>
              <w:t>Market access</w:t>
            </w:r>
          </w:p>
        </w:tc>
        <w:tc>
          <w:tcPr>
            <w:tcW w:w="3198" w:type="pct"/>
          </w:tcPr>
          <w:p w14:paraId="6FB52934" w14:textId="1A34DE22" w:rsidR="00D404A3" w:rsidRPr="003570D0" w:rsidRDefault="004B7F46" w:rsidP="003E5236">
            <w:pPr>
              <w:spacing w:after="80" w:line="240" w:lineRule="auto"/>
              <w:ind w:left="0" w:right="88"/>
              <w:rPr>
                <w:sz w:val="16"/>
                <w:szCs w:val="16"/>
              </w:rPr>
            </w:pPr>
            <w:r w:rsidRPr="003570D0">
              <w:rPr>
                <w:sz w:val="16"/>
                <w:szCs w:val="16"/>
              </w:rPr>
              <w:t>Placement of innovative products</w:t>
            </w:r>
            <w:r w:rsidR="00D404A3" w:rsidRPr="003570D0">
              <w:rPr>
                <w:sz w:val="16"/>
                <w:szCs w:val="16"/>
              </w:rPr>
              <w:t>, including re-localisations and interregional investments</w:t>
            </w:r>
            <w:r w:rsidR="003E5236" w:rsidRPr="003570D0">
              <w:rPr>
                <w:sz w:val="16"/>
                <w:szCs w:val="16"/>
              </w:rPr>
              <w:t xml:space="preserve"> (</w:t>
            </w:r>
            <w:r w:rsidR="00D404A3" w:rsidRPr="003570D0">
              <w:rPr>
                <w:sz w:val="16"/>
                <w:szCs w:val="16"/>
              </w:rPr>
              <w:t>BRIDGES</w:t>
            </w:r>
            <w:r w:rsidR="003E5236" w:rsidRPr="003570D0">
              <w:rPr>
                <w:sz w:val="16"/>
                <w:szCs w:val="16"/>
              </w:rPr>
              <w:t>)</w:t>
            </w:r>
          </w:p>
        </w:tc>
      </w:tr>
    </w:tbl>
    <w:p w14:paraId="40EC58E5" w14:textId="1F6882D0" w:rsidR="006A4BB0" w:rsidRPr="003570D0" w:rsidRDefault="006A4BB0" w:rsidP="00780107"/>
    <w:p w14:paraId="00EFCE2D" w14:textId="77777777" w:rsidR="00A009EF" w:rsidRPr="003570D0" w:rsidRDefault="00A009EF" w:rsidP="001D38F6">
      <w:pPr>
        <w:spacing w:after="0"/>
      </w:pPr>
      <w:r w:rsidRPr="003570D0">
        <w:t>By considering the list of the mapped motivations in some depth, we note that</w:t>
      </w:r>
    </w:p>
    <w:p w14:paraId="31EF118A" w14:textId="09D9C792" w:rsidR="00727E14" w:rsidRPr="003570D0" w:rsidRDefault="0097215A" w:rsidP="00906445">
      <w:pPr>
        <w:pStyle w:val="ListBullet5"/>
      </w:pPr>
      <w:r w:rsidRPr="003570D0">
        <w:t>The application domains of e</w:t>
      </w:r>
      <w:r w:rsidR="00A009EF" w:rsidRPr="003570D0">
        <w:t xml:space="preserve">ight (8) out of nine (9) types of motivations [1,2,4,5,6,7,8,9] could have been anticipated had there been systematic efforts </w:t>
      </w:r>
      <w:r w:rsidRPr="003570D0">
        <w:t>to identify interregional complementarities earlier. If this had been done as an independent activity during the RIS3 planning stage,</w:t>
      </w:r>
      <w:r w:rsidR="001D38F6" w:rsidRPr="003570D0">
        <w:t xml:space="preserve"> or even during the RIS3 delivery stage, </w:t>
      </w:r>
      <w:r w:rsidRPr="003570D0">
        <w:t>then the implementation would require only specification of pre-identified domains, probably leading to better accuracy and effectiveness of measures.</w:t>
      </w:r>
    </w:p>
    <w:p w14:paraId="222C3B6A" w14:textId="0690EB99" w:rsidR="0097215A" w:rsidRPr="003570D0" w:rsidRDefault="0097215A" w:rsidP="00906445">
      <w:pPr>
        <w:pStyle w:val="ListBullet5"/>
      </w:pPr>
      <w:r w:rsidRPr="003570D0">
        <w:t xml:space="preserve">Motivation type 3 </w:t>
      </w:r>
      <w:r w:rsidR="001D38F6" w:rsidRPr="003570D0">
        <w:t>and partially 7 (linkages to EDP</w:t>
      </w:r>
      <w:r w:rsidR="00460602" w:rsidRPr="003570D0">
        <w:t xml:space="preserve"> -BRIDGES</w:t>
      </w:r>
      <w:r w:rsidR="001D38F6" w:rsidRPr="003570D0">
        <w:t>) indicate the importance of reaching out to new knowledge resources, some of which could be too new to be anticipated anteriorly. The example of the CEN 35</w:t>
      </w:r>
      <w:r w:rsidR="003D305D" w:rsidRPr="003570D0">
        <w:t>0 &amp; 35</w:t>
      </w:r>
      <w:r w:rsidR="001D38F6" w:rsidRPr="003570D0">
        <w:t xml:space="preserve">1 </w:t>
      </w:r>
      <w:r w:rsidR="00460602" w:rsidRPr="003570D0">
        <w:t xml:space="preserve">voluntary </w:t>
      </w:r>
      <w:r w:rsidR="001D38F6" w:rsidRPr="003570D0">
        <w:t>standard in construction</w:t>
      </w:r>
      <w:r w:rsidR="00460602" w:rsidRPr="003570D0">
        <w:t xml:space="preserve"> that was adopted by Kainuu public procurement</w:t>
      </w:r>
      <w:r w:rsidR="003D305D" w:rsidRPr="003570D0">
        <w:t xml:space="preserve"> regulation</w:t>
      </w:r>
      <w:r w:rsidR="00460602" w:rsidRPr="003570D0">
        <w:t xml:space="preserve"> (FRESH), was such an example. It implies that RIS3 (and not only RIS3) should anticipate options for state of the art, advanced inputs, to regional development decision making.</w:t>
      </w:r>
    </w:p>
    <w:p w14:paraId="7AB6241D" w14:textId="2FCFD933" w:rsidR="009D567E" w:rsidRPr="003570D0" w:rsidRDefault="00953FAB" w:rsidP="0050421E">
      <w:pPr>
        <w:pStyle w:val="ListBullet5"/>
      </w:pPr>
      <w:r w:rsidRPr="003570D0">
        <w:t>The application domains of motivation types 6 and 7</w:t>
      </w:r>
      <w:r w:rsidR="00906445" w:rsidRPr="003570D0">
        <w:t xml:space="preserve"> introduce one more strategic issue, i.e., aligning interregional complementarities with RIS3 provisions and implementation, because they relate value chains to </w:t>
      </w:r>
      <w:r w:rsidR="00EB2322" w:rsidRPr="003570D0">
        <w:t xml:space="preserve">industrial policy, localised initiatives, and interregional expansion. This has been the focus of the value chain approach till now, in the BRIDGES project and BERRY+ initiative.  BRIDGES project developed invested in value chain mapping in terms of participating technologies and then developed a simple methodology for linking the value chain maps to regional competitive advantage, as a proxy for identifying technological strengths </w:t>
      </w:r>
      <w:r w:rsidR="000B1FFB" w:rsidRPr="003570D0">
        <w:t>to</w:t>
      </w:r>
      <w:r w:rsidR="00EB2322" w:rsidRPr="003570D0">
        <w:t xml:space="preserve"> focusing re-shoring and in-shoring initiatives &amp; associated regional policy making. </w:t>
      </w:r>
      <w:r w:rsidR="000B1FFB" w:rsidRPr="003570D0">
        <w:t xml:space="preserve">This exercise is currently (December 2021) on going and results are expected by May 2022. In any case, value chain participation is a priority </w:t>
      </w:r>
      <w:r w:rsidR="00536203" w:rsidRPr="003570D0">
        <w:t xml:space="preserve">according </w:t>
      </w:r>
      <w:r w:rsidR="00536203" w:rsidRPr="003570D0">
        <w:lastRenderedPageBreak/>
        <w:t>to EU’s New industrial strategy</w:t>
      </w:r>
      <w:r w:rsidR="00536203" w:rsidRPr="003570D0">
        <w:rPr>
          <w:rStyle w:val="FootnoteReference"/>
        </w:rPr>
        <w:footnoteReference w:id="42"/>
      </w:r>
      <w:r w:rsidR="00831433" w:rsidRPr="003570D0">
        <w:t xml:space="preserve"> and the need for industrial autonomy. </w:t>
      </w:r>
      <w:r w:rsidR="009D567E" w:rsidRPr="003570D0">
        <w:t xml:space="preserve">European value chains appear, at this stage, as the backbone of industry. </w:t>
      </w:r>
      <w:r w:rsidR="000F259A" w:rsidRPr="003570D0">
        <w:t>P</w:t>
      </w:r>
      <w:r w:rsidR="00831433" w:rsidRPr="003570D0">
        <w:t>rioritised, existing &amp; emerging value chains should be identified at policy planning stage</w:t>
      </w:r>
      <w:r w:rsidR="009D567E" w:rsidRPr="003570D0">
        <w:t xml:space="preserve">, </w:t>
      </w:r>
      <w:r w:rsidR="000F259A" w:rsidRPr="003570D0">
        <w:t>and targeted measures should included into the RIS3 operationalisation and associated measures.</w:t>
      </w:r>
      <w:r w:rsidR="009D567E" w:rsidRPr="003570D0">
        <w:t xml:space="preserve"> </w:t>
      </w:r>
    </w:p>
    <w:p w14:paraId="7CD0F617" w14:textId="33E29892" w:rsidR="00034038" w:rsidRPr="003570D0" w:rsidRDefault="00272431" w:rsidP="004D200B">
      <w:r w:rsidRPr="003570D0">
        <w:t xml:space="preserve">A second finding regards the conditions of feasibility for successfully exploring interregional complementarities. </w:t>
      </w:r>
      <w:r w:rsidR="00E8310E" w:rsidRPr="003570D0">
        <w:t>The most essential</w:t>
      </w:r>
      <w:r w:rsidR="00EC49A5" w:rsidRPr="003570D0">
        <w:t xml:space="preserve"> condition</w:t>
      </w:r>
      <w:r w:rsidR="00E8310E" w:rsidRPr="003570D0">
        <w:t xml:space="preserve"> is the commitment of regional policy makers. In our understanding, this depends, above all, on quantifiable evidence of the expected benefits resulting from interregional initiatives. </w:t>
      </w:r>
      <w:r w:rsidR="00034038" w:rsidRPr="003570D0">
        <w:t xml:space="preserve">To identify this, one should consider two parametres: (i) the methodologies by which interregional complementarities are identified and (ii) the expected benefits. </w:t>
      </w:r>
    </w:p>
    <w:p w14:paraId="61B4154F" w14:textId="6D3DE586" w:rsidR="00034038" w:rsidRPr="003570D0" w:rsidRDefault="00034038" w:rsidP="00497817">
      <w:pPr>
        <w:pStyle w:val="ListBullet5"/>
        <w:numPr>
          <w:ilvl w:val="0"/>
          <w:numId w:val="31"/>
        </w:numPr>
      </w:pPr>
      <w:r w:rsidRPr="003570D0">
        <w:t>Methodologies for anticipating and identifying interregional complementarities are important</w:t>
      </w:r>
      <w:r w:rsidR="00235EBF" w:rsidRPr="003570D0">
        <w:t xml:space="preserve"> because they should be a base, a mechanism for bilateral growth, i.e. they should go beyond mapping of excellences. It is through the ClusSpport S3 that this aspect has been initially revealed. </w:t>
      </w:r>
      <w:r w:rsidR="00120CB6" w:rsidRPr="003570D0">
        <w:t xml:space="preserve">Through the eight initiatives we have identified that there can be different perspectives: complementarities based on trade and potential economic exchanges, cluster coordination, value chains exploring technological relatedness and related competitive advantage. We consider all of them </w:t>
      </w:r>
      <w:r w:rsidR="00F152A0" w:rsidRPr="003570D0">
        <w:t>important because</w:t>
      </w:r>
      <w:r w:rsidR="00120CB6" w:rsidRPr="003570D0">
        <w:t xml:space="preserve"> they can</w:t>
      </w:r>
      <w:r w:rsidR="00F152A0" w:rsidRPr="003570D0">
        <w:t>/do</w:t>
      </w:r>
      <w:r w:rsidR="00120CB6" w:rsidRPr="003570D0">
        <w:t xml:space="preserve"> drive growth. </w:t>
      </w:r>
      <w:r w:rsidR="00F152A0" w:rsidRPr="003570D0">
        <w:t>Market access and placement of innovative products in markets are very important parametres, and they have been cited as priorities in various occasions by partners.</w:t>
      </w:r>
      <w:r w:rsidR="00FA7B56" w:rsidRPr="003570D0">
        <w:t xml:space="preserve"> </w:t>
      </w:r>
      <w:r w:rsidR="00120CB6" w:rsidRPr="003570D0">
        <w:t>Trade and economic exchanges are not new, they are</w:t>
      </w:r>
      <w:r w:rsidR="00F84821" w:rsidRPr="003570D0">
        <w:t xml:space="preserve"> as old as history, and they are</w:t>
      </w:r>
      <w:r w:rsidR="00120CB6" w:rsidRPr="003570D0">
        <w:t xml:space="preserve"> on-going. But they often produce asymmetries which might turn into structural challenges for certain regions. We consider important that trade and innovation-based growth go hand-in-hand to ensure symmetrical results, win-win </w:t>
      </w:r>
      <w:r w:rsidR="00DE666A" w:rsidRPr="003570D0">
        <w:t>collaboration contexts. From this point of view, technological relatedness, together with value chain mapping and identification of competitive advantage appear to be very important</w:t>
      </w:r>
      <w:r w:rsidR="00F84821" w:rsidRPr="003570D0">
        <w:t xml:space="preserve"> starting points</w:t>
      </w:r>
      <w:r w:rsidR="00DE666A" w:rsidRPr="003570D0">
        <w:t>. Cluster collaborations can</w:t>
      </w:r>
      <w:r w:rsidR="00F84821" w:rsidRPr="003570D0">
        <w:t>/should</w:t>
      </w:r>
      <w:r w:rsidR="00DE666A" w:rsidRPr="003570D0">
        <w:t xml:space="preserve"> serve to explore technological relatedness-based complementarities.</w:t>
      </w:r>
    </w:p>
    <w:p w14:paraId="4218CB98" w14:textId="1CA85377" w:rsidR="00DF2B63" w:rsidRPr="003570D0" w:rsidRDefault="00E8310E" w:rsidP="00497817">
      <w:pPr>
        <w:pStyle w:val="ListBullet5"/>
        <w:numPr>
          <w:ilvl w:val="0"/>
          <w:numId w:val="31"/>
        </w:numPr>
      </w:pPr>
      <w:r w:rsidRPr="003570D0">
        <w:t xml:space="preserve">A potential collaboration becomes strategic when its anticipated impacts and range of interactions </w:t>
      </w:r>
      <w:r w:rsidR="00FA7B56" w:rsidRPr="003570D0">
        <w:t>are</w:t>
      </w:r>
      <w:r w:rsidRPr="003570D0">
        <w:t xml:space="preserve"> provably significant </w:t>
      </w:r>
      <w:r w:rsidR="00DF2B63" w:rsidRPr="003570D0">
        <w:t>in regard to</w:t>
      </w:r>
      <w:r w:rsidRPr="003570D0">
        <w:t xml:space="preserve"> a regional economy. </w:t>
      </w:r>
      <w:r w:rsidR="00F152A0" w:rsidRPr="003570D0">
        <w:t>Market aspects were referred to above. However, p</w:t>
      </w:r>
      <w:r w:rsidR="00EC49A5" w:rsidRPr="003570D0">
        <w:t>redictable and coherent supply side i</w:t>
      </w:r>
      <w:r w:rsidR="00DF2B63" w:rsidRPr="003570D0">
        <w:t>mpacts</w:t>
      </w:r>
      <w:r w:rsidR="00EC49A5" w:rsidRPr="003570D0">
        <w:t xml:space="preserve"> are as important:</w:t>
      </w:r>
      <w:r w:rsidR="00DF2B63" w:rsidRPr="003570D0">
        <w:t xml:space="preserve"> the economic model of regions can be diverse, and it should be clear how </w:t>
      </w:r>
      <w:r w:rsidR="00FA7B56" w:rsidRPr="003570D0">
        <w:t xml:space="preserve">interregional complementarities achieve such impacts. </w:t>
      </w:r>
      <w:r w:rsidR="00DF2B63" w:rsidRPr="003570D0">
        <w:t>Motivation types 6 and 7 (Table 2) refer to this issue. For example, by exchanging with partner regions we found that for some regions, interregional complementarities will potentially contribute to further specialisation of related products &amp; research results, contributing to economies of scope.</w:t>
      </w:r>
      <w:r w:rsidR="009D04E0" w:rsidRPr="003570D0">
        <w:t xml:space="preserve"> We identified that this type of development impact can be relevant to advanced and less advanced regions</w:t>
      </w:r>
      <w:r w:rsidR="00DF2B63" w:rsidRPr="003570D0">
        <w:t xml:space="preserve">. </w:t>
      </w:r>
      <w:r w:rsidR="00EC49A5" w:rsidRPr="003570D0">
        <w:t>In other cases, interregional complementarities can contribute to radical diversifications and scaling up, and this can imply reinforced economies of scale</w:t>
      </w:r>
      <w:r w:rsidR="00034038" w:rsidRPr="003570D0">
        <w:t xml:space="preserve">, </w:t>
      </w:r>
      <w:r w:rsidR="009D04E0" w:rsidRPr="003570D0">
        <w:t xml:space="preserve">and this could be relevant to transition regions, </w:t>
      </w:r>
      <w:r w:rsidR="00034038" w:rsidRPr="003570D0">
        <w:t xml:space="preserve">which eventually will pave the path for scaled up regional specialisations. </w:t>
      </w:r>
      <w:r w:rsidR="00DE666A" w:rsidRPr="003570D0">
        <w:t>We also observed overlaps between specialisation and diversification impacts.</w:t>
      </w:r>
      <w:r w:rsidR="009D04E0" w:rsidRPr="003570D0">
        <w:t xml:space="preserve"> Understanding linkages to regional economic development models, implies better alignment of interregional complementarities with regional development initiatives.</w:t>
      </w:r>
    </w:p>
    <w:p w14:paraId="484C4D24" w14:textId="0BAB1BB6" w:rsidR="000E15B2" w:rsidRPr="003570D0" w:rsidRDefault="00DE666A" w:rsidP="00472B21">
      <w:r w:rsidRPr="003570D0">
        <w:t xml:space="preserve">A third </w:t>
      </w:r>
      <w:r w:rsidR="005432B0" w:rsidRPr="003570D0">
        <w:t>finding</w:t>
      </w:r>
      <w:r w:rsidRPr="003570D0">
        <w:t xml:space="preserve"> regards timing</w:t>
      </w:r>
      <w:r w:rsidR="005432B0" w:rsidRPr="003570D0">
        <w:t xml:space="preserve"> and method</w:t>
      </w:r>
      <w:r w:rsidRPr="003570D0">
        <w:t xml:space="preserve">: </w:t>
      </w:r>
      <w:r w:rsidR="008D5093" w:rsidRPr="003570D0">
        <w:t xml:space="preserve">when should we consider interregional </w:t>
      </w:r>
      <w:r w:rsidR="00F152A0" w:rsidRPr="003570D0">
        <w:t xml:space="preserve">complementarities to enhance the RIS3 potential? Our finding is that the best is to anticipate them at policy planning or revision </w:t>
      </w:r>
      <w:r w:rsidR="00F152A0" w:rsidRPr="003570D0">
        <w:lastRenderedPageBreak/>
        <w:t xml:space="preserve">stage. </w:t>
      </w:r>
      <w:r w:rsidR="009D04E0" w:rsidRPr="003570D0">
        <w:t xml:space="preserve">The approach proposed by </w:t>
      </w:r>
      <w:hyperlink w:anchor="_Balland_P-A,_and" w:history="1">
        <w:r w:rsidR="000E15B2" w:rsidRPr="003570D0">
          <w:rPr>
            <w:rStyle w:val="Hyperlink"/>
            <w:sz w:val="18"/>
            <w:szCs w:val="24"/>
          </w:rPr>
          <w:t>Balland &amp; Boschma 2019</w:t>
        </w:r>
      </w:hyperlink>
      <w:r w:rsidR="000E15B2" w:rsidRPr="003570D0">
        <w:t xml:space="preserve">  discussed in the </w:t>
      </w:r>
      <w:hyperlink w:anchor="_Interregional_complementarities" w:history="1">
        <w:r w:rsidR="000E15B2" w:rsidRPr="003570D0">
          <w:rPr>
            <w:rStyle w:val="Hyperlink"/>
            <w:sz w:val="18"/>
            <w:szCs w:val="24"/>
          </w:rPr>
          <w:t>Interregional complementarities</w:t>
        </w:r>
      </w:hyperlink>
      <w:r w:rsidR="000E15B2" w:rsidRPr="003570D0">
        <w:t xml:space="preserve">  section provides a clear methodology, based on </w:t>
      </w:r>
      <w:r w:rsidR="003F4CBB" w:rsidRPr="003570D0">
        <w:t xml:space="preserve">technological relatedness of </w:t>
      </w:r>
      <w:r w:rsidR="000E15B2" w:rsidRPr="003570D0">
        <w:t xml:space="preserve">technologies that are constitutive parts of patents related to specific </w:t>
      </w:r>
      <w:r w:rsidR="00D00B0C" w:rsidRPr="003570D0">
        <w:t>domains</w:t>
      </w:r>
      <w:r w:rsidR="00D00B0C" w:rsidRPr="003570D0">
        <w:rPr>
          <w:rStyle w:val="FootnoteReference"/>
        </w:rPr>
        <w:footnoteReference w:id="43"/>
      </w:r>
      <w:r w:rsidR="000E15B2" w:rsidRPr="003570D0">
        <w:t>.</w:t>
      </w:r>
      <w:r w:rsidR="00D00B0C" w:rsidRPr="003570D0">
        <w:t xml:space="preserve"> The concept</w:t>
      </w:r>
      <w:r w:rsidR="00472B21" w:rsidRPr="003570D0">
        <w:t>s</w:t>
      </w:r>
      <w:r w:rsidR="00D00B0C" w:rsidRPr="003570D0">
        <w:t xml:space="preserve"> of product space</w:t>
      </w:r>
      <w:r w:rsidR="003F4CBB" w:rsidRPr="003570D0">
        <w:t xml:space="preserve"> </w:t>
      </w:r>
      <w:r w:rsidR="00472B21" w:rsidRPr="003570D0">
        <w:t>&amp; complexity (</w:t>
      </w:r>
      <w:hyperlink w:anchor="_Hidalgo,_C._A.," w:tooltip="Product space" w:history="1">
        <w:r w:rsidR="00472B21" w:rsidRPr="003570D0">
          <w:rPr>
            <w:rStyle w:val="Hyperlink"/>
            <w:szCs w:val="16"/>
          </w:rPr>
          <w:t>Hidalgo et al. 2007</w:t>
        </w:r>
      </w:hyperlink>
      <w:r w:rsidR="00472B21" w:rsidRPr="003570D0">
        <w:rPr>
          <w:sz w:val="16"/>
          <w:szCs w:val="16"/>
        </w:rPr>
        <w:t xml:space="preserve"> &amp;  </w:t>
      </w:r>
      <w:hyperlink w:anchor="_Hidalgo,_C.,_&amp;" w:history="1">
        <w:r w:rsidR="00472B21" w:rsidRPr="003570D0">
          <w:rPr>
            <w:rStyle w:val="Hyperlink"/>
            <w:szCs w:val="16"/>
          </w:rPr>
          <w:t>Hidalgo et al. 2009</w:t>
        </w:r>
      </w:hyperlink>
      <w:r w:rsidR="00472B21" w:rsidRPr="003570D0">
        <w:rPr>
          <w:sz w:val="16"/>
          <w:szCs w:val="16"/>
        </w:rPr>
        <w:t>)</w:t>
      </w:r>
      <w:r w:rsidR="00472B21" w:rsidRPr="003570D0">
        <w:t xml:space="preserve"> are </w:t>
      </w:r>
      <w:r w:rsidR="00D00B0C" w:rsidRPr="003570D0">
        <w:t>applied to identify regional peak</w:t>
      </w:r>
      <w:r w:rsidR="00472B21" w:rsidRPr="003570D0">
        <w:t xml:space="preserve">s and build interregional collaborations and programmes </w:t>
      </w:r>
      <w:r w:rsidR="000E15B2" w:rsidRPr="003570D0">
        <w:t xml:space="preserve">The value chain mapping methodology developed through the BERRY+ and the </w:t>
      </w:r>
      <w:r w:rsidR="00D00B0C" w:rsidRPr="003570D0">
        <w:t>B</w:t>
      </w:r>
      <w:r w:rsidR="000E15B2" w:rsidRPr="003570D0">
        <w:t>ridges Phase 3</w:t>
      </w:r>
      <w:r w:rsidR="00D00B0C" w:rsidRPr="003570D0">
        <w:t>, is based on technology-based value chain analysis</w:t>
      </w:r>
      <w:r w:rsidR="003F4CBB" w:rsidRPr="003570D0">
        <w:t>, matching t</w:t>
      </w:r>
      <w:r w:rsidR="00472B21" w:rsidRPr="003570D0">
        <w:t xml:space="preserve">o relevant regional strengths, </w:t>
      </w:r>
      <w:r w:rsidR="0017543A" w:rsidRPr="003570D0">
        <w:t>and based on that to seek interregional complementarity based partnerships.</w:t>
      </w:r>
      <w:r w:rsidR="003F4CBB" w:rsidRPr="003570D0">
        <w:t xml:space="preserve"> </w:t>
      </w:r>
      <w:r w:rsidR="00860649" w:rsidRPr="003570D0">
        <w:t xml:space="preserve">Table 2, below, attempts to bring together the two approaches. </w:t>
      </w:r>
    </w:p>
    <w:p w14:paraId="32C9D71D" w14:textId="45E5CBAD" w:rsidR="00D00B0C" w:rsidRPr="003570D0" w:rsidRDefault="00D00B0C" w:rsidP="00D00B0C">
      <w:pPr>
        <w:pStyle w:val="Caption"/>
      </w:pPr>
      <w:r w:rsidRPr="003570D0">
        <w:t xml:space="preserve">Table </w:t>
      </w:r>
      <w:r w:rsidRPr="003570D0">
        <w:fldChar w:fldCharType="begin"/>
      </w:r>
      <w:r w:rsidRPr="003570D0">
        <w:instrText xml:space="preserve"> SEQ Table \* ARABIC </w:instrText>
      </w:r>
      <w:r w:rsidRPr="003570D0">
        <w:fldChar w:fldCharType="separate"/>
      </w:r>
      <w:r w:rsidR="004C3C8A" w:rsidRPr="003570D0">
        <w:t>2</w:t>
      </w:r>
      <w:r w:rsidRPr="003570D0">
        <w:fldChar w:fldCharType="end"/>
      </w:r>
      <w:r w:rsidRPr="003570D0">
        <w:t xml:space="preserve"> Anticipating and identifying interregional complementarities </w:t>
      </w:r>
    </w:p>
    <w:tbl>
      <w:tblPr>
        <w:tblStyle w:val="TableGrid"/>
        <w:tblW w:w="4683" w:type="pct"/>
        <w:tblInd w:w="284" w:type="dxa"/>
        <w:tblLook w:val="04A0" w:firstRow="1" w:lastRow="0" w:firstColumn="1" w:lastColumn="0" w:noHBand="0" w:noVBand="1"/>
      </w:tblPr>
      <w:tblGrid>
        <w:gridCol w:w="2548"/>
        <w:gridCol w:w="6096"/>
      </w:tblGrid>
      <w:tr w:rsidR="00F31FDC" w:rsidRPr="003570D0" w14:paraId="36B0D72A" w14:textId="77777777" w:rsidTr="00620822">
        <w:trPr>
          <w:tblHeader/>
        </w:trPr>
        <w:tc>
          <w:tcPr>
            <w:tcW w:w="5000" w:type="pct"/>
            <w:gridSpan w:val="2"/>
            <w:tcBorders>
              <w:bottom w:val="single" w:sz="2" w:space="0" w:color="auto"/>
            </w:tcBorders>
            <w:shd w:val="clear" w:color="auto" w:fill="F2F2F2" w:themeFill="background1" w:themeFillShade="F2"/>
          </w:tcPr>
          <w:p w14:paraId="4B73DB4C" w14:textId="32DECA5B" w:rsidR="00F31FDC" w:rsidRPr="003570D0" w:rsidRDefault="00F31FDC" w:rsidP="009A735D">
            <w:pPr>
              <w:spacing w:after="0" w:line="276" w:lineRule="auto"/>
              <w:ind w:left="0" w:right="88"/>
              <w:rPr>
                <w:b/>
                <w:bCs/>
                <w:sz w:val="16"/>
                <w:szCs w:val="16"/>
              </w:rPr>
            </w:pPr>
            <w:r w:rsidRPr="003570D0">
              <w:rPr>
                <w:b/>
                <w:bCs/>
                <w:sz w:val="16"/>
                <w:szCs w:val="16"/>
              </w:rPr>
              <w:t>Anticipating interregional complementarities</w:t>
            </w:r>
          </w:p>
        </w:tc>
      </w:tr>
      <w:tr w:rsidR="00620822" w:rsidRPr="003570D0" w14:paraId="178CB8EF" w14:textId="77777777" w:rsidTr="00620822">
        <w:trPr>
          <w:tblHeader/>
        </w:trPr>
        <w:tc>
          <w:tcPr>
            <w:tcW w:w="1474" w:type="pct"/>
            <w:tcBorders>
              <w:bottom w:val="dotted" w:sz="4" w:space="0" w:color="BFBFBF" w:themeColor="background1" w:themeShade="BF"/>
            </w:tcBorders>
            <w:shd w:val="clear" w:color="auto" w:fill="F8F8F8"/>
          </w:tcPr>
          <w:p w14:paraId="044E3FE4" w14:textId="25AEC11B" w:rsidR="00620822" w:rsidRPr="003570D0" w:rsidRDefault="00620822" w:rsidP="009A735D">
            <w:pPr>
              <w:spacing w:after="0" w:line="276" w:lineRule="auto"/>
              <w:ind w:left="0" w:right="137"/>
              <w:jc w:val="left"/>
              <w:rPr>
                <w:b/>
                <w:bCs/>
                <w:sz w:val="16"/>
                <w:szCs w:val="16"/>
              </w:rPr>
            </w:pPr>
            <w:r w:rsidRPr="003570D0">
              <w:rPr>
                <w:b/>
                <w:bCs/>
                <w:sz w:val="16"/>
                <w:szCs w:val="16"/>
              </w:rPr>
              <w:t xml:space="preserve">Method </w:t>
            </w:r>
          </w:p>
        </w:tc>
        <w:tc>
          <w:tcPr>
            <w:tcW w:w="3526" w:type="pct"/>
            <w:tcBorders>
              <w:bottom w:val="dotted" w:sz="4" w:space="0" w:color="BFBFBF" w:themeColor="background1" w:themeShade="BF"/>
            </w:tcBorders>
            <w:shd w:val="clear" w:color="auto" w:fill="F8F8F8"/>
          </w:tcPr>
          <w:p w14:paraId="48F5C4D3" w14:textId="6AB7163D" w:rsidR="00620822" w:rsidRPr="003570D0" w:rsidRDefault="00620822" w:rsidP="009A735D">
            <w:pPr>
              <w:spacing w:after="0" w:line="276" w:lineRule="auto"/>
              <w:ind w:left="0" w:right="88"/>
              <w:rPr>
                <w:b/>
                <w:bCs/>
                <w:sz w:val="16"/>
                <w:szCs w:val="16"/>
              </w:rPr>
            </w:pPr>
            <w:r w:rsidRPr="003570D0">
              <w:rPr>
                <w:b/>
                <w:bCs/>
                <w:sz w:val="16"/>
                <w:szCs w:val="16"/>
              </w:rPr>
              <w:t xml:space="preserve">Path and </w:t>
            </w:r>
            <w:r w:rsidR="00E32CDB" w:rsidRPr="003570D0">
              <w:rPr>
                <w:b/>
                <w:bCs/>
                <w:sz w:val="16"/>
                <w:szCs w:val="16"/>
              </w:rPr>
              <w:t>application</w:t>
            </w:r>
          </w:p>
        </w:tc>
      </w:tr>
      <w:tr w:rsidR="00620822" w:rsidRPr="003570D0" w14:paraId="6A050BB8" w14:textId="77777777" w:rsidTr="00620822">
        <w:tc>
          <w:tcPr>
            <w:tcW w:w="1474" w:type="pct"/>
            <w:tcBorders>
              <w:top w:val="dotted" w:sz="4" w:space="0" w:color="BFBFBF" w:themeColor="background1" w:themeShade="BF"/>
              <w:bottom w:val="dotted" w:sz="4" w:space="0" w:color="BFBFBF" w:themeColor="background1" w:themeShade="BF"/>
            </w:tcBorders>
          </w:tcPr>
          <w:p w14:paraId="0C9F59FB" w14:textId="356E96FB" w:rsidR="00620822" w:rsidRPr="003570D0" w:rsidRDefault="00620822" w:rsidP="009A735D">
            <w:pPr>
              <w:spacing w:after="80" w:line="240" w:lineRule="auto"/>
              <w:ind w:left="0" w:right="91"/>
              <w:jc w:val="left"/>
              <w:rPr>
                <w:sz w:val="16"/>
                <w:szCs w:val="16"/>
              </w:rPr>
            </w:pPr>
            <w:r w:rsidRPr="003570D0">
              <w:rPr>
                <w:sz w:val="16"/>
                <w:szCs w:val="16"/>
              </w:rPr>
              <w:t>Technological relatedness (</w:t>
            </w:r>
            <w:hyperlink w:anchor="_Balland_P-A,_and" w:history="1">
              <w:r w:rsidRPr="003570D0">
                <w:rPr>
                  <w:rStyle w:val="Hyperlink"/>
                  <w:szCs w:val="16"/>
                </w:rPr>
                <w:t>Balland &amp; Boschma 2019</w:t>
              </w:r>
            </w:hyperlink>
            <w:r w:rsidRPr="003570D0">
              <w:rPr>
                <w:sz w:val="16"/>
                <w:szCs w:val="16"/>
              </w:rPr>
              <w:t xml:space="preserve">)  </w:t>
            </w:r>
          </w:p>
        </w:tc>
        <w:tc>
          <w:tcPr>
            <w:tcW w:w="3526" w:type="pct"/>
            <w:tcBorders>
              <w:top w:val="dotted" w:sz="4" w:space="0" w:color="BFBFBF" w:themeColor="background1" w:themeShade="BF"/>
              <w:bottom w:val="dotted" w:sz="4" w:space="0" w:color="BFBFBF" w:themeColor="background1" w:themeShade="BF"/>
            </w:tcBorders>
          </w:tcPr>
          <w:p w14:paraId="584BABA7" w14:textId="47C9A77F" w:rsidR="00620822" w:rsidRPr="003570D0" w:rsidRDefault="00620822" w:rsidP="009A735D">
            <w:pPr>
              <w:spacing w:after="80" w:line="240" w:lineRule="auto"/>
              <w:ind w:left="0" w:right="91"/>
              <w:rPr>
                <w:sz w:val="16"/>
                <w:szCs w:val="16"/>
              </w:rPr>
            </w:pPr>
            <w:r w:rsidRPr="003570D0">
              <w:rPr>
                <w:sz w:val="16"/>
                <w:szCs w:val="16"/>
              </w:rPr>
              <w:t>SECTOR SPECIFIC Technologies co-present in patents (statistical analysis)</w:t>
            </w:r>
            <w:r w:rsidRPr="003570D0">
              <w:rPr>
                <w:sz w:val="16"/>
                <w:szCs w:val="16"/>
              </w:rPr>
              <w:sym w:font="Wingdings" w:char="F0E0"/>
            </w:r>
            <w:r w:rsidRPr="003570D0">
              <w:rPr>
                <w:sz w:val="16"/>
                <w:szCs w:val="16"/>
              </w:rPr>
              <w:t xml:space="preserve"> Technology densities (based on the product space </w:t>
            </w:r>
            <w:r w:rsidR="0017543A" w:rsidRPr="003570D0">
              <w:rPr>
                <w:sz w:val="16"/>
                <w:szCs w:val="16"/>
              </w:rPr>
              <w:t xml:space="preserve">&amp; complexity </w:t>
            </w:r>
            <w:r w:rsidRPr="003570D0">
              <w:rPr>
                <w:sz w:val="16"/>
                <w:szCs w:val="16"/>
              </w:rPr>
              <w:t>concept</w:t>
            </w:r>
            <w:r w:rsidR="0017543A" w:rsidRPr="003570D0">
              <w:rPr>
                <w:sz w:val="16"/>
                <w:szCs w:val="16"/>
              </w:rPr>
              <w:t xml:space="preserve">s </w:t>
            </w:r>
            <w:r w:rsidR="0017543A" w:rsidRPr="003570D0">
              <w:t xml:space="preserve"> (</w:t>
            </w:r>
            <w:hyperlink w:anchor="_Hidalgo,_C._A.," w:tooltip="Product space" w:history="1">
              <w:r w:rsidR="0017543A" w:rsidRPr="003570D0">
                <w:rPr>
                  <w:rStyle w:val="Hyperlink"/>
                  <w:szCs w:val="16"/>
                </w:rPr>
                <w:t>Hidalgo et al. 2007</w:t>
              </w:r>
            </w:hyperlink>
            <w:r w:rsidR="0017543A" w:rsidRPr="003570D0">
              <w:rPr>
                <w:sz w:val="16"/>
                <w:szCs w:val="16"/>
              </w:rPr>
              <w:t xml:space="preserve"> &amp;  </w:t>
            </w:r>
            <w:hyperlink w:anchor="_Hidalgo,_C.,_&amp;" w:history="1">
              <w:r w:rsidR="0017543A" w:rsidRPr="003570D0">
                <w:rPr>
                  <w:rStyle w:val="Hyperlink"/>
                  <w:szCs w:val="16"/>
                </w:rPr>
                <w:t>Hidalgo et al. 2009</w:t>
              </w:r>
            </w:hyperlink>
            <w:r w:rsidR="0017543A" w:rsidRPr="003570D0">
              <w:rPr>
                <w:sz w:val="16"/>
                <w:szCs w:val="16"/>
              </w:rPr>
              <w:t>)</w:t>
            </w:r>
            <w:r w:rsidRPr="003570D0">
              <w:rPr>
                <w:sz w:val="16"/>
                <w:szCs w:val="16"/>
              </w:rPr>
              <w:t xml:space="preserve">, </w:t>
            </w:r>
            <w:r w:rsidR="0017543A" w:rsidRPr="003570D0">
              <w:rPr>
                <w:sz w:val="16"/>
                <w:szCs w:val="16"/>
              </w:rPr>
              <w:t>identification of regi</w:t>
            </w:r>
            <w:r w:rsidRPr="003570D0">
              <w:rPr>
                <w:sz w:val="16"/>
                <w:szCs w:val="16"/>
              </w:rPr>
              <w:t xml:space="preserve">onal peaks </w:t>
            </w:r>
            <w:r w:rsidRPr="003570D0">
              <w:rPr>
                <w:sz w:val="16"/>
                <w:szCs w:val="16"/>
              </w:rPr>
              <w:sym w:font="Wingdings" w:char="F0E0"/>
            </w:r>
            <w:r w:rsidRPr="003570D0">
              <w:rPr>
                <w:sz w:val="16"/>
                <w:szCs w:val="16"/>
              </w:rPr>
              <w:t xml:space="preserve"> value chain offers</w:t>
            </w:r>
            <w:r w:rsidR="00472B21" w:rsidRPr="003570D0">
              <w:rPr>
                <w:sz w:val="16"/>
                <w:szCs w:val="16"/>
              </w:rPr>
              <w:t xml:space="preserve"> (co-development &amp; complementarity)</w:t>
            </w:r>
          </w:p>
        </w:tc>
      </w:tr>
      <w:tr w:rsidR="00620822" w:rsidRPr="003570D0" w14:paraId="19A0DA31" w14:textId="77777777" w:rsidTr="00620822">
        <w:tc>
          <w:tcPr>
            <w:tcW w:w="1474" w:type="pct"/>
            <w:tcBorders>
              <w:top w:val="dotted" w:sz="4" w:space="0" w:color="BFBFBF" w:themeColor="background1" w:themeShade="BF"/>
              <w:bottom w:val="single" w:sz="2" w:space="0" w:color="auto"/>
            </w:tcBorders>
          </w:tcPr>
          <w:p w14:paraId="5E9F7AD1" w14:textId="1451816E" w:rsidR="00620822" w:rsidRPr="003570D0" w:rsidRDefault="00620822" w:rsidP="009A735D">
            <w:pPr>
              <w:spacing w:after="80" w:line="240" w:lineRule="auto"/>
              <w:ind w:left="0" w:right="91"/>
              <w:jc w:val="left"/>
              <w:rPr>
                <w:sz w:val="16"/>
                <w:szCs w:val="16"/>
              </w:rPr>
            </w:pPr>
            <w:r w:rsidRPr="003570D0">
              <w:rPr>
                <w:sz w:val="16"/>
                <w:szCs w:val="16"/>
              </w:rPr>
              <w:t>Value chain mapping (BERRY+ &amp; BRIDGES)</w:t>
            </w:r>
          </w:p>
        </w:tc>
        <w:tc>
          <w:tcPr>
            <w:tcW w:w="3526" w:type="pct"/>
            <w:tcBorders>
              <w:top w:val="dotted" w:sz="4" w:space="0" w:color="BFBFBF" w:themeColor="background1" w:themeShade="BF"/>
              <w:bottom w:val="single" w:sz="2" w:space="0" w:color="auto"/>
            </w:tcBorders>
          </w:tcPr>
          <w:p w14:paraId="27379020" w14:textId="779B5B05" w:rsidR="00620822" w:rsidRPr="003570D0" w:rsidRDefault="00620822" w:rsidP="009A735D">
            <w:pPr>
              <w:spacing w:after="80" w:line="240" w:lineRule="auto"/>
              <w:ind w:left="0" w:right="91"/>
              <w:rPr>
                <w:sz w:val="16"/>
                <w:szCs w:val="16"/>
              </w:rPr>
            </w:pPr>
            <w:r w:rsidRPr="003570D0">
              <w:rPr>
                <w:sz w:val="16"/>
                <w:szCs w:val="16"/>
              </w:rPr>
              <w:t xml:space="preserve">SECTOR SPECIFIC Technology -based domain desegregation </w:t>
            </w:r>
            <w:r w:rsidRPr="003570D0">
              <w:rPr>
                <w:sz w:val="16"/>
                <w:szCs w:val="16"/>
              </w:rPr>
              <w:sym w:font="Wingdings" w:char="F0E0"/>
            </w:r>
            <w:r w:rsidRPr="003570D0">
              <w:rPr>
                <w:sz w:val="16"/>
                <w:szCs w:val="16"/>
              </w:rPr>
              <w:t xml:space="preserve"> Matching densities at regional level </w:t>
            </w:r>
            <w:r w:rsidRPr="003570D0">
              <w:rPr>
                <w:sz w:val="16"/>
                <w:szCs w:val="16"/>
              </w:rPr>
              <w:sym w:font="Wingdings" w:char="F0E0"/>
            </w:r>
            <w:r w:rsidRPr="003570D0">
              <w:rPr>
                <w:sz w:val="16"/>
                <w:szCs w:val="16"/>
              </w:rPr>
              <w:t xml:space="preserve"> regional peaks and valleys </w:t>
            </w:r>
            <w:r w:rsidRPr="003570D0">
              <w:rPr>
                <w:sz w:val="16"/>
                <w:szCs w:val="16"/>
              </w:rPr>
              <w:sym w:font="Wingdings" w:char="F0E0"/>
            </w:r>
            <w:r w:rsidRPr="003570D0">
              <w:rPr>
                <w:sz w:val="16"/>
                <w:szCs w:val="16"/>
              </w:rPr>
              <w:t xml:space="preserve"> value chain offers and alignment criteria with regional policy initiatives (re-shoring, in-shoring, near-shoring). </w:t>
            </w:r>
          </w:p>
        </w:tc>
      </w:tr>
      <w:tr w:rsidR="00620822" w:rsidRPr="003570D0" w14:paraId="752D5B88" w14:textId="77777777" w:rsidTr="00620822">
        <w:tc>
          <w:tcPr>
            <w:tcW w:w="5000" w:type="pct"/>
            <w:gridSpan w:val="2"/>
            <w:tcBorders>
              <w:bottom w:val="dotted" w:sz="4" w:space="0" w:color="BFBFBF" w:themeColor="background1" w:themeShade="BF"/>
            </w:tcBorders>
            <w:shd w:val="clear" w:color="auto" w:fill="F8F8F8"/>
          </w:tcPr>
          <w:p w14:paraId="4AA9F51E" w14:textId="3D68940C" w:rsidR="00620822" w:rsidRPr="003570D0" w:rsidRDefault="00620822" w:rsidP="00620822">
            <w:pPr>
              <w:spacing w:after="0" w:line="276" w:lineRule="auto"/>
              <w:ind w:left="0" w:right="137"/>
              <w:jc w:val="left"/>
              <w:rPr>
                <w:b/>
                <w:bCs/>
                <w:sz w:val="16"/>
                <w:szCs w:val="16"/>
              </w:rPr>
            </w:pPr>
            <w:r w:rsidRPr="003570D0">
              <w:rPr>
                <w:b/>
                <w:bCs/>
                <w:sz w:val="16"/>
                <w:szCs w:val="16"/>
              </w:rPr>
              <w:t>Comparison, benefits, barriers, …</w:t>
            </w:r>
          </w:p>
        </w:tc>
      </w:tr>
      <w:tr w:rsidR="00620822" w:rsidRPr="003570D0" w14:paraId="301FE8E7" w14:textId="77777777" w:rsidTr="00620822">
        <w:tc>
          <w:tcPr>
            <w:tcW w:w="5000" w:type="pct"/>
            <w:gridSpan w:val="2"/>
            <w:tcBorders>
              <w:top w:val="dotted" w:sz="4" w:space="0" w:color="BFBFBF" w:themeColor="background1" w:themeShade="BF"/>
            </w:tcBorders>
          </w:tcPr>
          <w:p w14:paraId="317CF470" w14:textId="77777777" w:rsidR="007D6071" w:rsidRPr="003570D0" w:rsidRDefault="00472B21" w:rsidP="00B818DF">
            <w:pPr>
              <w:spacing w:after="80" w:line="240" w:lineRule="auto"/>
              <w:ind w:left="0" w:right="91"/>
              <w:jc w:val="left"/>
              <w:rPr>
                <w:sz w:val="16"/>
                <w:szCs w:val="16"/>
              </w:rPr>
            </w:pPr>
            <w:r w:rsidRPr="003570D0">
              <w:rPr>
                <w:sz w:val="16"/>
                <w:szCs w:val="16"/>
              </w:rPr>
              <w:t xml:space="preserve">The </w:t>
            </w:r>
            <w:r w:rsidR="0017543A" w:rsidRPr="003570D0">
              <w:rPr>
                <w:sz w:val="16"/>
                <w:szCs w:val="16"/>
              </w:rPr>
              <w:t xml:space="preserve">initial motivation and intention of the </w:t>
            </w:r>
            <w:r w:rsidRPr="003570D0">
              <w:rPr>
                <w:sz w:val="16"/>
                <w:szCs w:val="16"/>
              </w:rPr>
              <w:t xml:space="preserve">two approaches </w:t>
            </w:r>
            <w:r w:rsidR="0017543A" w:rsidRPr="003570D0">
              <w:rPr>
                <w:sz w:val="16"/>
                <w:szCs w:val="16"/>
              </w:rPr>
              <w:t xml:space="preserve">is comparable. </w:t>
            </w:r>
            <w:r w:rsidRPr="003570D0">
              <w:rPr>
                <w:sz w:val="16"/>
                <w:szCs w:val="16"/>
              </w:rPr>
              <w:t xml:space="preserve">However, </w:t>
            </w:r>
          </w:p>
          <w:p w14:paraId="5415F272" w14:textId="240D76C8" w:rsidR="007D6071" w:rsidRPr="003570D0" w:rsidRDefault="00BA084F" w:rsidP="00B818DF">
            <w:pPr>
              <w:spacing w:after="80" w:line="240" w:lineRule="auto"/>
              <w:ind w:left="0" w:right="91"/>
              <w:jc w:val="left"/>
              <w:rPr>
                <w:sz w:val="16"/>
                <w:szCs w:val="16"/>
              </w:rPr>
            </w:pPr>
            <w:r w:rsidRPr="003570D0">
              <w:rPr>
                <w:sz w:val="16"/>
                <w:szCs w:val="16"/>
              </w:rPr>
              <w:t xml:space="preserve">-- </w:t>
            </w:r>
            <w:r w:rsidR="0017543A" w:rsidRPr="003570D0">
              <w:rPr>
                <w:sz w:val="16"/>
                <w:szCs w:val="16"/>
              </w:rPr>
              <w:t xml:space="preserve">the former approach, based on patent analysis builds on the relatedness of innovation excellence, and thus links top regions, into complementary as well as joint development collaboration patterns. The challenge posed by this approach </w:t>
            </w:r>
            <w:r w:rsidR="007D6071" w:rsidRPr="003570D0">
              <w:rPr>
                <w:sz w:val="16"/>
                <w:szCs w:val="16"/>
              </w:rPr>
              <w:t>is that it is not considering pre-IPR registered innovations. Such innovations can be important in smaller, transition or less advanced regional contexts.</w:t>
            </w:r>
            <w:r w:rsidRPr="003570D0">
              <w:rPr>
                <w:sz w:val="16"/>
                <w:szCs w:val="16"/>
              </w:rPr>
              <w:t xml:space="preserve"> As already proposed, a proxy for patents might be useful.</w:t>
            </w:r>
          </w:p>
          <w:p w14:paraId="40710A76" w14:textId="77777777" w:rsidR="007E5B26" w:rsidRPr="003570D0" w:rsidRDefault="00BA084F" w:rsidP="00B818DF">
            <w:pPr>
              <w:spacing w:after="80" w:line="240" w:lineRule="auto"/>
              <w:ind w:left="0" w:right="91"/>
              <w:jc w:val="left"/>
              <w:rPr>
                <w:sz w:val="16"/>
                <w:szCs w:val="16"/>
              </w:rPr>
            </w:pPr>
            <w:r w:rsidRPr="003570D0">
              <w:rPr>
                <w:sz w:val="16"/>
                <w:szCs w:val="16"/>
              </w:rPr>
              <w:t>-- t</w:t>
            </w:r>
            <w:r w:rsidR="007D6071" w:rsidRPr="003570D0">
              <w:rPr>
                <w:sz w:val="16"/>
                <w:szCs w:val="16"/>
              </w:rPr>
              <w:t xml:space="preserve">he latter approach, is seeking competitive advantage. It </w:t>
            </w:r>
            <w:r w:rsidRPr="003570D0">
              <w:rPr>
                <w:sz w:val="16"/>
                <w:szCs w:val="16"/>
              </w:rPr>
              <w:t>does</w:t>
            </w:r>
            <w:r w:rsidR="007D6071" w:rsidRPr="003570D0">
              <w:rPr>
                <w:sz w:val="16"/>
                <w:szCs w:val="16"/>
              </w:rPr>
              <w:t xml:space="preserve"> not dea</w:t>
            </w:r>
            <w:r w:rsidRPr="003570D0">
              <w:rPr>
                <w:sz w:val="16"/>
                <w:szCs w:val="16"/>
              </w:rPr>
              <w:t>l</w:t>
            </w:r>
            <w:r w:rsidR="007D6071" w:rsidRPr="003570D0">
              <w:rPr>
                <w:sz w:val="16"/>
                <w:szCs w:val="16"/>
              </w:rPr>
              <w:t xml:space="preserve"> </w:t>
            </w:r>
            <w:r w:rsidRPr="003570D0">
              <w:rPr>
                <w:sz w:val="16"/>
                <w:szCs w:val="16"/>
              </w:rPr>
              <w:t xml:space="preserve">exclusively </w:t>
            </w:r>
            <w:r w:rsidR="007D6071" w:rsidRPr="003570D0">
              <w:rPr>
                <w:sz w:val="16"/>
                <w:szCs w:val="16"/>
              </w:rPr>
              <w:t xml:space="preserve">with technology excellence, because </w:t>
            </w:r>
            <w:r w:rsidRPr="003570D0">
              <w:rPr>
                <w:sz w:val="16"/>
                <w:szCs w:val="16"/>
              </w:rPr>
              <w:t xml:space="preserve">of the awareness that in some regions this might simply not be present &amp; still such regions will need to scale up and improve. To have a chance to link to value chains, knowing their competitive advantage whatever it is, and working on it, is essential. </w:t>
            </w:r>
            <w:r w:rsidR="007E5B26" w:rsidRPr="003570D0">
              <w:rPr>
                <w:sz w:val="16"/>
                <w:szCs w:val="16"/>
              </w:rPr>
              <w:t xml:space="preserve">This approach results in complementarities-based collaboration rather than on joint development options. </w:t>
            </w:r>
          </w:p>
          <w:p w14:paraId="4D4D78CB" w14:textId="5CEB2966" w:rsidR="007D6071" w:rsidRPr="003570D0" w:rsidRDefault="007E5B26" w:rsidP="00B818DF">
            <w:pPr>
              <w:spacing w:after="80" w:line="240" w:lineRule="auto"/>
              <w:ind w:left="0" w:right="91"/>
              <w:jc w:val="left"/>
              <w:rPr>
                <w:sz w:val="16"/>
                <w:szCs w:val="16"/>
              </w:rPr>
            </w:pPr>
            <w:r w:rsidRPr="003570D0">
              <w:rPr>
                <w:sz w:val="16"/>
                <w:szCs w:val="16"/>
              </w:rPr>
              <w:t>Conclusion: Strategically (RIS3 planning stage), applying the former methodology appears more relevant, with the reservation regarding patents. Applying the latter methodology might suit more policy delivery level and could be more inclusive to build on potential relatedness of less advanced or transition regions as well.</w:t>
            </w:r>
          </w:p>
        </w:tc>
      </w:tr>
    </w:tbl>
    <w:p w14:paraId="4C2B7DAA" w14:textId="332AD252" w:rsidR="00CA60A2" w:rsidRPr="003570D0" w:rsidRDefault="00CA60A2" w:rsidP="004D200B"/>
    <w:p w14:paraId="05165EF6" w14:textId="2083B164" w:rsidR="007C5A57" w:rsidRPr="003570D0" w:rsidRDefault="005432B0" w:rsidP="004D200B">
      <w:r w:rsidRPr="003570D0">
        <w:t>A fourth finding regards fun</w:t>
      </w:r>
      <w:r w:rsidR="001549DC" w:rsidRPr="003570D0">
        <w:t>d</w:t>
      </w:r>
      <w:r w:rsidRPr="003570D0">
        <w:t xml:space="preserve">ing. </w:t>
      </w:r>
      <w:r w:rsidR="001A30A4" w:rsidRPr="003570D0">
        <w:t>T</w:t>
      </w:r>
      <w:r w:rsidR="00446154" w:rsidRPr="003570D0">
        <w:t xml:space="preserve">he </w:t>
      </w:r>
      <w:r w:rsidR="001A30A4" w:rsidRPr="003570D0">
        <w:t xml:space="preserve">experience from </w:t>
      </w:r>
      <w:r w:rsidR="00BA43B4" w:rsidRPr="003570D0">
        <w:t xml:space="preserve">the </w:t>
      </w:r>
      <w:r w:rsidR="00446154" w:rsidRPr="003570D0">
        <w:t>three S3 partnerships reveal</w:t>
      </w:r>
      <w:r w:rsidR="001A30A4" w:rsidRPr="003570D0">
        <w:t xml:space="preserve">ed </w:t>
      </w:r>
      <w:r w:rsidR="00446154" w:rsidRPr="003570D0">
        <w:t>funding options require</w:t>
      </w:r>
      <w:r w:rsidR="001A30A4" w:rsidRPr="003570D0">
        <w:t>ments</w:t>
      </w:r>
      <w:r w:rsidR="00446154" w:rsidRPr="003570D0">
        <w:t>: baseline/coordination funding for anticipating, identifying, planning, analysing, specifying the domains of interventions and quantifying their results</w:t>
      </w:r>
      <w:r w:rsidR="001A30A4" w:rsidRPr="003570D0">
        <w:t xml:space="preserve">. When anticipating interregional complementarities, quantification of benefits should be included in the analysis, </w:t>
      </w:r>
      <w:r w:rsidR="003178F2" w:rsidRPr="003570D0">
        <w:t>this is a feasibiltiy guarrantee needed by regional policy makers in view of dedicating funding reources. Policy measures and interregional collaboration concepts would be built according to these data. This w</w:t>
      </w:r>
      <w:r w:rsidR="00BA43B4" w:rsidRPr="003570D0">
        <w:t>ould</w:t>
      </w:r>
      <w:r w:rsidR="003178F2" w:rsidRPr="003570D0">
        <w:t xml:space="preserve"> allow maximising their benefits at delivery stage</w:t>
      </w:r>
      <w:r w:rsidR="00BA43B4" w:rsidRPr="003570D0">
        <w:t>, by concentrating on operations with the highest added value and would ensure alignment &amp; synergy with regional initiatives</w:t>
      </w:r>
      <w:r w:rsidR="003178F2" w:rsidRPr="003570D0">
        <w:t xml:space="preserve">. It also implies that funding provisions of interregional initiatives, dedicated to the extended regional innovation space, would / could be made </w:t>
      </w:r>
      <w:r w:rsidR="00BA43B4" w:rsidRPr="003570D0">
        <w:t>at reduced risk.</w:t>
      </w:r>
      <w:r w:rsidR="00474299" w:rsidRPr="003570D0">
        <w:t xml:space="preserve"> At the present, </w:t>
      </w:r>
      <w:r w:rsidR="00661541" w:rsidRPr="003570D0">
        <w:t xml:space="preserve">funding is one of the most challenging issues. </w:t>
      </w:r>
      <w:r w:rsidR="00860649" w:rsidRPr="003570D0">
        <w:t xml:space="preserve">In the Science Link, Baltic TRAM, BRIDGES and ELMO project </w:t>
      </w:r>
      <w:r w:rsidR="002A6561" w:rsidRPr="003570D0">
        <w:t xml:space="preserve">‘transregional funding instruments’ were available, but the funding came from extraterritorial resources (EU). </w:t>
      </w:r>
      <w:r w:rsidR="00C87F5A" w:rsidRPr="003570D0">
        <w:t xml:space="preserve">At regional </w:t>
      </w:r>
      <w:r w:rsidR="00C87F5A" w:rsidRPr="003570D0">
        <w:lastRenderedPageBreak/>
        <w:t>level, i</w:t>
      </w:r>
      <w:r w:rsidR="00661541" w:rsidRPr="003570D0">
        <w:t xml:space="preserve">t has been </w:t>
      </w:r>
      <w:r w:rsidR="00C87F5A" w:rsidRPr="003570D0">
        <w:t xml:space="preserve">very difficult </w:t>
      </w:r>
      <w:r w:rsidR="00661541" w:rsidRPr="003570D0">
        <w:t>to encourage p</w:t>
      </w:r>
      <w:r w:rsidR="00C87F5A" w:rsidRPr="003570D0">
        <w:t>rogramme area resources to be spent outside the administrative borders</w:t>
      </w:r>
      <w:r w:rsidR="00040163" w:rsidRPr="003570D0">
        <w:t xml:space="preserve"> -for example for piloting new things</w:t>
      </w:r>
      <w:r w:rsidR="00C87F5A" w:rsidRPr="003570D0">
        <w:t>, except in cases of project</w:t>
      </w:r>
      <w:r w:rsidR="00040163" w:rsidRPr="003570D0">
        <w:t>-</w:t>
      </w:r>
      <w:r w:rsidR="00C87F5A" w:rsidRPr="003570D0">
        <w:t xml:space="preserve">specific </w:t>
      </w:r>
      <w:r w:rsidR="00040163" w:rsidRPr="003570D0">
        <w:t>knowledge or technology transfer, and even there have been considerable hesitations and delays</w:t>
      </w:r>
      <w:r w:rsidR="00C87F5A" w:rsidRPr="003570D0">
        <w:t xml:space="preserve">. </w:t>
      </w:r>
      <w:r w:rsidR="00040163" w:rsidRPr="003570D0">
        <w:t xml:space="preserve">As a result, </w:t>
      </w:r>
      <w:r w:rsidR="00C87F5A" w:rsidRPr="003570D0">
        <w:t>our effort</w:t>
      </w:r>
      <w:r w:rsidR="00040163" w:rsidRPr="003570D0">
        <w:t>s</w:t>
      </w:r>
      <w:r w:rsidR="00C87F5A" w:rsidRPr="003570D0">
        <w:t xml:space="preserve"> concentrated </w:t>
      </w:r>
      <w:r w:rsidR="00040163" w:rsidRPr="003570D0">
        <w:t xml:space="preserve">more </w:t>
      </w:r>
      <w:r w:rsidR="00C87F5A" w:rsidRPr="003570D0">
        <w:t xml:space="preserve">on synchronised funding initiatives. However, at national level, we </w:t>
      </w:r>
      <w:r w:rsidR="004D200B" w:rsidRPr="003570D0">
        <w:t xml:space="preserve">identified </w:t>
      </w:r>
      <w:r w:rsidR="00C87F5A" w:rsidRPr="003570D0">
        <w:t xml:space="preserve">national level funding </w:t>
      </w:r>
      <w:r w:rsidR="0090109E" w:rsidRPr="003570D0">
        <w:t>instruments</w:t>
      </w:r>
      <w:r w:rsidR="00C87F5A" w:rsidRPr="003570D0">
        <w:t xml:space="preserve"> among the BERRY+ partners</w:t>
      </w:r>
      <w:r w:rsidR="008D6EA8" w:rsidRPr="003570D0">
        <w:t>:</w:t>
      </w:r>
      <w:r w:rsidR="004D200B" w:rsidRPr="003570D0">
        <w:t xml:space="preserve"> </w:t>
      </w:r>
      <w:r w:rsidR="00C87F5A" w:rsidRPr="003570D0">
        <w:t xml:space="preserve">several member states give space to </w:t>
      </w:r>
      <w:r w:rsidR="004D200B" w:rsidRPr="003570D0">
        <w:t xml:space="preserve">innovation-related interregional spending &amp; </w:t>
      </w:r>
      <w:r w:rsidR="00C87F5A" w:rsidRPr="003570D0">
        <w:t>interactions</w:t>
      </w:r>
      <w:r w:rsidR="00C87F5A" w:rsidRPr="003570D0">
        <w:rPr>
          <w:rStyle w:val="FootnoteReference"/>
        </w:rPr>
        <w:footnoteReference w:id="44"/>
      </w:r>
      <w:r w:rsidR="00C87F5A" w:rsidRPr="003570D0">
        <w:t xml:space="preserve">. </w:t>
      </w:r>
      <w:r w:rsidR="00474299" w:rsidRPr="003570D0">
        <w:t>These options have not been tested yet.</w:t>
      </w:r>
    </w:p>
    <w:p w14:paraId="6E846E9F" w14:textId="7883812A" w:rsidR="004D200B" w:rsidRPr="003570D0" w:rsidRDefault="005432B0" w:rsidP="004D200B">
      <w:r w:rsidRPr="003570D0">
        <w:t xml:space="preserve">A fifth finding regards the necessity for interregional governance, schemes </w:t>
      </w:r>
      <w:r w:rsidR="00474299" w:rsidRPr="003570D0">
        <w:t>and the resources to implement it</w:t>
      </w:r>
      <w:r w:rsidRPr="003570D0">
        <w:t>. A</w:t>
      </w:r>
      <w:r w:rsidR="00474299" w:rsidRPr="003570D0">
        <w:t>s confirmed by several initiatives (Science Link, Baltic TRAM, ELMO, BERRY+, Mining Industries</w:t>
      </w:r>
      <w:r w:rsidR="00240394" w:rsidRPr="003570D0">
        <w:t xml:space="preserve">, Big Five, </w:t>
      </w:r>
      <w:r w:rsidR="00500AA4">
        <w:t>CapREx</w:t>
      </w:r>
      <w:r w:rsidR="00474299" w:rsidRPr="003570D0">
        <w:t>)</w:t>
      </w:r>
      <w:r w:rsidRPr="003570D0">
        <w:t xml:space="preserve">. </w:t>
      </w:r>
      <w:r w:rsidR="00474299" w:rsidRPr="003570D0">
        <w:t xml:space="preserve">Governance will shape </w:t>
      </w:r>
      <w:r w:rsidR="0069284F" w:rsidRPr="003570D0">
        <w:t>an institutionalised extension of the regional ‘programme area’</w:t>
      </w:r>
      <w:r w:rsidR="00935C66" w:rsidRPr="003570D0">
        <w:t xml:space="preserve">, forming </w:t>
      </w:r>
      <w:r w:rsidR="0069284F" w:rsidRPr="003570D0">
        <w:t>a space of more intensive interactions.</w:t>
      </w:r>
      <w:r w:rsidR="00935C66" w:rsidRPr="003570D0">
        <w:t xml:space="preserve"> It would probably imply, inter alia, </w:t>
      </w:r>
      <w:r w:rsidRPr="003570D0">
        <w:t xml:space="preserve">making use of </w:t>
      </w:r>
      <w:r w:rsidR="0069284F" w:rsidRPr="003570D0">
        <w:t>a memorandum of understanding (MoU) or a joint venture agreement between and among concerned regions. This is not usual yet. However, through the S3 partnerships synergy-based MoU approach and the option provided by the I3 call</w:t>
      </w:r>
      <w:r w:rsidR="0012488D" w:rsidRPr="003570D0">
        <w:t xml:space="preserve"> (announced 23.11.2021) which</w:t>
      </w:r>
      <w:r w:rsidR="0069284F" w:rsidRPr="003570D0">
        <w:t xml:space="preserve"> </w:t>
      </w:r>
      <w:r w:rsidR="0012488D" w:rsidRPr="003570D0">
        <w:t>includes joint ventures between partners as eligible to lead I3 initiatives, are paving the way forward.</w:t>
      </w:r>
      <w:r w:rsidR="001549DC" w:rsidRPr="003570D0">
        <w:t xml:space="preserve"> </w:t>
      </w:r>
    </w:p>
    <w:p w14:paraId="66E2CA36" w14:textId="7983D948" w:rsidR="004D200B" w:rsidRPr="003570D0" w:rsidRDefault="003E7978" w:rsidP="00D65756">
      <w:pPr>
        <w:widowControl w:val="0"/>
      </w:pPr>
      <w:r w:rsidRPr="003570D0">
        <w:rPr>
          <w:lang w:eastAsia="de-DE"/>
        </w:rPr>
        <w:t xml:space="preserve">Our final conclusion is that redfinition of the place-based approach as </w:t>
      </w:r>
      <w:r w:rsidR="001549DC" w:rsidRPr="003570D0">
        <w:rPr>
          <w:lang w:eastAsia="de-DE"/>
        </w:rPr>
        <w:t>e</w:t>
      </w:r>
      <w:r w:rsidRPr="003570D0">
        <w:rPr>
          <w:lang w:eastAsia="de-DE"/>
        </w:rPr>
        <w:t xml:space="preserve">videnced by interregional complementarities is highly relevant but will not happen automatically. </w:t>
      </w:r>
      <w:r w:rsidR="00D82CCD" w:rsidRPr="003570D0">
        <w:rPr>
          <w:lang w:eastAsia="de-DE"/>
        </w:rPr>
        <w:t>An implementation roadmap is needed</w:t>
      </w:r>
      <w:r w:rsidR="00D65756" w:rsidRPr="003570D0">
        <w:rPr>
          <w:lang w:eastAsia="de-DE"/>
        </w:rPr>
        <w:t xml:space="preserve"> and its implementation </w:t>
      </w:r>
      <w:r w:rsidR="00F7422A" w:rsidRPr="003570D0">
        <w:rPr>
          <w:lang w:eastAsia="de-DE"/>
        </w:rPr>
        <w:t>w</w:t>
      </w:r>
      <w:r w:rsidR="00D65756" w:rsidRPr="003570D0">
        <w:rPr>
          <w:lang w:eastAsia="de-DE"/>
        </w:rPr>
        <w:t xml:space="preserve">ould require that </w:t>
      </w:r>
      <w:r w:rsidR="00F7422A" w:rsidRPr="003570D0">
        <w:rPr>
          <w:lang w:eastAsia="de-DE"/>
        </w:rPr>
        <w:t xml:space="preserve">specific </w:t>
      </w:r>
      <w:r w:rsidR="00D82CCD" w:rsidRPr="003570D0">
        <w:rPr>
          <w:lang w:eastAsia="de-DE"/>
        </w:rPr>
        <w:t>parametres need to be satisfied. We have identified four types</w:t>
      </w:r>
      <w:r w:rsidR="00D65756" w:rsidRPr="003570D0">
        <w:rPr>
          <w:lang w:eastAsia="de-DE"/>
        </w:rPr>
        <w:t xml:space="preserve"> of such parametres</w:t>
      </w:r>
      <w:r w:rsidR="00D82CCD" w:rsidRPr="003570D0">
        <w:rPr>
          <w:lang w:eastAsia="de-DE"/>
        </w:rPr>
        <w:t xml:space="preserve">: </w:t>
      </w:r>
      <w:r w:rsidR="00D82CCD" w:rsidRPr="003570D0">
        <w:t xml:space="preserve">legitimacy (overall enabling framework; EU &amp; national), institutionalisation (integration into regional strategies, including </w:t>
      </w:r>
      <w:r w:rsidR="00D65756" w:rsidRPr="003570D0">
        <w:t xml:space="preserve">the potential for </w:t>
      </w:r>
      <w:r w:rsidR="00D82CCD" w:rsidRPr="003570D0">
        <w:t xml:space="preserve">governance arrangements), </w:t>
      </w:r>
      <w:r w:rsidR="00CA60A2" w:rsidRPr="003570D0">
        <w:t xml:space="preserve">anticipation and identification (which ones are important  complementarities to cosnider, what tools for identifying them), </w:t>
      </w:r>
      <w:r w:rsidR="00D82CCD" w:rsidRPr="003570D0">
        <w:t>feasibility</w:t>
      </w:r>
      <w:r w:rsidR="00D65756" w:rsidRPr="003570D0">
        <w:t xml:space="preserve"> confirmation</w:t>
      </w:r>
      <w:r w:rsidR="00D82CCD" w:rsidRPr="003570D0">
        <w:t xml:space="preserve"> (financial, technological, economic, knowledge), operationalisation (</w:t>
      </w:r>
      <w:r w:rsidR="00F7422A" w:rsidRPr="003570D0">
        <w:t xml:space="preserve">governance arrangements, </w:t>
      </w:r>
      <w:r w:rsidR="00D65756" w:rsidRPr="003570D0">
        <w:t xml:space="preserve">policy measures and </w:t>
      </w:r>
      <w:r w:rsidR="00D82CCD" w:rsidRPr="003570D0">
        <w:t xml:space="preserve">individual interregional initiatives). Out of these four types of parametres, the first one is currently fully satisfied, the second </w:t>
      </w:r>
      <w:r w:rsidR="00D65756" w:rsidRPr="003570D0">
        <w:t xml:space="preserve">one </w:t>
      </w:r>
      <w:r w:rsidR="00D82CCD" w:rsidRPr="003570D0">
        <w:t>is nominally sa</w:t>
      </w:r>
      <w:r w:rsidR="00CA60A2" w:rsidRPr="003570D0">
        <w:t>t</w:t>
      </w:r>
      <w:r w:rsidR="00D82CCD" w:rsidRPr="003570D0">
        <w:t>isfied</w:t>
      </w:r>
      <w:r w:rsidR="00D65756" w:rsidRPr="003570D0">
        <w:t xml:space="preserve"> (RIS3 is required to allow space for interregional innovation initiatives)</w:t>
      </w:r>
      <w:r w:rsidR="00D82CCD" w:rsidRPr="003570D0">
        <w:t xml:space="preserve">, the </w:t>
      </w:r>
      <w:r w:rsidR="00CA60A2" w:rsidRPr="003570D0">
        <w:t xml:space="preserve">third is currently developing and the </w:t>
      </w:r>
      <w:r w:rsidR="00D82CCD" w:rsidRPr="003570D0">
        <w:t>re</w:t>
      </w:r>
      <w:r w:rsidR="00D65756" w:rsidRPr="003570D0">
        <w:t xml:space="preserve">maining two are not yet sufficiently addressed as parts of a comprehensive whole. </w:t>
      </w:r>
      <w:r w:rsidR="002B7CD5" w:rsidRPr="003570D0">
        <w:t>Figure 3</w:t>
      </w:r>
      <w:r w:rsidR="004D200B" w:rsidRPr="003570D0">
        <w:t xml:space="preserve"> below is an attempt at synthesising </w:t>
      </w:r>
      <w:r w:rsidR="00D65756" w:rsidRPr="003570D0">
        <w:t>these</w:t>
      </w:r>
      <w:r w:rsidR="004D200B" w:rsidRPr="003570D0">
        <w:t xml:space="preserve"> findings into a coherent process, that might be of </w:t>
      </w:r>
      <w:r w:rsidR="00C8676E" w:rsidRPr="003570D0">
        <w:t>some use to researchers and regional policy makers</w:t>
      </w:r>
      <w:r w:rsidR="007C5A57" w:rsidRPr="003570D0">
        <w:t>.</w:t>
      </w:r>
      <w:r w:rsidR="00C8676E" w:rsidRPr="003570D0">
        <w:t xml:space="preserve"> </w:t>
      </w:r>
    </w:p>
    <w:p w14:paraId="5BC67793" w14:textId="1CD0F121" w:rsidR="00972780" w:rsidRPr="003570D0" w:rsidRDefault="00972780" w:rsidP="00972780">
      <w:pPr>
        <w:pStyle w:val="Caption"/>
      </w:pPr>
      <w:r w:rsidRPr="003570D0">
        <w:lastRenderedPageBreak/>
        <w:t xml:space="preserve">Figure </w:t>
      </w:r>
      <w:r w:rsidRPr="003570D0">
        <w:fldChar w:fldCharType="begin"/>
      </w:r>
      <w:r w:rsidRPr="003570D0">
        <w:instrText xml:space="preserve"> SEQ Figure \* ARABIC </w:instrText>
      </w:r>
      <w:r w:rsidRPr="003570D0">
        <w:fldChar w:fldCharType="separate"/>
      </w:r>
      <w:r w:rsidR="004C3C8A" w:rsidRPr="003570D0">
        <w:t>3</w:t>
      </w:r>
      <w:r w:rsidRPr="003570D0">
        <w:fldChar w:fldCharType="end"/>
      </w:r>
      <w:r w:rsidRPr="003570D0">
        <w:t xml:space="preserve"> Interregional complementarities impacting the place-based approach: synthesis of the lessons learnt from the eight initiatives</w:t>
      </w:r>
    </w:p>
    <w:p w14:paraId="707DC259" w14:textId="6BBF0496" w:rsidR="00972780" w:rsidRPr="003570D0" w:rsidRDefault="008F717E" w:rsidP="00972780">
      <w:pPr>
        <w:pStyle w:val="Body2"/>
        <w:rPr>
          <w:lang w:val="el-GR"/>
        </w:rPr>
      </w:pPr>
      <w:r w:rsidRPr="003570D0">
        <w:rPr>
          <w:lang w:val="el-GR"/>
        </w:rPr>
        <w:drawing>
          <wp:inline distT="0" distB="0" distL="0" distR="0" wp14:anchorId="1A1FF165" wp14:editId="1E9A6595">
            <wp:extent cx="5864225" cy="1597660"/>
            <wp:effectExtent l="0" t="0" r="3175" b="2540"/>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39"/>
                    <a:stretch>
                      <a:fillRect/>
                    </a:stretch>
                  </pic:blipFill>
                  <pic:spPr>
                    <a:xfrm>
                      <a:off x="0" y="0"/>
                      <a:ext cx="5864225" cy="1597660"/>
                    </a:xfrm>
                    <a:prstGeom prst="rect">
                      <a:avLst/>
                    </a:prstGeom>
                  </pic:spPr>
                </pic:pic>
              </a:graphicData>
            </a:graphic>
          </wp:inline>
        </w:drawing>
      </w:r>
    </w:p>
    <w:p w14:paraId="1179BF05" w14:textId="023487A3" w:rsidR="00972780" w:rsidRPr="003570D0" w:rsidRDefault="00972780" w:rsidP="009D567E">
      <w:pPr>
        <w:pStyle w:val="ListBullet5"/>
        <w:numPr>
          <w:ilvl w:val="0"/>
          <w:numId w:val="0"/>
        </w:numPr>
        <w:ind w:left="476"/>
      </w:pPr>
    </w:p>
    <w:p w14:paraId="34443103" w14:textId="37190DCB" w:rsidR="00CB5066" w:rsidRPr="003570D0" w:rsidRDefault="00CB5066" w:rsidP="009D567E">
      <w:pPr>
        <w:pStyle w:val="ListBullet5"/>
        <w:numPr>
          <w:ilvl w:val="0"/>
          <w:numId w:val="0"/>
        </w:numPr>
        <w:ind w:left="476"/>
      </w:pPr>
    </w:p>
    <w:p w14:paraId="5732FD16" w14:textId="77777777" w:rsidR="00CB5066" w:rsidRPr="003570D0" w:rsidRDefault="00CB5066" w:rsidP="009D567E">
      <w:pPr>
        <w:pStyle w:val="ListBullet5"/>
        <w:numPr>
          <w:ilvl w:val="0"/>
          <w:numId w:val="0"/>
        </w:numPr>
        <w:ind w:left="476"/>
      </w:pPr>
    </w:p>
    <w:p w14:paraId="494DD848" w14:textId="2437C7AB" w:rsidR="005A779B" w:rsidRPr="003570D0" w:rsidRDefault="005A779B" w:rsidP="00B818DF">
      <w:pPr>
        <w:pStyle w:val="Body5"/>
      </w:pPr>
    </w:p>
    <w:p w14:paraId="0AF3A9FD" w14:textId="3A417B69" w:rsidR="008F717E" w:rsidRPr="003570D0" w:rsidRDefault="008F717E" w:rsidP="00B818DF">
      <w:pPr>
        <w:pStyle w:val="Body5"/>
      </w:pPr>
    </w:p>
    <w:p w14:paraId="7D2838B1" w14:textId="77777777" w:rsidR="008F717E" w:rsidRPr="003570D0" w:rsidRDefault="008F717E" w:rsidP="00B818DF">
      <w:pPr>
        <w:pStyle w:val="Body5"/>
      </w:pPr>
    </w:p>
    <w:p w14:paraId="6056EECE" w14:textId="6B515799" w:rsidR="005E25F1" w:rsidRPr="003570D0" w:rsidRDefault="005E25F1" w:rsidP="00B818DF">
      <w:pPr>
        <w:pStyle w:val="Heading6"/>
      </w:pPr>
      <w:bookmarkStart w:id="19" w:name="_REFERENCES"/>
      <w:bookmarkEnd w:id="19"/>
      <w:r w:rsidRPr="003570D0">
        <w:t>REFERENCES</w:t>
      </w:r>
    </w:p>
    <w:p w14:paraId="764D5167"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Acemoglu, D., Autor, D., Dorn, D., Hansen, G.H., and Price, B., 2014, “Return of the Solow Paradox? IT, Productivity and Employment in US Manufacturing”, American Economic Review: Papers and Proceedings, 104.5, 394-399 </w:t>
      </w:r>
    </w:p>
    <w:p w14:paraId="0F38D475"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Acosta, M. and Coronado, D. (2004). The effects of scientific regional opportunities in science- technology flows: evidence from scientific literature in firms’ patent data. 44th European Congress of the European Regional Science Association, Porto, Portugal 25-29 August 2004. </w:t>
      </w:r>
    </w:p>
    <w:p w14:paraId="123B3FAF" w14:textId="77777777" w:rsidR="00083C19" w:rsidRPr="003570D0" w:rsidRDefault="00083C19" w:rsidP="00D86705">
      <w:pPr>
        <w:pStyle w:val="Heading9"/>
        <w:rPr>
          <w:rFonts w:eastAsia="Calibri"/>
          <w:u w:color="101722"/>
          <w:lang w:eastAsia="en-US"/>
        </w:rPr>
      </w:pPr>
      <w:bookmarkStart w:id="20" w:name="_Albalate_D.,_Bel"/>
      <w:bookmarkEnd w:id="20"/>
      <w:r w:rsidRPr="003570D0">
        <w:rPr>
          <w:rFonts w:eastAsia="Calibri"/>
          <w:u w:color="101722"/>
          <w:lang w:eastAsia="en-US"/>
        </w:rPr>
        <w:t xml:space="preserve">Albalate D., Bel G., Mazaira-Fon F. A. (2021). Geography and regional economic growth: The high cost of deviating from nature. Regional Science, Wiley online. </w:t>
      </w:r>
      <w:hyperlink r:id="rId40" w:history="1">
        <w:r w:rsidRPr="003570D0">
          <w:rPr>
            <w:rFonts w:eastAsia="Calibri"/>
            <w:u w:color="101722"/>
            <w:lang w:eastAsia="en-US"/>
          </w:rPr>
          <w:t>https://onlinelibrary.wiley.com/doi/epdf/10.1111/jors.12568</w:t>
        </w:r>
      </w:hyperlink>
    </w:p>
    <w:p w14:paraId="0606D260"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Almeida A., Figueiredo A., &amp; Rui Silva M., (2011). "From Concept to Policy: Building Regional Innovation Systems in Follower Regions," European Planning Studies, Taylor &amp; Francis Journals, vol. 19(7), pages 1331-1356, July. </w:t>
      </w:r>
    </w:p>
    <w:p w14:paraId="4EC17063"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Alshamsi A., Pinheiro F.L., Hidalgo C.A. (2018). Optimal diversification strategies in the networks of related products and of related research areas. DOI: 10.1038/s41467-018-03740-9. </w:t>
      </w:r>
      <w:hyperlink r:id="rId41" w:history="1">
        <w:r w:rsidRPr="003570D0">
          <w:rPr>
            <w:rFonts w:eastAsia="Calibri"/>
            <w:u w:color="101722"/>
          </w:rPr>
          <w:t>https://www.researchgate.net/publication/324261309_Optimal_diversification_strategies_in_the_networks_of_related_products_and_of_related_research_areas</w:t>
        </w:r>
      </w:hyperlink>
      <w:r w:rsidRPr="003570D0">
        <w:rPr>
          <w:rFonts w:eastAsia="Calibri"/>
          <w:u w:color="101722"/>
          <w:lang w:eastAsia="en-US"/>
        </w:rPr>
        <w:t xml:space="preserve"> . </w:t>
      </w:r>
    </w:p>
    <w:p w14:paraId="6E0152B0"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Andersson, M., L. Bjerke and C. Karlsson (2013). Import flows: extraregional linkages stimulating renewal of regional sectors? Environment and Planning A 45, 2999 – 3017. </w:t>
      </w:r>
    </w:p>
    <w:p w14:paraId="43CE2A24"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Anselin L. (1988). Spatial Econometrics: methods and models. Kluwer, Dordrecht.</w:t>
      </w:r>
    </w:p>
    <w:p w14:paraId="573378D3"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Anselin L., Varga A. and Acs ZJ (2000). Geographic and sectoral characteristics of academic knowledge externalities. Papers of Regional Science 79: 435-443. </w:t>
      </w:r>
    </w:p>
    <w:p w14:paraId="6CAF1702"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lastRenderedPageBreak/>
        <w:t>Anselin L., Varga A. and Acs, Z.J. (1997). Local geographic spillovers between university research and high technology innovations. Journal of Urban Economics 42: 422-448.</w:t>
      </w:r>
    </w:p>
    <w:p w14:paraId="14129832"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Ansell, C., Sørensen, E., &amp; Torfing, J. (2017). Improving policy implementation through collaborative policymaking. Policy &amp; Politics, 45(3), 467-486.</w:t>
      </w:r>
    </w:p>
    <w:p w14:paraId="2865825E"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Armone M. and Cavallaro C. (2016). The challenge of a place-and network-based approach to development in Italian regions. 2nd International Symposium "NEW METROPOLITAN PERSPECTIVES" - Strategic planning, spatial planning, economic programs and decision support tools, through the implementation of Horizon/Europe2020. ISTH2020, Reggio Calabria (Italy), 18-20 May 2016. Procedia - Social and Behavioral Sciences 223 (2016) 31 – 36. doi:10.1016/j.sbspro.2016.05.283. Available at </w:t>
      </w:r>
      <w:hyperlink r:id="rId42" w:history="1">
        <w:r w:rsidRPr="003570D0">
          <w:rPr>
            <w:rFonts w:eastAsia="Calibri"/>
            <w:u w:color="101722"/>
            <w:lang w:eastAsia="en-US"/>
          </w:rPr>
          <w:t>www.sciencedirect.com</w:t>
        </w:r>
      </w:hyperlink>
      <w:r w:rsidRPr="003570D0">
        <w:rPr>
          <w:rFonts w:eastAsia="Calibri"/>
          <w:u w:color="101722"/>
          <w:lang w:eastAsia="en-US"/>
        </w:rPr>
        <w:t>.</w:t>
      </w:r>
    </w:p>
    <w:p w14:paraId="59471F92"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Asheim, B. T. (2019). Smart specialisation, innovation policy and regional innovation systems: what about new path development in less innovative regions?, Innovation: The European Journal of Social Science Research, 32:1, 8-25, DOI: </w:t>
      </w:r>
      <w:hyperlink r:id="rId43" w:history="1">
        <w:r w:rsidRPr="003570D0">
          <w:rPr>
            <w:rFonts w:eastAsia="Calibri"/>
            <w:u w:color="101722"/>
            <w:lang w:eastAsia="en-US"/>
          </w:rPr>
          <w:t>10.1080/13511610.2018.1491001</w:t>
        </w:r>
      </w:hyperlink>
      <w:r w:rsidRPr="003570D0">
        <w:rPr>
          <w:rFonts w:eastAsia="Calibri"/>
          <w:u w:color="101722"/>
          <w:lang w:eastAsia="en-US"/>
        </w:rPr>
        <w:t xml:space="preserve"> </w:t>
      </w:r>
    </w:p>
    <w:p w14:paraId="18931290"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Asheim, B. T. and Coenen, L. (2006). Contextualising Regional Innovation Systems in a Globalising Learning Economy: On Knowledge Bases and Institutional Frameworks. The Journal of Technology Transfer, 31 (1), 163-173. </w:t>
      </w:r>
    </w:p>
    <w:p w14:paraId="5D3BCEB7"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Asheim, B. T. and Herstad, S. J. (2003). Regional innovation systems, varieties of capitalism and non-local relations: Challenges from the globalising economy. In Asheim, B. T. and Mariussen, Å. (eds.), Innovations, Regions and Projects. Nordregio, R 2003:3, Stockholm, pp. 241-274. </w:t>
      </w:r>
    </w:p>
    <w:p w14:paraId="5A76295B"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Asheim, B.T., (2012). The Changing Role of earning Regions in the Globalising Knowledge Economy: A Theoretical Re‐Examination’, Regional Studies, 46, 3 100.  </w:t>
      </w:r>
    </w:p>
    <w:p w14:paraId="021D70F6"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Asheim, B.T., Cooke, P, Martin, R (2005). The rise of the cluster concept in regional analysis and policy: a critical assessment. In: Asheim, B.T., , BT, Cooke, P, Martin, R (eds) Clusters and Regional Development: Critical Reflections and Explorations. London: Routledge, pp.1–29. </w:t>
      </w:r>
    </w:p>
    <w:p w14:paraId="3E834C3C"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Asheim, B.T., Isaksen, A (2002) Regional innovation systems: the integration of local ‘Sticky’ and global ‘Ubiquitous’ knowledge. Journal of Technology Transfer 27: 77–86. Also accessible at </w:t>
      </w:r>
      <w:hyperlink r:id="rId44" w:history="1">
        <w:r w:rsidRPr="003570D0">
          <w:rPr>
            <w:rFonts w:eastAsia="Calibri"/>
            <w:u w:color="101722"/>
            <w:lang w:eastAsia="en-US"/>
          </w:rPr>
          <w:t>https://www.researchgate.net/profile/Arne_Isaksen/publication/5152701_Regional_Innovation_Systems_The_Integration_of_Local_'Sticky'_and_Global_'Ubiquitous'_Knowledge/links/00463525519deb38e7000000.pdf</w:t>
        </w:r>
      </w:hyperlink>
    </w:p>
    <w:p w14:paraId="4E105C7C"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Asheim, B.T., Moodysson, J. &amp; Tödtling, F. (2011). Constructing Regional Advantage: Towards State-of-the-Art Regional Innovation System Policies in Europe? European Planning Studies, 19:7, 1133-1139, DOI: </w:t>
      </w:r>
      <w:hyperlink r:id="rId45" w:history="1">
        <w:r w:rsidRPr="003570D0">
          <w:rPr>
            <w:rFonts w:eastAsia="Calibri"/>
            <w:u w:color="101722"/>
            <w:lang w:eastAsia="en-US"/>
          </w:rPr>
          <w:t>10.1080/09654313.2011.573127</w:t>
        </w:r>
      </w:hyperlink>
    </w:p>
    <w:p w14:paraId="64B8E4D9"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Aslesen and Freel, M. (2012). Industrial Knowledge Bases as Drivers of Open Innovation. Industry Innovation, 19, 563-584.</w:t>
      </w:r>
    </w:p>
    <w:p w14:paraId="243056F0"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Bahar, D., R. Hausmann and C.A. Hidalgo (2014). Neighbours and the evolution of the comparative advantage of nations: Evidence of international knowledge diffusion? Journal of International Economics 92, 111–123. </w:t>
      </w:r>
    </w:p>
    <w:p w14:paraId="6D84038F"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Baier, Elisabeth; Kroll, Henning; Zenker, Andrea (2013): Templates of smart specialisation: Experiences of place-based regional development strategies in Germany and Austria, Arbeitspapiere Unternehmen und Region, No. R5/2013, Fraunhofer ISI, Karlsruhe.  </w:t>
      </w:r>
    </w:p>
    <w:p w14:paraId="7C898500" w14:textId="77777777" w:rsidR="00083C19" w:rsidRPr="003570D0" w:rsidRDefault="00083C19" w:rsidP="00D86705">
      <w:pPr>
        <w:pStyle w:val="Heading9"/>
        <w:rPr>
          <w:rFonts w:eastAsia="Calibri"/>
          <w:u w:color="101722"/>
          <w:lang w:eastAsia="en-US"/>
        </w:rPr>
      </w:pPr>
      <w:bookmarkStart w:id="21" w:name="_Balland_P-A,_and"/>
      <w:bookmarkStart w:id="22" w:name="_Ref91746124"/>
      <w:bookmarkEnd w:id="21"/>
      <w:r w:rsidRPr="003570D0">
        <w:rPr>
          <w:rFonts w:eastAsia="Calibri"/>
          <w:u w:color="101722"/>
          <w:lang w:eastAsia="en-US"/>
        </w:rPr>
        <w:t>Balland P-A, and Boschma R. (2019). Exploring the impact of inter-regional linkages on regional diversification in Europe in the context of smart specialisation. Project 2018CE160AT089/090 Final report.</w:t>
      </w:r>
      <w:bookmarkEnd w:id="22"/>
    </w:p>
    <w:p w14:paraId="42C03B2C"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lastRenderedPageBreak/>
        <w:t>Balland P.-A. &amp; Boschma R. (2021). Complementary interregional linkages and Smart Specialisation: an empirical study on European regions, Regional Studies, 55:6, 1059-1070, DOI: </w:t>
      </w:r>
      <w:hyperlink r:id="rId46" w:history="1">
        <w:r w:rsidRPr="003570D0">
          <w:rPr>
            <w:rFonts w:eastAsia="Calibri"/>
            <w:u w:color="101722"/>
            <w:lang w:eastAsia="en-US"/>
          </w:rPr>
          <w:t>10.1080/00343404.2020.1861240</w:t>
        </w:r>
      </w:hyperlink>
      <w:r w:rsidRPr="003570D0">
        <w:rPr>
          <w:rFonts w:eastAsia="Calibri"/>
          <w:u w:color="101722"/>
          <w:lang w:eastAsia="en-US"/>
        </w:rPr>
        <w:t xml:space="preserve">. </w:t>
      </w:r>
    </w:p>
    <w:p w14:paraId="63AAEFA8"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Balland P.-A., Boschma R., Crespo J. &amp; Rigby D. L. (2019). Smart specialization policy in the European Union: relatedness, knowledge complexity and regional diversification, Regional Studies, 53:9, 1252-1268, DOI: </w:t>
      </w:r>
      <w:hyperlink r:id="rId47" w:history="1">
        <w:r w:rsidRPr="003570D0">
          <w:rPr>
            <w:rFonts w:eastAsia="Calibri"/>
            <w:u w:color="101722"/>
            <w:lang w:eastAsia="en-US"/>
          </w:rPr>
          <w:t>10.1080/00343404.2018.1437900</w:t>
        </w:r>
      </w:hyperlink>
      <w:r w:rsidRPr="003570D0">
        <w:rPr>
          <w:rFonts w:eastAsia="Calibri"/>
          <w:u w:color="101722"/>
          <w:lang w:eastAsia="en-US"/>
        </w:rPr>
        <w:t>.</w:t>
      </w:r>
    </w:p>
    <w:p w14:paraId="2FB8F6B8"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Balland, P-A, Boschma R. &amp; Frenken, K. (2015). Proximity and Innovation: From Statics to Dynamics, Regional Studies, 49:6, 907-920, DOI: </w:t>
      </w:r>
      <w:hyperlink r:id="rId48" w:history="1">
        <w:r w:rsidRPr="003570D0">
          <w:rPr>
            <w:rFonts w:eastAsia="Calibri"/>
            <w:u w:color="101722"/>
            <w:lang w:eastAsia="en-US"/>
          </w:rPr>
          <w:t>10.1080/00343404.2014.883598</w:t>
        </w:r>
      </w:hyperlink>
      <w:r w:rsidRPr="003570D0">
        <w:rPr>
          <w:rFonts w:eastAsia="Calibri"/>
          <w:u w:color="101722"/>
          <w:lang w:eastAsia="en-US"/>
        </w:rPr>
        <w:t xml:space="preserve">. </w:t>
      </w:r>
    </w:p>
    <w:p w14:paraId="65DDBFE4"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Balland, P.-A. (2012). Proximity and the evolution of collaboration networks: Evidence from research and development projects within the global navigation satellite system (GNSS) industry. Regional Studies, 46(6), 741–756. doi:10.1080/00343404.2010. 529121 .</w:t>
      </w:r>
    </w:p>
    <w:p w14:paraId="07177FDF"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Baltic Sea States Subregional Cooperation (BSSSC) paper on the INTERREGIONAL INNOVATION INVESTMENTS. Adopted by the Board September 18, 2019; </w:t>
      </w:r>
      <w:hyperlink r:id="rId49" w:history="1">
        <w:r w:rsidRPr="003570D0">
          <w:rPr>
            <w:rFonts w:eastAsia="Calibri"/>
            <w:u w:color="101722"/>
            <w:lang w:eastAsia="en-US"/>
          </w:rPr>
          <w:t>https://www.bsssc.com/3rdcp</w:t>
        </w:r>
      </w:hyperlink>
      <w:r w:rsidRPr="003570D0">
        <w:rPr>
          <w:rFonts w:eastAsia="Calibri"/>
          <w:u w:color="101722"/>
          <w:lang w:eastAsia="en-US"/>
        </w:rPr>
        <w:t xml:space="preserve"> .</w:t>
      </w:r>
    </w:p>
    <w:p w14:paraId="2B915306" w14:textId="77777777" w:rsidR="00083C19" w:rsidRPr="003570D0" w:rsidRDefault="00083C19" w:rsidP="00D86705">
      <w:pPr>
        <w:pStyle w:val="Heading9"/>
        <w:rPr>
          <w:rFonts w:eastAsia="Calibri"/>
          <w:u w:color="101722"/>
          <w:lang w:eastAsia="en-US"/>
        </w:rPr>
      </w:pPr>
      <w:bookmarkStart w:id="23" w:name="_Barca,_F.,_McCann,"/>
      <w:bookmarkEnd w:id="23"/>
      <w:r w:rsidRPr="003570D0">
        <w:rPr>
          <w:rFonts w:eastAsia="Calibri"/>
          <w:u w:color="101722"/>
          <w:lang w:eastAsia="en-US"/>
        </w:rPr>
        <w:t>Barbero J., Diukanova O., Gianelle C., Salotti S. &amp; Santoalha A. (2021). Economic modelling to evaluate Smart Specialisation: an analysis of research and innovation targets in Southern Europe, Regional Studies, DOI: </w:t>
      </w:r>
      <w:hyperlink r:id="rId50" w:history="1">
        <w:r w:rsidRPr="003570D0">
          <w:rPr>
            <w:rFonts w:eastAsia="Calibri"/>
            <w:u w:color="101722"/>
            <w:lang w:eastAsia="en-US"/>
          </w:rPr>
          <w:t>10.1080/00343404.2021.1926959</w:t>
        </w:r>
      </w:hyperlink>
      <w:r w:rsidRPr="003570D0">
        <w:rPr>
          <w:rFonts w:eastAsia="Calibri"/>
          <w:u w:color="101722"/>
          <w:lang w:eastAsia="en-US"/>
        </w:rPr>
        <w:t xml:space="preserve">. </w:t>
      </w:r>
    </w:p>
    <w:p w14:paraId="012ACBD3"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Barca, F. (2009). An agenda for a reformed cohesion policy: A place-based approach to meeting European Union challenges and expectations. Independent Report prepared at the request of Danuta Hübner, Commissioner for Regional Policy, April 2009. Brussels: EU Commission. </w:t>
      </w:r>
    </w:p>
    <w:p w14:paraId="61DA0B6F"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Barca, F., &amp; McCann, P. (2011). Outcome indicators and targets–Towards a performance oriented EU cohesion policy. High Level Group reflecting on future Cohesion Policy, Outcome Indicators and Targets, methodological note, meeting number 8, 15 February 2011. Brussels: EU Commission. </w:t>
      </w:r>
    </w:p>
    <w:p w14:paraId="04F57A7E"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Barca, F., McCann, P., &amp; Rodríguez-Pose, A. (2012). The case for regional development intervention: Place based versus place-neutral approaches. Journal of Regional Science, 52(1), 134–152. https://doi.org/10.1111/ j.1467-9787.2011.00756.x </w:t>
      </w:r>
    </w:p>
    <w:p w14:paraId="5868F88E"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Bartzanas, Th., Chaniotou, N., Lainevuo, A., Martínez, J-C., Sarvaranta, L., VTT (2019). Knowledge transfer in the BRIDGES project. Project publication. Hard copy only.</w:t>
      </w:r>
    </w:p>
    <w:p w14:paraId="4E14560C"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Barzotto, M., Corradini, C., Fai, F. M., Labory, S., &amp; Tomlinson, P. R. (2019). An extra-regional collaborative approach to smart specialisation. In Revitalising lagging regions: Smart specialisation and industry 4.0 (Regional studies policy impact books) (Vol. 1, No. 2, pp. 29–42). Taylor &amp; Francis.</w:t>
      </w:r>
    </w:p>
    <w:p w14:paraId="7D35EADD" w14:textId="77777777" w:rsidR="00083C19" w:rsidRPr="003570D0" w:rsidRDefault="00083C19" w:rsidP="00D86705">
      <w:pPr>
        <w:pStyle w:val="Heading9"/>
        <w:rPr>
          <w:rFonts w:eastAsia="Calibri"/>
          <w:u w:color="101722"/>
          <w:lang w:eastAsia="en-US"/>
        </w:rPr>
      </w:pPr>
      <w:bookmarkStart w:id="24" w:name="_Beer_A.,_McKenzie"/>
      <w:bookmarkEnd w:id="24"/>
      <w:r w:rsidRPr="003570D0">
        <w:rPr>
          <w:rFonts w:eastAsia="Calibri"/>
          <w:u w:color="101722"/>
          <w:lang w:eastAsia="en-US"/>
        </w:rPr>
        <w:t>Beer A., McKenzie F., Blažek J., Sotarauta M. &amp; Ayres S.  (2020). 1.</w:t>
      </w:r>
      <w:r w:rsidRPr="003570D0">
        <w:rPr>
          <w:rFonts w:eastAsia="Calibri"/>
          <w:u w:color="101722"/>
          <w:lang w:eastAsia="en-US"/>
        </w:rPr>
        <w:t> </w:t>
      </w:r>
      <w:r w:rsidRPr="003570D0">
        <w:rPr>
          <w:rFonts w:eastAsia="Calibri"/>
          <w:u w:color="101722"/>
          <w:lang w:eastAsia="en-US"/>
        </w:rPr>
        <w:t>What is Place-Based Policy? Regional Studies Policy Impact Books, 2:1, 11-22, DOI: </w:t>
      </w:r>
      <w:hyperlink r:id="rId51" w:history="1">
        <w:r w:rsidRPr="003570D0">
          <w:rPr>
            <w:rFonts w:eastAsia="Calibri"/>
            <w:u w:color="101722"/>
            <w:lang w:eastAsia="en-US"/>
          </w:rPr>
          <w:t>10.1080/2578711X.2020.1783897</w:t>
        </w:r>
      </w:hyperlink>
      <w:r w:rsidRPr="003570D0">
        <w:rPr>
          <w:rFonts w:eastAsia="Calibri"/>
          <w:u w:color="101722"/>
          <w:lang w:eastAsia="en-US"/>
        </w:rPr>
        <w:t xml:space="preserve">. </w:t>
      </w:r>
    </w:p>
    <w:p w14:paraId="18801EB1" w14:textId="188DAC9A" w:rsidR="00083C19" w:rsidRPr="003570D0" w:rsidRDefault="00083C19" w:rsidP="00D86705">
      <w:pPr>
        <w:pStyle w:val="Heading9"/>
        <w:rPr>
          <w:rFonts w:eastAsia="Calibri"/>
          <w:u w:color="101722"/>
          <w:lang w:eastAsia="en-US"/>
        </w:rPr>
      </w:pPr>
      <w:bookmarkStart w:id="25" w:name="_Ref87079385"/>
      <w:r w:rsidRPr="003570D0">
        <w:rPr>
          <w:rFonts w:eastAsia="Calibri"/>
          <w:u w:color="101722"/>
          <w:lang w:eastAsia="en-US"/>
        </w:rPr>
        <w:t>Bellini N., Hilipert U. (editors), (2013). The Impact of Inter-regional Networks; chapter in Europe's Changing Geography. Routledge 21.8.2013.</w:t>
      </w:r>
      <w:bookmarkEnd w:id="25"/>
      <w:r w:rsidRPr="003570D0">
        <w:rPr>
          <w:rFonts w:eastAsia="Calibri"/>
          <w:u w:color="101722"/>
          <w:lang w:eastAsia="en-US"/>
        </w:rPr>
        <w:t xml:space="preserve"> </w:t>
      </w:r>
    </w:p>
    <w:p w14:paraId="06263044"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Boden, M. (2019). Targeted support to Smart Specialisation in Lagging Regions. The European Commission’s science and knowledge service. Joint Research Centre. </w:t>
      </w:r>
      <w:hyperlink r:id="rId52" w:history="1">
        <w:r w:rsidRPr="003570D0">
          <w:rPr>
            <w:rFonts w:eastAsia="Calibri"/>
            <w:u w:color="101722"/>
            <w:lang w:eastAsia="en-US"/>
          </w:rPr>
          <w:t>https://s3platform.jrc.ec.europa.eu/documents/20182/355850/Mark+Boden+presentation+KAIST.pdf/82aaf315-22e9-4721-99a6-37c748f492dc</w:t>
        </w:r>
      </w:hyperlink>
      <w:r w:rsidRPr="003570D0">
        <w:rPr>
          <w:rFonts w:eastAsia="Calibri"/>
          <w:u w:color="101722"/>
          <w:lang w:eastAsia="en-US"/>
        </w:rPr>
        <w:t xml:space="preserve"> .</w:t>
      </w:r>
    </w:p>
    <w:p w14:paraId="02164A84"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Boden, M. et al (2016). RIS3 support in Lagging Regions Bari, 11 July 2016 Serving society Stimulating innovation Supporting legislation www.jrc.ec.europa.eu Project team: Mark Boden, Karel Haegeman, Elisabetta Marinelli, Patrice dos Santos, Susana Valero.</w:t>
      </w:r>
    </w:p>
    <w:p w14:paraId="2C356B11"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Boschma, R. &amp; Frenken, K. (2011). Technological relatedness and regional branching. </w:t>
      </w:r>
      <w:hyperlink r:id="rId53" w:history="1">
        <w:r w:rsidRPr="003570D0">
          <w:rPr>
            <w:rFonts w:eastAsia="Calibri"/>
            <w:u w:color="101722"/>
            <w:lang w:eastAsia="en-US"/>
          </w:rPr>
          <w:t>http://dimetic.dime-eu.org/dimetic_files/artbookBatheltFeldmanKogler.pdf</w:t>
        </w:r>
      </w:hyperlink>
      <w:r w:rsidRPr="003570D0">
        <w:rPr>
          <w:rFonts w:eastAsia="Calibri"/>
          <w:u w:color="101722"/>
          <w:lang w:eastAsia="en-US"/>
        </w:rPr>
        <w:t xml:space="preserve">. </w:t>
      </w:r>
    </w:p>
    <w:p w14:paraId="18593F1A"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lastRenderedPageBreak/>
        <w:t xml:space="preserve">Boschma, R. A. (2013): Constructing Regional Advantage and Smart Specialization: Comparison of Two European Policy Concepts, Center for Innovation, Research and Competence in the Learning Economy (CIRCLE) Lund University, Sweden Urban and Regional research centre Utrecht (URU) Utrecht University, the Netherlands, Papers in Evolutionary Economic Geography # 13.22, </w:t>
      </w:r>
      <w:hyperlink r:id="rId54" w:history="1">
        <w:r w:rsidRPr="003570D0">
          <w:rPr>
            <w:rFonts w:eastAsia="Calibri"/>
            <w:u w:color="101722"/>
            <w:lang w:eastAsia="en-US"/>
          </w:rPr>
          <w:t>http://econ.geog.uu.nl/peeg/peeg.html</w:t>
        </w:r>
      </w:hyperlink>
      <w:r w:rsidRPr="003570D0">
        <w:rPr>
          <w:rFonts w:eastAsia="Calibri"/>
          <w:u w:color="101722"/>
          <w:lang w:eastAsia="en-US"/>
        </w:rPr>
        <w:t>.</w:t>
      </w:r>
    </w:p>
    <w:p w14:paraId="32D67D59"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Boschma, R. A. &amp; Frenken, K. (2011). The Emerging Empirics of Evolutionary Economic Geography: Journal of Economic Geography 11(2):295-307, February 2011, DOI: 10.1093/jeg/lbq053; </w:t>
      </w:r>
      <w:hyperlink r:id="rId55" w:history="1">
        <w:r w:rsidRPr="003570D0">
          <w:rPr>
            <w:rFonts w:eastAsia="Calibri"/>
            <w:u w:color="101722"/>
            <w:lang w:eastAsia="en-US"/>
          </w:rPr>
          <w:t>https://www.researchgate.net/publication/227346407</w:t>
        </w:r>
      </w:hyperlink>
      <w:r w:rsidRPr="003570D0">
        <w:rPr>
          <w:rFonts w:eastAsia="Calibri"/>
          <w:u w:color="101722"/>
          <w:lang w:eastAsia="en-US"/>
        </w:rPr>
        <w:t xml:space="preserve">, retrieved 31.12.2018. </w:t>
      </w:r>
    </w:p>
    <w:p w14:paraId="69937BF2"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Boschma, R. A., Frenken, K. (2010) The spatial evolution of innovation networks. A proximity perspective, in Boschma, R. A., Martin, R. (eds.), Handbook on Evolutionary Economic Geography, Cheltenham: Edward Elgar, pp. 120–135.</w:t>
      </w:r>
    </w:p>
    <w:p w14:paraId="5A06F118"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Boschma, R. A., Martín,V., and  Minondo, A. (2014): Neighbour regions as the source of new industries, CIRCLE, WP 2015/35. </w:t>
      </w:r>
    </w:p>
    <w:p w14:paraId="575BFB10"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Boschma, R. A., Minondo, A., &amp; Navarro, M. (2012): "The emergence of new industries at the regional level in Spain. A proximity approach based on product-relatedness," </w:t>
      </w:r>
      <w:hyperlink r:id="rId56" w:history="1">
        <w:r w:rsidRPr="003570D0">
          <w:rPr>
            <w:rFonts w:eastAsia="Calibri"/>
            <w:u w:color="101722"/>
            <w:lang w:eastAsia="en-US"/>
          </w:rPr>
          <w:t>Papers in Evolutionary Economic Geography (PEEG)</w:t>
        </w:r>
      </w:hyperlink>
      <w:r w:rsidRPr="003570D0">
        <w:rPr>
          <w:rFonts w:eastAsia="Calibri"/>
          <w:u w:color="101722"/>
          <w:lang w:eastAsia="en-US"/>
        </w:rPr>
        <w:t xml:space="preserve"> 1201, Utrecht University, Section of Economic Geography, revised Jan 2012.</w:t>
      </w:r>
    </w:p>
    <w:p w14:paraId="7EBB6A61"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Boschma, R. and Iammarino, S. (2008). Related variety, trade linkages, and regional growth in Italy. Economic Geography 85(3): 289–311. </w:t>
      </w:r>
    </w:p>
    <w:p w14:paraId="76ECF5B5"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Brachert, M., Kubis, A., and Titze, M. (2013). Related Variety, Unrelated Variety and Regional Functions: A spatial panel approach; Papers in Evolutionary Economic Geography # 13.01. </w:t>
      </w:r>
    </w:p>
    <w:p w14:paraId="7B9B254C"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Brakman S. and van Marrewijk C. (2008). It’s a big world after all: On the economic impact of location and distance. Cambridge Journals of Regions, Economy and Society 1, 411-437.</w:t>
      </w:r>
    </w:p>
    <w:p w14:paraId="09F2E141"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Brennan L., Rachmatullin R. (2015). Global Value Chains and Smart Specialisation Strategy. Thematic Work on the Understanding of Global Value Chains and their Analysis within the Context of Smart Specialisation. Technical report. December 2015. EUR 27649. DOI: 10.2791/44840.  </w:t>
      </w:r>
    </w:p>
    <w:p w14:paraId="45B82BD7"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Breschi, S. and C. Lenzi (2015). The role of external linkages and gatekeepers for the renewal and expansion of US cities’ knowledge base, 1990-2004, Regional Studies 49 (5), 782-797. </w:t>
      </w:r>
    </w:p>
    <w:p w14:paraId="4576BDE8"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Breschi, S., &amp; Lissoni, F. (2009). Mobility of skilled workers and co- invention networks: An anatomy of localized knowledge flows. Journal of Economic Geography, 9(4), 439–468. doi:10.1093/jeg/ lbp008 </w:t>
      </w:r>
    </w:p>
    <w:p w14:paraId="77604F36"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BRIDGES project </w:t>
      </w:r>
      <w:hyperlink r:id="rId57" w:history="1">
        <w:r w:rsidRPr="003570D0">
          <w:rPr>
            <w:rFonts w:eastAsia="Calibri"/>
            <w:u w:color="101722"/>
            <w:lang w:eastAsia="en-US"/>
          </w:rPr>
          <w:t>https://www.interregeurope.eu/bridges/</w:t>
        </w:r>
      </w:hyperlink>
      <w:r w:rsidRPr="003570D0">
        <w:rPr>
          <w:rFonts w:eastAsia="Calibri"/>
          <w:u w:color="101722"/>
          <w:lang w:eastAsia="en-US"/>
        </w:rPr>
        <w:t xml:space="preserve"> . </w:t>
      </w:r>
    </w:p>
    <w:p w14:paraId="44CBB3F7"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Cairncross, F. (2001): The Death of Distance 2.0: How the Communications Revolution Will Change Our Lives. New York: Harvard Business School. </w:t>
      </w:r>
    </w:p>
    <w:p w14:paraId="55C3F38E"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Camagni, R. &amp; Capello, R. (2009). Knowledge-based economy and knowledge creation: The role of space. In Growth and competitiveness in innovative regions: Balancing internal and external connections, ed. U. Fratesi, and L. Senn, 145–166. Berlin: Springer Verlag.</w:t>
      </w:r>
    </w:p>
    <w:p w14:paraId="59636CD8"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Camagni, R. &amp; Capello, R. (2011). Macroeconomic and territorial policies for regional development: Theory and empirical evidence from the EU. In Endogenous regional development: Perspective, measurement and empirical investigations, ed. B. Stimson, R. Stough, and P. Nijkamp, 204–236. Cheltenham: Edward Elgar. </w:t>
      </w:r>
    </w:p>
    <w:p w14:paraId="565387A3"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Capello, R. &amp; Kroll, H. (2016). From theory to practice in smart specialization strategy: emerging limits and possible future trajectories; European Planning Studies, Volume 24, 2016 - Issue 8: Regional Innovation Strategies 3 (RIS3): From Concept to Applications, Pages 1393-1406. </w:t>
      </w:r>
      <w:hyperlink r:id="rId58" w:history="1">
        <w:r w:rsidRPr="003570D0">
          <w:rPr>
            <w:rFonts w:eastAsia="Calibri"/>
            <w:u w:color="101722"/>
            <w:lang w:eastAsia="en-US"/>
          </w:rPr>
          <w:t>http://dx.doi.org/10.1080/09654313.2016.1156058</w:t>
        </w:r>
      </w:hyperlink>
      <w:r w:rsidRPr="003570D0">
        <w:rPr>
          <w:rFonts w:eastAsia="Calibri"/>
          <w:u w:color="101722"/>
          <w:lang w:eastAsia="en-US"/>
        </w:rPr>
        <w:t xml:space="preserve">. </w:t>
      </w:r>
    </w:p>
    <w:p w14:paraId="5D876B01"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lastRenderedPageBreak/>
        <w:t xml:space="preserve">Capello, R., and A. Caragliu (2012). Proximities and the intensity of scientific relations: Synergies and non-linearities, Paper presented at the Tinbergen Institute Seminar, Amsterdam, 7–8 May. </w:t>
      </w:r>
    </w:p>
    <w:p w14:paraId="2F20E9B2"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Carpenter C. W., van Sandt A., Dudensing R., Loveridge S., (2021). Profit Pools and Determinants of Potential County-Level Manufacturing Growth. First Published July 8, 2021 Research Article.  </w:t>
      </w:r>
      <w:hyperlink r:id="rId59" w:history="1">
        <w:r w:rsidRPr="003570D0">
          <w:rPr>
            <w:rFonts w:eastAsia="Calibri"/>
            <w:u w:color="101722"/>
            <w:lang w:eastAsia="en-US"/>
          </w:rPr>
          <w:t>https://doi.org/10.1177/01600176211028761</w:t>
        </w:r>
      </w:hyperlink>
    </w:p>
    <w:p w14:paraId="1CB20D76"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Carrincazeaux, Ch., Lung, Y. &amp; Vicente, J. (2008) The Scientific Trajectory of the French School of Proximity: Interaction- and Institution-based Approaches to Regional Innovation Systems, European Planning Studies, 16:5, 617-628, DOI: </w:t>
      </w:r>
      <w:hyperlink r:id="rId60" w:history="1">
        <w:r w:rsidRPr="003570D0">
          <w:rPr>
            <w:rFonts w:eastAsia="Calibri"/>
            <w:u w:color="101722"/>
            <w:lang w:eastAsia="en-US"/>
          </w:rPr>
          <w:t>10.1080/09654310802049117</w:t>
        </w:r>
      </w:hyperlink>
      <w:r w:rsidRPr="003570D0">
        <w:rPr>
          <w:rFonts w:eastAsia="Calibri"/>
          <w:u w:color="101722"/>
          <w:lang w:eastAsia="en-US"/>
        </w:rPr>
        <w:t xml:space="preserve">. </w:t>
      </w:r>
    </w:p>
    <w:p w14:paraId="75BB1964"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Centre of Expertise Programme implementing the Multipolis Network</w:t>
      </w:r>
      <w:r w:rsidRPr="003570D0">
        <w:rPr>
          <w:rFonts w:eastAsia="Calibri"/>
          <w:u w:color="101722"/>
          <w:lang w:eastAsia="en-US"/>
        </w:rPr>
        <w:endnoteReference w:id="20"/>
      </w:r>
      <w:r w:rsidRPr="003570D0">
        <w:rPr>
          <w:rFonts w:eastAsia="Calibri"/>
          <w:u w:color="101722"/>
          <w:lang w:eastAsia="en-US"/>
        </w:rPr>
        <w:t xml:space="preserve">,  </w:t>
      </w:r>
      <w:hyperlink r:id="rId61" w:history="1">
        <w:r w:rsidRPr="003570D0">
          <w:rPr>
            <w:rFonts w:eastAsia="Calibri"/>
            <w:u w:color="101722"/>
            <w:lang w:eastAsia="en-US"/>
          </w:rPr>
          <w:t>https://ec.europa.eu/regional_policy/en/projects/finland/centre-of-expertise-programme-implementing-the-multipolis-network</w:t>
        </w:r>
      </w:hyperlink>
      <w:r w:rsidRPr="003570D0">
        <w:rPr>
          <w:rFonts w:eastAsia="Calibri"/>
          <w:u w:color="101722"/>
          <w:lang w:eastAsia="en-US"/>
        </w:rPr>
        <w:t>.</w:t>
      </w:r>
    </w:p>
    <w:p w14:paraId="25CA1401"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Chaniotou, N. &amp; Šime, Z. (2018). Baltic Sea Region-wide Research-Business Cooperation: What Benefits For Sparsely Populated Areas and Smart Specialisation? : European Structural and Investment Funds Journal, EStIF III | 2018, page 4. </w:t>
      </w:r>
      <w:hyperlink r:id="rId62" w:history="1">
        <w:r w:rsidRPr="003570D0">
          <w:rPr>
            <w:rFonts w:eastAsia="Calibri"/>
            <w:u w:color="101722"/>
            <w:lang w:eastAsia="en-US"/>
          </w:rPr>
          <w:t xml:space="preserve">https://estif.lexxion.eu/data/article/13237/pdf/estif_2018_03-009.pdf . </w:t>
        </w:r>
      </w:hyperlink>
    </w:p>
    <w:p w14:paraId="546E3BCF" w14:textId="77777777" w:rsidR="00083C19" w:rsidRPr="003570D0" w:rsidRDefault="00083C19" w:rsidP="00D86705">
      <w:pPr>
        <w:pStyle w:val="Heading9"/>
        <w:rPr>
          <w:rFonts w:eastAsia="Calibri"/>
          <w:u w:color="101722"/>
          <w:lang w:eastAsia="en-US"/>
        </w:rPr>
      </w:pPr>
      <w:bookmarkStart w:id="26" w:name="_Chase_L._(2017)."/>
      <w:bookmarkEnd w:id="26"/>
      <w:r w:rsidRPr="003570D0">
        <w:rPr>
          <w:rFonts w:eastAsia="Calibri"/>
          <w:u w:color="101722"/>
          <w:lang w:eastAsia="en-US"/>
        </w:rPr>
        <w:t xml:space="preserve">Chase L. (2017). Historical review of place-based approaches. </w:t>
      </w:r>
      <w:hyperlink r:id="rId63" w:history="1">
        <w:r w:rsidRPr="003570D0">
          <w:rPr>
            <w:rFonts w:eastAsia="Calibri"/>
            <w:u w:color="101722"/>
            <w:lang w:eastAsia="en-US"/>
          </w:rPr>
          <w:t>http://lankellychase.org.uk/wp-content/uploads/2017/10/Historical-review-of-place-based-approaches.pdf</w:t>
        </w:r>
      </w:hyperlink>
    </w:p>
    <w:p w14:paraId="43B6D38D" w14:textId="4B768879" w:rsidR="0001285D" w:rsidRPr="003570D0" w:rsidRDefault="0001285D" w:rsidP="0001285D">
      <w:pPr>
        <w:pStyle w:val="Heading9"/>
        <w:rPr>
          <w:rFonts w:eastAsia="Calibri"/>
          <w:u w:color="101722"/>
          <w:lang w:eastAsia="en-US"/>
        </w:rPr>
      </w:pPr>
      <w:r w:rsidRPr="003570D0">
        <w:rPr>
          <w:rFonts w:eastAsia="Calibri"/>
          <w:u w:color="101722"/>
          <w:lang w:eastAsia="en-US"/>
        </w:rPr>
        <w:t>Committee of the Regions and European Commission (2022). Joining forces for a strong recovery and a just transition. Joint Action Plan.</w:t>
      </w:r>
    </w:p>
    <w:p w14:paraId="23F95F0D" w14:textId="3940309F"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Competitive advantage, </w:t>
      </w:r>
      <w:hyperlink r:id="rId64" w:history="1">
        <w:r w:rsidRPr="003570D0">
          <w:rPr>
            <w:rFonts w:eastAsia="Calibri"/>
            <w:u w:color="101722"/>
            <w:lang w:eastAsia="en-US"/>
          </w:rPr>
          <w:t>https://www.investopedia.com/terms/c/competitive_advantage.asp</w:t>
        </w:r>
      </w:hyperlink>
      <w:r w:rsidRPr="003570D0">
        <w:rPr>
          <w:rFonts w:eastAsia="Calibri"/>
          <w:u w:color="101722"/>
          <w:lang w:eastAsia="en-US"/>
        </w:rPr>
        <w:t xml:space="preserve"> . </w:t>
      </w:r>
    </w:p>
    <w:p w14:paraId="30C029F3"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Cooke P. (2003). The Regional Development Agency in the Knowledge Economy: Boundary Crossing for Innovation Systems. Prepared for European Regional Science Association Annual Conference - "Peripheries, Centres, and Spatial Development in the New Europe", Jyväskylä, Finland, August 27 to August 30, 2003. </w:t>
      </w:r>
      <w:hyperlink r:id="rId65" w:history="1">
        <w:r w:rsidRPr="003570D0">
          <w:rPr>
            <w:rFonts w:eastAsia="Calibri"/>
            <w:u w:color="101722"/>
            <w:lang w:eastAsia="en-US"/>
          </w:rPr>
          <w:t>https://www.jyu.fi/ersa2003/cdrom/papers/452.pdf</w:t>
        </w:r>
      </w:hyperlink>
      <w:r w:rsidRPr="003570D0">
        <w:rPr>
          <w:rFonts w:eastAsia="Calibri"/>
          <w:u w:color="101722"/>
          <w:lang w:eastAsia="en-US"/>
        </w:rPr>
        <w:t xml:space="preserve"> . </w:t>
      </w:r>
    </w:p>
    <w:p w14:paraId="571619E8"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Cooke P., Asheim B.T., Annerstedt J., Blažek J., Boschma R., Dahlstrand-Lindholm D. A., del Castillo Hermosa J., Laredo P., Moula M., Piccaluga A. (2006). Constructing regional advantage; principles – perspectives – policies: European Commission, Directorate-General for Research, 2006. </w:t>
      </w:r>
      <w:hyperlink r:id="rId66" w:history="1">
        <w:r w:rsidRPr="003570D0">
          <w:rPr>
            <w:rFonts w:eastAsia="Calibri"/>
            <w:u w:color="101722"/>
            <w:lang w:eastAsia="en-US"/>
          </w:rPr>
          <w:t>http://www.dimeeu.org/files/active/0/regional_advantage_FINAL.pdf</w:t>
        </w:r>
      </w:hyperlink>
    </w:p>
    <w:p w14:paraId="05ECAFD4"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Cooke P., Heidenreich, M. &amp; Braczyk, H.-J. (1998). Regional innovation systems the role of governances in a globalized world, London, Routledge.</w:t>
      </w:r>
    </w:p>
    <w:p w14:paraId="6422039F"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Craig W. Carpenter, Anders Van Sandt, Rebekka Dudensing, Scott Loveridge, (2021). Profit Pools and Determinants of Potential County-Level Manufacturing Growth. First Published July 8, 2021 Research Article. https://doi.org/10.1177/01600176211028761</w:t>
      </w:r>
    </w:p>
    <w:p w14:paraId="07F1E007"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Crescenzi R. and Harman O. with Arnold D. (…….). Move On Up! Building, Embedding and Reshaping Global Value Chains Through Investment Flows: Insights for regional innovation policies. </w:t>
      </w:r>
    </w:p>
    <w:p w14:paraId="652C2A48"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Crescenzi R., Rodríguez-Pose A. and Storper M. (2007). The territorial dynamics of innovation: a Europe-United States comparative analysis. Journal of economic geography, 7 (6). pp. 673-709. ISSN 1468-2702 doi:10.1093/jeg/lbm030 - http://joeg.oxfordjournals.org/content/7/6/673 </w:t>
      </w:r>
    </w:p>
    <w:p w14:paraId="6A5EFFC5"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 CREST (European Union Scientific and Technical Research Committee) (2008). Final report. Working Group, 2008. Industry-Led Competence Centres – Aligning academic / public research with enterprise and industry needs, Open Method of Co-ordination (OMC) 3% Action Plan.</w:t>
      </w:r>
    </w:p>
    <w:p w14:paraId="59870CD2"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CREST project, (2008). Final report to the CREST (European Union Scientific and Technical Research Committee) Working Group, 2008. Industry-Led Competence Centres – Aligning academic / public research with enterprise and industry needs, Open Method of Co-ordination (OMC) 3% Action Plan.</w:t>
      </w:r>
    </w:p>
    <w:p w14:paraId="2D03AF7A"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lastRenderedPageBreak/>
        <w:t>Davids M., Frenken K., (2018). Proximity, knowledge base and the innovation process: towards an integrated framework, Regional Studies, 52:1, 23-34, DOI: </w:t>
      </w:r>
      <w:hyperlink r:id="rId67" w:history="1">
        <w:r w:rsidRPr="003570D0">
          <w:rPr>
            <w:rFonts w:eastAsia="Calibri"/>
            <w:u w:color="101722"/>
            <w:lang w:eastAsia="en-US"/>
          </w:rPr>
          <w:t>10.1080/00343404.2017.1287349</w:t>
        </w:r>
      </w:hyperlink>
    </w:p>
    <w:p w14:paraId="016FB756"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De Noni, I., A. Ganzaroli and L. Orsi (2017). The impact of intra- and inter-regional knowledge collaboration and technological variety on the knowledge productivity of European regions, Technological Forecasting and Social Change 117, 108-118. </w:t>
      </w:r>
    </w:p>
    <w:p w14:paraId="35D913D1"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De Noni, I., Orsi, L. and Belussi, F. (2018). The role of collaborative networks in supporting the innovation performances of lagging-behind European regions, Research Policy 47, 1–13. </w:t>
      </w:r>
    </w:p>
    <w:p w14:paraId="63DA0DE5"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Doloreux D., Shearmur R. (2012). Collaboration, information and the geography of innovation in knowledge intensive business services, Journal of Economic Geography, 2012, vol. 12 (pg. 79-105).  </w:t>
      </w:r>
    </w:p>
    <w:p w14:paraId="3F53EEBF"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Dopfer, K., Foster, J., &amp; Potts, J. (2004). Micro-meso-macro: Journal of Evolutionary Economics, 14(3), 263-279.  Evolutionary economics: </w:t>
      </w:r>
      <w:hyperlink r:id="rId68" w:history="1">
        <w:r w:rsidRPr="003570D0">
          <w:rPr>
            <w:rFonts w:eastAsia="Calibri"/>
            <w:u w:color="101722"/>
            <w:lang w:eastAsia="en-US"/>
          </w:rPr>
          <w:t>https://www.exploring-economics.org/en/orientation/evolutionary-economics/</w:t>
        </w:r>
      </w:hyperlink>
      <w:r w:rsidRPr="003570D0">
        <w:rPr>
          <w:rFonts w:eastAsia="Calibri"/>
          <w:u w:color="101722"/>
          <w:lang w:eastAsia="en-US"/>
        </w:rPr>
        <w:t xml:space="preserve">.                             </w:t>
      </w:r>
    </w:p>
    <w:p w14:paraId="11FAE616" w14:textId="77777777" w:rsidR="00083C19" w:rsidRPr="003570D0" w:rsidRDefault="00083C19" w:rsidP="00D86705">
      <w:pPr>
        <w:pStyle w:val="Heading9"/>
        <w:rPr>
          <w:rFonts w:eastAsia="Calibri"/>
          <w:u w:color="101722"/>
          <w:lang w:eastAsia="en-US"/>
        </w:rPr>
      </w:pPr>
      <w:bookmarkStart w:id="27" w:name="_Edward_W._Hill"/>
      <w:bookmarkEnd w:id="27"/>
      <w:r w:rsidRPr="003570D0">
        <w:rPr>
          <w:rFonts w:eastAsia="Calibri"/>
          <w:u w:color="101722"/>
          <w:lang w:eastAsia="en-US"/>
        </w:rPr>
        <w:t xml:space="preserve">Edward W. Hill E.W., Brennan J.F. (2000). A Methodology for Identifying the Drivers of Industrial Clusters: The Foundation of Regional Competitive Advantage. </w:t>
      </w:r>
      <w:hyperlink r:id="rId69" w:history="1">
        <w:r w:rsidRPr="003570D0">
          <w:rPr>
            <w:rFonts w:eastAsia="Calibri"/>
            <w:u w:color="101722"/>
            <w:lang w:eastAsia="en-US"/>
          </w:rPr>
          <w:t>https://citeseerx.ist.psu.edu/viewdoc/download?doi=10.1.1.828.9211&amp;rep=rep1&amp;type=pdf</w:t>
        </w:r>
      </w:hyperlink>
      <w:r w:rsidRPr="003570D0">
        <w:rPr>
          <w:rFonts w:eastAsia="Calibri"/>
          <w:u w:color="101722"/>
          <w:lang w:eastAsia="en-US"/>
        </w:rPr>
        <w:t xml:space="preserve"> . </w:t>
      </w:r>
    </w:p>
    <w:p w14:paraId="6159A585"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Enterprise Ireland </w:t>
      </w:r>
      <w:hyperlink r:id="rId70" w:history="1">
        <w:r w:rsidRPr="003570D0">
          <w:rPr>
            <w:rFonts w:eastAsia="Calibri"/>
            <w:u w:color="101722"/>
            <w:lang w:eastAsia="en-US"/>
          </w:rPr>
          <w:t>https://www.enterprise-ireland.com/en/funding-supports/company/esetablish-sme-funding/acumen-programme.html</w:t>
        </w:r>
      </w:hyperlink>
      <w:r w:rsidRPr="003570D0">
        <w:rPr>
          <w:rFonts w:eastAsia="Calibri"/>
          <w:u w:color="101722"/>
          <w:lang w:eastAsia="en-US"/>
        </w:rPr>
        <w:t xml:space="preserve"> .</w:t>
      </w:r>
    </w:p>
    <w:p w14:paraId="472FBCC0"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Esperanza-Masana R. (2021). Towards Smart Specialisation 2.0. Main Challenges When Updating Strategies. Journal of the Knowledge Economy </w:t>
      </w:r>
      <w:hyperlink r:id="rId71" w:history="1">
        <w:r w:rsidRPr="003570D0">
          <w:rPr>
            <w:rFonts w:eastAsia="Calibri"/>
            <w:u w:color="101722"/>
            <w:lang w:eastAsia="en-US"/>
          </w:rPr>
          <w:t>https://doi.org/10.1007/s13132-021-00766-1</w:t>
        </w:r>
      </w:hyperlink>
      <w:r w:rsidRPr="003570D0">
        <w:rPr>
          <w:rFonts w:eastAsia="Calibri"/>
          <w:u w:color="101722"/>
          <w:lang w:eastAsia="en-US"/>
        </w:rPr>
        <w:t xml:space="preserve">. </w:t>
      </w:r>
    </w:p>
    <w:p w14:paraId="100B5009"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EUROPEAN COMMISSION (2003). Communication from the Commission “Investing in research: an action plan for Europe”, COM(2003) 226 final/2, 4.6.2003. </w:t>
      </w:r>
    </w:p>
    <w:p w14:paraId="1D0A231E"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EUROPEAN COMMISSION (2006). COMMUNICATION FROM THE COMMISSION TO THE COUNCIL, THE EUROPEAN PARLIAMENT, THE EUROPEAN ECONOMIC AND SOCIAL COMMITTEE AND THE COMMITTEE OF THE REGIONS; Putting knowledge into practice: A broad-based innovation strategy for the EU; COM(2006) 502 final: 13.9.2006.</w:t>
      </w:r>
    </w:p>
    <w:p w14:paraId="28F1F211"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EUROPEAN COMMISSION (2006). Constructing regional advantage; principles – perspectives – policies: European Commission, Directorate-General for Research, (2006). </w:t>
      </w:r>
      <w:hyperlink r:id="rId72" w:history="1">
        <w:r w:rsidRPr="003570D0">
          <w:rPr>
            <w:rFonts w:eastAsia="Calibri"/>
            <w:u w:color="101722"/>
            <w:lang w:eastAsia="en-US"/>
          </w:rPr>
          <w:t>http://www.dime-eu.org/files/active/0/regional_advantage_FINAL.pdf</w:t>
        </w:r>
      </w:hyperlink>
      <w:r w:rsidRPr="003570D0">
        <w:rPr>
          <w:rFonts w:eastAsia="Calibri"/>
          <w:u w:color="101722"/>
          <w:lang w:eastAsia="en-US"/>
        </w:rPr>
        <w:t xml:space="preserve"> .</w:t>
      </w:r>
    </w:p>
    <w:p w14:paraId="64E04A8B"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EUROPEAN COMMISSION (2010). Communication from the commission to the European parliament, the council, the European economic and social committee and the Committee of the Regions: Regional Policy contributing to smart growth in Europe 2020. </w:t>
      </w:r>
      <w:hyperlink r:id="rId73" w:history="1">
        <w:r w:rsidRPr="003570D0">
          <w:rPr>
            <w:rFonts w:eastAsia="Calibri"/>
            <w:u w:color="101722"/>
            <w:lang w:eastAsia="en-US"/>
          </w:rPr>
          <w:t>https://ec.europa.eu/regional_policy/sources/docoffic/official/communic/smart_growth/comm2010_553_en.pdf</w:t>
        </w:r>
      </w:hyperlink>
      <w:r w:rsidRPr="003570D0">
        <w:rPr>
          <w:rFonts w:eastAsia="Calibri"/>
          <w:u w:color="101722"/>
          <w:lang w:eastAsia="en-US"/>
        </w:rPr>
        <w:t xml:space="preserve"> .</w:t>
      </w:r>
    </w:p>
    <w:p w14:paraId="0B98A492"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EUROPEAN COMMISSION (2010). Europe 2020 Flagship Initiative Innovation Union. COM(2010) 546 final. SEC 6111.</w:t>
      </w:r>
    </w:p>
    <w:p w14:paraId="79EE21FE"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EUROPEAN COMMISSION (2010). Expert evaluation network delivering policy analysis on the performance of cohesion policy 2007-2013. Task 2: Country Report on Achievements of Cohesion Policy: Sweden’. Directorate-General Regional Policy: Brussels. </w:t>
      </w:r>
    </w:p>
    <w:p w14:paraId="04288D7C" w14:textId="77777777" w:rsidR="00403528" w:rsidRPr="003570D0" w:rsidRDefault="00403528" w:rsidP="00403528">
      <w:pPr>
        <w:pStyle w:val="Heading9"/>
        <w:rPr>
          <w:rFonts w:eastAsia="Calibri"/>
          <w:u w:color="101722"/>
          <w:lang w:eastAsia="en-US"/>
        </w:rPr>
      </w:pPr>
      <w:r w:rsidRPr="003570D0">
        <w:rPr>
          <w:rFonts w:eastAsia="Calibri"/>
          <w:u w:color="101722"/>
          <w:lang w:eastAsia="en-US"/>
        </w:rPr>
        <w:t xml:space="preserve">EUROPEAN COMMISSION  (2011). Territorial agenda of the European Union 2020 – Towards an inclusive, smart and sustainable Europe of Diverse Regions, Informal Ministerial Meeting of Ministers responsible for Spatial Planning and Territorial Development, 19 May 2011, Gödöllő, Hungary. Available at http://ec.europa.eu/regional_policy/sources/policy/what/territorial-cohe sion/territorial_agenda_2020.pdf (accessed on 22 February 2016). </w:t>
      </w:r>
    </w:p>
    <w:p w14:paraId="3F9B0CE0" w14:textId="47390E4B" w:rsidR="00083C19" w:rsidRPr="003570D0" w:rsidRDefault="00083C19" w:rsidP="00D86705">
      <w:pPr>
        <w:pStyle w:val="Heading9"/>
        <w:rPr>
          <w:rFonts w:eastAsia="Calibri"/>
          <w:u w:color="101722"/>
          <w:lang w:eastAsia="en-US"/>
        </w:rPr>
      </w:pPr>
      <w:r w:rsidRPr="003570D0">
        <w:rPr>
          <w:rFonts w:eastAsia="Calibri"/>
          <w:u w:color="101722"/>
          <w:lang w:eastAsia="en-US"/>
        </w:rPr>
        <w:lastRenderedPageBreak/>
        <w:t xml:space="preserve">EUROPEAN COMMISSION (2012). Guide to Research and Innovation Strategies for Smart Specialisations (RIS3). </w:t>
      </w:r>
      <w:hyperlink r:id="rId74" w:history="1">
        <w:r w:rsidRPr="003570D0">
          <w:rPr>
            <w:rFonts w:eastAsia="Calibri"/>
            <w:u w:color="101722"/>
            <w:lang w:eastAsia="en-US"/>
          </w:rPr>
          <w:t>https://ec.europa.eu/regional_policy/sources/docgener/presenta/smart_specialisation/smart_ris3_2012.pdf</w:t>
        </w:r>
      </w:hyperlink>
      <w:r w:rsidRPr="003570D0">
        <w:rPr>
          <w:rFonts w:eastAsia="Calibri"/>
          <w:u w:color="101722"/>
          <w:lang w:eastAsia="en-US"/>
        </w:rPr>
        <w:t xml:space="preserve"> </w:t>
      </w:r>
    </w:p>
    <w:p w14:paraId="3A49D41A"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EUROPEAN COMMISSION (2013). Regulation (EU) N°1304/2013 of the European Parliament and of the Council of 17/12/2013- OJ L 347/470 of 20.12.2013. (2020). EU support for regional development in 2021-2027. </w:t>
      </w:r>
      <w:hyperlink r:id="rId75" w:history="1">
        <w:r w:rsidRPr="003570D0">
          <w:rPr>
            <w:rFonts w:eastAsia="Calibri"/>
            <w:u w:color="101722"/>
            <w:lang w:eastAsia="en-US"/>
          </w:rPr>
          <w:t>https://tem.fi/documents/1410877/10387910/Romanska+MFF+and+cohesion+policy+post+2020.pdf/2b77997e-42a9-41a0-92f5-b32f5140975e/Romanska+MFF+and+cohesion+policy+post+2020.pdf.pdf</w:t>
        </w:r>
      </w:hyperlink>
      <w:r w:rsidRPr="003570D0">
        <w:rPr>
          <w:rFonts w:eastAsia="Calibri"/>
          <w:u w:color="101722"/>
          <w:lang w:eastAsia="en-US"/>
        </w:rPr>
        <w:t>.</w:t>
      </w:r>
    </w:p>
    <w:p w14:paraId="3D5AC469"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EUROPEAN COMMISSION (2013). REGULATION (EU) No 1303/2013 OF THE EUROPEAN PARLIAMENT AND OF THE COUNCIL Of 17 December 2013), Page 378 Article 70 Eligibility of Operations depending on Location, §2 And Page 415 Annex 1, COORDINATION AND SYNERGIES BETWEEN ESI FUNDS AND OTHER UNION POLICIES AND INSTRUMENTS. </w:t>
      </w:r>
    </w:p>
    <w:p w14:paraId="5E2DB740"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EUROPEAN COMMISSION (2013). The landscape of regional innovation in Länsi-Suomi, Finland.  https://ec.europa.eu/growth/tools-databases/regional-innovation-monitor/news/landscape-regional-innovation-länsi-suomi-finland. </w:t>
      </w:r>
    </w:p>
    <w:p w14:paraId="1ADBFA8E"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EUROPEAN COMMISSION (2013). The role of clusters in smart specialisation strategies: Directorate General for Research and Innovation, 2013. </w:t>
      </w:r>
      <w:hyperlink r:id="rId76" w:history="1">
        <w:r w:rsidRPr="003570D0">
          <w:rPr>
            <w:rFonts w:eastAsia="Calibri"/>
            <w:u w:color="101722"/>
            <w:lang w:eastAsia="en-US"/>
          </w:rPr>
          <w:t>https://ec.europa.eu/research/evaluations/pdf/archive/other_reports_studies_and_documents/clusters_smart_spec2013.pdf</w:t>
        </w:r>
      </w:hyperlink>
      <w:r w:rsidRPr="003570D0">
        <w:rPr>
          <w:rFonts w:eastAsia="Calibri"/>
          <w:u w:color="101722"/>
          <w:lang w:eastAsia="en-US"/>
        </w:rPr>
        <w:t xml:space="preserve"> .</w:t>
      </w:r>
    </w:p>
    <w:p w14:paraId="0427C712"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EUROPEAN COMMISSION (2014). The European Commission made RIS3 a pre-condition for ERDF funding. EU Members States and regions must have RIS3 strategies in place before their Operational Programmes supporting these investments are approved. National/regional innovation strategies for smart specialisation (ris3), cohesion policy 2014-2020. </w:t>
      </w:r>
      <w:hyperlink r:id="rId77" w:history="1">
        <w:r w:rsidRPr="003570D0">
          <w:rPr>
            <w:rFonts w:eastAsia="Calibri"/>
            <w:u w:color="101722"/>
            <w:lang w:eastAsia="en-US"/>
          </w:rPr>
          <w:t>http://ec.europa.eu/regional_policy/sources/docgener/informat/2014/smart_specialisation_en.pdf</w:t>
        </w:r>
      </w:hyperlink>
      <w:r w:rsidRPr="003570D0">
        <w:rPr>
          <w:rFonts w:eastAsia="Calibri"/>
          <w:u w:color="101722"/>
          <w:lang w:eastAsia="en-US"/>
        </w:rPr>
        <w:t xml:space="preserve">. </w:t>
      </w:r>
    </w:p>
    <w:p w14:paraId="050CBAD6"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EUROPEAN COMMISSION (2015). Territorial Agenda 2020 put in practice – Enhancing the efficiency and effectiveness of cohesion policy by a place-based approach, Vol. 1. Synthesis Report, Brussels: EU Commission, Directorate-General for Regional and Urban Policy. </w:t>
      </w:r>
    </w:p>
    <w:p w14:paraId="06BF88BA" w14:textId="7CECFEFA" w:rsidR="00403528" w:rsidRPr="003570D0" w:rsidRDefault="00403528" w:rsidP="00D86705">
      <w:pPr>
        <w:pStyle w:val="Heading9"/>
        <w:rPr>
          <w:rFonts w:eastAsia="Calibri"/>
          <w:u w:color="101722"/>
          <w:lang w:eastAsia="en-US"/>
        </w:rPr>
      </w:pPr>
      <w:r w:rsidRPr="003570D0">
        <w:rPr>
          <w:rFonts w:eastAsia="Calibri"/>
          <w:u w:color="101722"/>
          <w:lang w:eastAsia="en-US"/>
        </w:rPr>
        <w:t>EUROPEAN COMMISSION DG Regio, PINNA V. (2019). Smart Specialisation and Interregional Innovation Investments. Warsaw, 14 June 2019, Slide 21.</w:t>
      </w:r>
    </w:p>
    <w:p w14:paraId="5468472F" w14:textId="182CB8F0"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EUROPEAN COMMISSION (2020). EU support for regional development in 2021-2027. </w:t>
      </w:r>
      <w:hyperlink r:id="rId78" w:history="1">
        <w:r w:rsidRPr="003570D0">
          <w:rPr>
            <w:rFonts w:eastAsia="Calibri"/>
            <w:u w:color="101722"/>
            <w:lang w:eastAsia="en-US"/>
          </w:rPr>
          <w:t>https://tem.fi/documents/1410877/10387910/Romanska+MFF+and+cohesion+policy+post+2020.pdf/2b77997e-42a9-41a0-92f5-b32f5140975e/Romanska+MFF+and+cohesion+policy+post+2020.pdf.pdf</w:t>
        </w:r>
      </w:hyperlink>
      <w:r w:rsidRPr="003570D0">
        <w:rPr>
          <w:rFonts w:eastAsia="Calibri"/>
          <w:u w:color="101722"/>
          <w:lang w:eastAsia="en-US"/>
        </w:rPr>
        <w:t xml:space="preserve"> </w:t>
      </w:r>
    </w:p>
    <w:p w14:paraId="3F7FACB1"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EUROPEAN COMMISSION (2020). Pilot action on interregional innovation call for expression of interest for covid -19 response and recovery partnerships. CALL TEXT at </w:t>
      </w:r>
      <w:hyperlink r:id="rId79" w:history="1">
        <w:r w:rsidRPr="003570D0">
          <w:rPr>
            <w:rFonts w:eastAsia="Calibri"/>
            <w:u w:color="101722"/>
            <w:lang w:eastAsia="en-US"/>
          </w:rPr>
          <w:t>https://ec.europa.eu/regional_policy/sources/tender/pdf/interregional_innovation/call.pdf</w:t>
        </w:r>
      </w:hyperlink>
      <w:r w:rsidRPr="003570D0">
        <w:rPr>
          <w:rFonts w:eastAsia="Calibri"/>
          <w:u w:color="101722"/>
          <w:lang w:eastAsia="en-US"/>
        </w:rPr>
        <w:t xml:space="preserve"> .</w:t>
      </w:r>
    </w:p>
    <w:p w14:paraId="2010DB3E"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EUROPEAN COMMISSION (2020). The 6th Actions to manage industrial transition and 7th Measures for international collaboration enabling conditions) of the thematic objective 1 (TO1) Strengthening research, technological development and innovation, </w:t>
      </w:r>
      <w:hyperlink r:id="rId80" w:history="1">
        <w:r w:rsidRPr="003570D0">
          <w:rPr>
            <w:rFonts w:eastAsia="Calibri"/>
            <w:u w:color="101722"/>
            <w:lang w:eastAsia="en-US"/>
          </w:rPr>
          <w:t>https://ec.europa.eu/regional_policy/en/policy/how/priorities/2014-2020/</w:t>
        </w:r>
      </w:hyperlink>
    </w:p>
    <w:p w14:paraId="41B7A44D"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EUROPEAN COMMISSION (2020). Updating the 2020 Industrial Strategy: towards a stronger Single Market for Europe's recovery, </w:t>
      </w:r>
      <w:hyperlink r:id="rId81" w:history="1">
        <w:r w:rsidRPr="003570D0">
          <w:rPr>
            <w:rFonts w:eastAsia="Calibri"/>
            <w:u w:color="101722"/>
            <w:lang w:eastAsia="en-US"/>
          </w:rPr>
          <w:t>https://ec.europa.eu/commission/presscorner/detail/en/ip_21_1884</w:t>
        </w:r>
      </w:hyperlink>
      <w:r w:rsidRPr="003570D0">
        <w:rPr>
          <w:rFonts w:eastAsia="Calibri"/>
          <w:u w:color="101722"/>
          <w:lang w:eastAsia="en-US"/>
        </w:rPr>
        <w:t xml:space="preserve"> . </w:t>
      </w:r>
    </w:p>
    <w:p w14:paraId="3D270274"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EUROPEAN COMMISSION (2020). Updating the 2020 new industrial strategy. Building a stronger single market for Europe’s recovery. COM2021 (350) final. </w:t>
      </w:r>
      <w:hyperlink r:id="rId82" w:history="1">
        <w:r w:rsidRPr="003570D0">
          <w:rPr>
            <w:rFonts w:eastAsia="Calibri"/>
            <w:u w:color="101722"/>
            <w:lang w:eastAsia="en-US"/>
          </w:rPr>
          <w:t>https://ec.europa.eu/info/sites/default/files/communication-industrial-strategy-update-2020_en.pdf</w:t>
        </w:r>
      </w:hyperlink>
      <w:r w:rsidRPr="003570D0">
        <w:rPr>
          <w:rFonts w:eastAsia="Calibri"/>
          <w:u w:color="101722"/>
          <w:lang w:eastAsia="en-US"/>
        </w:rPr>
        <w:t xml:space="preserve">; </w:t>
      </w:r>
      <w:hyperlink r:id="rId83" w:history="1">
        <w:r w:rsidRPr="003570D0">
          <w:rPr>
            <w:rFonts w:eastAsia="Calibri"/>
            <w:u w:color="101722"/>
            <w:lang w:eastAsia="en-US"/>
          </w:rPr>
          <w:t>https://ec.europa.eu/info/files/communication-updating-2020-new-industrial-strategy-building-stronger-single-market-europes-recovery_en</w:t>
        </w:r>
      </w:hyperlink>
      <w:r w:rsidRPr="003570D0">
        <w:rPr>
          <w:rFonts w:eastAsia="Calibri"/>
          <w:u w:color="101722"/>
          <w:lang w:eastAsia="en-US"/>
        </w:rPr>
        <w:t xml:space="preserve">. </w:t>
      </w:r>
    </w:p>
    <w:p w14:paraId="3DA06BA9"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EUROPEAN PARLIAMENT (2021). Post Covid-19 value chains: options for reshoring production back to Europe in a globalised economy. 19-02-2021. Policy Department for External Relations Directorate General for External Policies of the Union PE 653.626 – March 2021. </w:t>
      </w:r>
      <w:hyperlink r:id="rId84" w:history="1">
        <w:r w:rsidRPr="003570D0">
          <w:rPr>
            <w:rFonts w:eastAsia="Calibri"/>
            <w:u w:color="101722"/>
            <w:lang w:eastAsia="en-US"/>
          </w:rPr>
          <w:t>https://www.europarl.europa.eu/RegData/etudes/STUD/2021/653626/EXPO_STU(2021)653626_EN.pdf</w:t>
        </w:r>
      </w:hyperlink>
      <w:r w:rsidRPr="003570D0">
        <w:rPr>
          <w:rFonts w:eastAsia="Calibri"/>
          <w:u w:color="101722"/>
          <w:lang w:eastAsia="en-US"/>
        </w:rPr>
        <w:t xml:space="preserve"> . </w:t>
      </w:r>
    </w:p>
    <w:p w14:paraId="4E4F0F74"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European Research Advisory Board (EURAB) Final Report, Research and Technology Organisations (RTOs) and ERA: </w:t>
      </w:r>
      <w:hyperlink r:id="rId85" w:history="1">
        <w:r w:rsidRPr="003570D0">
          <w:rPr>
            <w:rFonts w:eastAsia="Calibri"/>
            <w:u w:color="101722"/>
            <w:lang w:eastAsia="en-US"/>
          </w:rPr>
          <w:t>https://ec.europa.eu/research/eurab/pdf/eurab_05_037_wg4fr_dec2005_en.pdf</w:t>
        </w:r>
      </w:hyperlink>
      <w:r w:rsidRPr="003570D0">
        <w:rPr>
          <w:rFonts w:eastAsia="Calibri"/>
          <w:u w:color="101722"/>
          <w:lang w:eastAsia="en-US"/>
        </w:rPr>
        <w:t xml:space="preserve"> . </w:t>
      </w:r>
    </w:p>
    <w:p w14:paraId="4A10C5E8"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European Strategy Forum on Research Infrastructures –ESFRI (2016)STRATEGY REPORT ON RESEARCH INFRASTRUCTURES Roadmap 2016, </w:t>
      </w:r>
      <w:hyperlink r:id="rId86" w:history="1">
        <w:r w:rsidRPr="003570D0">
          <w:rPr>
            <w:rFonts w:eastAsia="Calibri"/>
            <w:u w:color="101722"/>
            <w:lang w:eastAsia="en-US"/>
          </w:rPr>
          <w:t>http://ec.europa.eu/research/infrastructures</w:t>
        </w:r>
      </w:hyperlink>
      <w:r w:rsidRPr="003570D0">
        <w:rPr>
          <w:rFonts w:eastAsia="Calibri"/>
          <w:u w:color="101722"/>
          <w:lang w:eastAsia="en-US"/>
        </w:rPr>
        <w:t>,.</w:t>
      </w:r>
    </w:p>
    <w:p w14:paraId="00853D49"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EUROPEAN UNION, COMMITTEE OF THE REGIONS (2019). Implementing a place-based approach to EU industrial policy strategy. doi:10.2863/713416. </w:t>
      </w:r>
      <w:r w:rsidRPr="003570D0">
        <w:rPr>
          <w:rFonts w:eastAsia="Calibri"/>
          <w:u w:val="single" w:color="101722"/>
          <w:lang w:eastAsia="en-US"/>
        </w:rPr>
        <w:t>Relate</w:t>
      </w:r>
      <w:r w:rsidRPr="003570D0">
        <w:rPr>
          <w:rFonts w:eastAsia="Calibri"/>
          <w:u w:color="101722"/>
          <w:lang w:eastAsia="en-US"/>
        </w:rPr>
        <w:t xml:space="preserve">d: Asheim, B. (2012). “The changing role of learning regions in the globalizing knowledge economy: A theoretical re-examination”, Regional Studies, http://dx.doi.org/10.1080/00343404.2011.60780.  Asheim, B. (1996). “Industrial districts as ’learning regions’: A condition for prosperity”, European Planning Studies, Vol. 4/4, pp. 379-400. Asheim, B. and M. Gertler (2009). “The geography of innovation: Regional innovation systems”, in The Oxford Handbook of Innovation, Oxford University Press. </w:t>
      </w:r>
    </w:p>
    <w:p w14:paraId="128CD17E"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Evaluation of the Finnish National Innovation System – Policy Report (2009): Taloustieto Oy (on behalf of the Ministry of Education and the Ministry of Employment and the Economy) Helsinki University Print, 2009. </w:t>
      </w:r>
      <w:hyperlink r:id="rId87" w:history="1">
        <w:r w:rsidRPr="003570D0">
          <w:rPr>
            <w:rFonts w:eastAsia="Calibri"/>
            <w:u w:color="101722"/>
            <w:lang w:eastAsia="en-US"/>
          </w:rPr>
          <w:t>https://www.etla.fi/wp-content/uploads/InnoEvalFi_POLICY_Report_28-Oct-2009.pdf</w:t>
        </w:r>
      </w:hyperlink>
      <w:r w:rsidRPr="003570D0">
        <w:rPr>
          <w:rFonts w:eastAsia="Calibri"/>
          <w:u w:color="101722"/>
          <w:lang w:eastAsia="en-US"/>
        </w:rPr>
        <w:t>, retrieved 29.12.2018.</w:t>
      </w:r>
    </w:p>
    <w:p w14:paraId="3F4D9C8D"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Evangelista R., Meliciani V. and Vezzani A. (2015). The Specialisation of EU Regions in Fast Growing and Key Enabling Technologies. JRC Technical Report, EUR 27524 EN; doi:10.2791/844794. </w:t>
      </w:r>
    </w:p>
    <w:p w14:paraId="1F7BA108"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Evangelista, R., Iammarino, S., Mastrostefano, V. and Silvani, A. (2002). Looking for regional systems of innovation. Evidence from the Italian innovation survey, Regional Studies 36 (2), 173-186. </w:t>
      </w:r>
    </w:p>
    <w:p w14:paraId="64DD7CEE"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Exploring Economics, </w:t>
      </w:r>
      <w:hyperlink r:id="rId88" w:history="1">
        <w:r w:rsidRPr="003570D0">
          <w:rPr>
            <w:rFonts w:eastAsia="Calibri"/>
            <w:u w:color="101722"/>
            <w:lang w:eastAsia="en-US"/>
          </w:rPr>
          <w:t>https://www.exploring-economics.org/en/orientation/evolutionary-economics/</w:t>
        </w:r>
      </w:hyperlink>
      <w:r w:rsidRPr="003570D0">
        <w:rPr>
          <w:rFonts w:eastAsia="Calibri"/>
          <w:u w:color="101722"/>
          <w:lang w:eastAsia="en-US"/>
        </w:rPr>
        <w:t xml:space="preserve"> .  </w:t>
      </w:r>
    </w:p>
    <w:p w14:paraId="200EAC2D"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Farole, T., Rodríguez-Pose, A., &amp; Storper, M. (2011). Human geography and the institutions that underlie economic growth. Progress in Human Geography, 35(1), 58–80. </w:t>
      </w:r>
    </w:p>
    <w:p w14:paraId="6DEFFB88"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Feldman M. P. and Audretsch D. B. (1999). Innovation in cities: Science-based diversity, specialization and localized competition. European Economic Review 43, 409-429. </w:t>
      </w:r>
    </w:p>
    <w:p w14:paraId="2A9191A9"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Feldman, M. and Kogler, D. (2010). Stylized Facts in the Geography of Innovation. In Handbook of the Economics of Innovation,2010, Chapter 8 vol. 1, pp 381-410, Elsevier. </w:t>
      </w:r>
      <w:hyperlink r:id="rId89" w:history="1">
        <w:r w:rsidRPr="003570D0">
          <w:rPr>
            <w:rFonts w:eastAsia="Calibri"/>
            <w:u w:color="101722"/>
            <w:lang w:eastAsia="en-US"/>
          </w:rPr>
          <w:t>http://www.sciencedirect.com/science/article/pii/S0169721810010087</w:t>
        </w:r>
      </w:hyperlink>
      <w:r w:rsidRPr="003570D0">
        <w:rPr>
          <w:rFonts w:eastAsia="Calibri"/>
          <w:u w:color="101722"/>
          <w:lang w:eastAsia="en-US"/>
        </w:rPr>
        <w:t xml:space="preserve">.   </w:t>
      </w:r>
    </w:p>
    <w:p w14:paraId="2D8DC09C" w14:textId="77777777" w:rsidR="00083C19" w:rsidRPr="003570D0" w:rsidRDefault="00083C19" w:rsidP="00D86705">
      <w:pPr>
        <w:pStyle w:val="Heading9"/>
        <w:rPr>
          <w:rFonts w:eastAsia="Calibri"/>
          <w:u w:color="101722"/>
          <w:lang w:eastAsia="en-US"/>
        </w:rPr>
      </w:pPr>
      <w:bookmarkStart w:id="28" w:name="_Foray_D._(2015)."/>
      <w:bookmarkEnd w:id="28"/>
      <w:r w:rsidRPr="003570D0">
        <w:rPr>
          <w:rFonts w:eastAsia="Calibri"/>
          <w:u w:color="101722"/>
          <w:lang w:eastAsia="en-US"/>
        </w:rPr>
        <w:t xml:space="preserve">Finland Centres of Excellence,  Academy of Finland, </w:t>
      </w:r>
      <w:hyperlink r:id="rId90" w:history="1">
        <w:r w:rsidRPr="003570D0">
          <w:rPr>
            <w:rFonts w:eastAsia="Calibri"/>
            <w:u w:color="101722"/>
            <w:lang w:eastAsia="en-US"/>
          </w:rPr>
          <w:t>https://www.aka.fi/en/research-and-science-policy/centres-of-excellence/</w:t>
        </w:r>
      </w:hyperlink>
      <w:r w:rsidRPr="003570D0">
        <w:rPr>
          <w:rFonts w:eastAsia="Calibri"/>
          <w:u w:color="101722"/>
          <w:lang w:eastAsia="en-US"/>
        </w:rPr>
        <w:t>.</w:t>
      </w:r>
    </w:p>
    <w:p w14:paraId="3222EDB3"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Finland Ministry of Education (2009). Evaluation of the Finnish National Innovation System Policy Report. </w:t>
      </w:r>
    </w:p>
    <w:p w14:paraId="0105BB61"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FIRES (2016). Indicators and Growth effects of Related Variety at the national and regional level in the EU. WP3. Grant Agreement 649378. EC Reference Ares (2016)1019172 - 29/02/2016.  Page 12–13.</w:t>
      </w:r>
    </w:p>
    <w:p w14:paraId="53F2396D" w14:textId="77777777" w:rsidR="00083C19" w:rsidRPr="003570D0" w:rsidRDefault="00083C19" w:rsidP="00D86705">
      <w:pPr>
        <w:pStyle w:val="Heading9"/>
        <w:rPr>
          <w:rFonts w:eastAsia="Calibri"/>
          <w:u w:color="101722"/>
          <w:lang w:eastAsia="en-US"/>
        </w:rPr>
      </w:pPr>
      <w:bookmarkStart w:id="29" w:name="_Foray_D._(2012)."/>
      <w:bookmarkEnd w:id="29"/>
      <w:r w:rsidRPr="003570D0">
        <w:rPr>
          <w:rFonts w:eastAsia="Calibri"/>
          <w:u w:color="101722"/>
          <w:lang w:eastAsia="en-US"/>
        </w:rPr>
        <w:t>FIRI the Finnish research infrastructure committee), AKA (Academy of Finland), MINEDU (Ministry of Education), 2014. Finland’s strategy and roadmap for research infrastructures 2014-2020. Page 3, stressing quality of research, impact, and internationalisation.</w:t>
      </w:r>
    </w:p>
    <w:p w14:paraId="0E91E57D"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lastRenderedPageBreak/>
        <w:t>Fischer M.M. &amp; Vargas A. (2002). Technological innovation and interfirm cooperation. An exploratory analysis using survey data from manufacturing firms in the metropolitan region of Vienna. International Journal of Technology Management, December 2002. https://www.researchgate.net/publication/228295128.</w:t>
      </w:r>
    </w:p>
    <w:p w14:paraId="0E1DB804"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Fitjar R. D., Huber, F., and Rodríguez-pose, A. (2015). Not too close, not too far. Towards an Empirical Test of the Goldilocks Principle of Non-Geographical Distance in Collaboration Networks for Innovation. Paper presented at DRUID 2015 conference. </w:t>
      </w:r>
    </w:p>
    <w:p w14:paraId="25292F7F"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Flanagan, K., &amp; Uyarra, E. (2016). Four dangers in innovation policy studies–and how to avoid them. Industry and Innovation, 23(2), 177-188.</w:t>
      </w:r>
    </w:p>
    <w:p w14:paraId="4E0967F2" w14:textId="77777777" w:rsidR="00D86705" w:rsidRPr="003570D0" w:rsidRDefault="00D86705" w:rsidP="00D86705">
      <w:pPr>
        <w:pStyle w:val="Heading9"/>
        <w:rPr>
          <w:rFonts w:eastAsia="Calibri"/>
          <w:u w:color="101722"/>
          <w:lang w:eastAsia="en-US"/>
        </w:rPr>
      </w:pPr>
      <w:r w:rsidRPr="003570D0">
        <w:rPr>
          <w:rFonts w:eastAsia="Calibri"/>
          <w:u w:color="101722"/>
          <w:lang w:eastAsia="en-US"/>
        </w:rPr>
        <w:t xml:space="preserve">Foray, D./David, P.A./Hall, B.H. (2009): Smart Specialisation – The Concept. Knowledge Economists Policy Brief, 9 (= Policy brief delivered by the "Knowledge for Growth" Expert Group advising the Commissioner for Research, Janez Potoènik). Online: http://ec.europa.eu/invest-in-research/monitoring/knowledge_ en.htm. </w:t>
      </w:r>
    </w:p>
    <w:p w14:paraId="59E57E90" w14:textId="77777777" w:rsidR="00D86705" w:rsidRPr="003570D0" w:rsidRDefault="00D86705" w:rsidP="00D86705">
      <w:pPr>
        <w:pStyle w:val="Heading9"/>
        <w:rPr>
          <w:rFonts w:eastAsia="Calibri"/>
          <w:u w:color="101722"/>
          <w:lang w:eastAsia="en-US"/>
        </w:rPr>
      </w:pPr>
      <w:r w:rsidRPr="003570D0">
        <w:rPr>
          <w:rFonts w:eastAsia="Calibri"/>
          <w:u w:color="101722"/>
          <w:lang w:eastAsia="en-US"/>
        </w:rPr>
        <w:t xml:space="preserve">Foray D., David P.A., Hall B.H. (2011). Smart specialization. From academic idea to political instrument, the surprising career of a concept and the difficulties involved in its implementation. Lausanne, MTEI Working Paper No. 1. </w:t>
      </w:r>
    </w:p>
    <w:p w14:paraId="28B1E064" w14:textId="77777777" w:rsidR="00D86705" w:rsidRPr="003570D0" w:rsidRDefault="00D86705" w:rsidP="00D86705">
      <w:pPr>
        <w:pStyle w:val="Heading9"/>
        <w:rPr>
          <w:rFonts w:eastAsia="Calibri"/>
          <w:u w:color="101722"/>
          <w:lang w:eastAsia="en-US"/>
        </w:rPr>
      </w:pPr>
      <w:bookmarkStart w:id="30" w:name="_Foray,_D.,_Goddard,"/>
      <w:bookmarkEnd w:id="30"/>
      <w:r w:rsidRPr="003570D0">
        <w:rPr>
          <w:rFonts w:eastAsia="Calibri"/>
          <w:u w:color="101722"/>
          <w:lang w:eastAsia="en-US"/>
        </w:rPr>
        <w:t xml:space="preserve">Foray, D., Goddard, J., Beldarrain, X. G., Landabaso, M., McCann, P., Morgan, K., Nauwelaers, C., Ortega‐Argilés, R. and Mulatero, F. (2012). Guide to Research and Innovation Strategies for Smart Specialisations (RIS3). </w:t>
      </w:r>
    </w:p>
    <w:p w14:paraId="5435375F" w14:textId="37772B99" w:rsidR="00D86705" w:rsidRPr="003570D0" w:rsidRDefault="00D86705" w:rsidP="00D86705">
      <w:pPr>
        <w:pStyle w:val="Heading9"/>
        <w:rPr>
          <w:rFonts w:eastAsia="Calibri"/>
          <w:u w:color="101722"/>
          <w:lang w:eastAsia="en-US"/>
        </w:rPr>
      </w:pPr>
      <w:r w:rsidRPr="003570D0">
        <w:rPr>
          <w:rFonts w:eastAsia="Calibri"/>
          <w:u w:color="101722"/>
          <w:lang w:eastAsia="en-US"/>
        </w:rPr>
        <w:t>Foray, D. (2013), “The economic fundamentals of smart specialisation”, Ekonomiaz: Revista Vasca de Economía, Vol. 83 No. 2, pp. 55-82.</w:t>
      </w:r>
    </w:p>
    <w:p w14:paraId="189A2848" w14:textId="77777777" w:rsidR="00D86705" w:rsidRPr="003570D0" w:rsidRDefault="00D86705" w:rsidP="00D86705">
      <w:pPr>
        <w:pStyle w:val="Heading9"/>
        <w:rPr>
          <w:rFonts w:eastAsia="Calibri"/>
          <w:u w:color="101722"/>
          <w:lang w:eastAsia="en-US"/>
        </w:rPr>
      </w:pPr>
      <w:r w:rsidRPr="003570D0">
        <w:rPr>
          <w:rFonts w:eastAsia="Calibri"/>
          <w:u w:color="101722"/>
          <w:lang w:eastAsia="en-US"/>
        </w:rPr>
        <w:t xml:space="preserve">Foray, D., Goenaga X. (2013). The goals of smart specialisation, Publications Office. </w:t>
      </w:r>
    </w:p>
    <w:p w14:paraId="6D0813CA" w14:textId="77777777" w:rsidR="00D86705" w:rsidRPr="003570D0" w:rsidRDefault="00D86705" w:rsidP="00D86705">
      <w:pPr>
        <w:pStyle w:val="Heading9"/>
        <w:rPr>
          <w:rFonts w:eastAsia="Calibri"/>
          <w:u w:color="101722"/>
          <w:lang w:eastAsia="en-US"/>
        </w:rPr>
      </w:pPr>
      <w:r w:rsidRPr="003570D0">
        <w:rPr>
          <w:rFonts w:eastAsia="Calibri"/>
          <w:u w:color="101722"/>
          <w:lang w:eastAsia="en-US"/>
        </w:rPr>
        <w:t>Foray D. (2014). The centrality of entrepreneurial discovery in building and implementing a smart specialisation strategy. Scienze Regionali, Volume 13, Issue 1,33-50.</w:t>
      </w:r>
    </w:p>
    <w:p w14:paraId="69EC3114" w14:textId="77777777" w:rsidR="00D86705" w:rsidRPr="003570D0" w:rsidRDefault="00D86705" w:rsidP="00D86705">
      <w:pPr>
        <w:pStyle w:val="Heading9"/>
        <w:rPr>
          <w:rFonts w:eastAsia="Calibri"/>
          <w:u w:color="101722"/>
          <w:lang w:eastAsia="en-US"/>
        </w:rPr>
      </w:pPr>
      <w:r w:rsidRPr="003570D0">
        <w:rPr>
          <w:rFonts w:eastAsia="Calibri"/>
          <w:u w:color="101722"/>
          <w:lang w:eastAsia="en-US"/>
        </w:rPr>
        <w:t xml:space="preserve">Foray D. (2015). Smart Specialisation: Opportunities and Challenges for Regional Innovation Policy. Routledge 2015 ISBN 978-1-13877672-2. </w:t>
      </w:r>
    </w:p>
    <w:p w14:paraId="2523C07B" w14:textId="77777777" w:rsidR="00D86705" w:rsidRPr="003570D0" w:rsidRDefault="00D86705" w:rsidP="00D86705">
      <w:pPr>
        <w:pStyle w:val="Heading9"/>
        <w:jc w:val="left"/>
        <w:rPr>
          <w:rFonts w:eastAsia="Calibri"/>
          <w:u w:color="101722"/>
          <w:lang w:eastAsia="en-US"/>
        </w:rPr>
      </w:pPr>
      <w:r w:rsidRPr="003570D0">
        <w:rPr>
          <w:rFonts w:eastAsia="Calibri"/>
          <w:u w:color="101722"/>
          <w:lang w:eastAsia="en-US"/>
        </w:rPr>
        <w:t xml:space="preserve">Foray D., Morgan K., and Radosevic S. (2021). The role of smart specialisation in the EU research and innovation policy landscape. </w:t>
      </w:r>
      <w:hyperlink r:id="rId91" w:history="1">
        <w:r w:rsidRPr="003570D0">
          <w:rPr>
            <w:rFonts w:eastAsia="Calibri"/>
            <w:u w:color="101722"/>
            <w:lang w:eastAsia="en-US"/>
          </w:rPr>
          <w:t>https://ec.europa.eu/regional_policy/sources/docgener/brochure/smart/role_smartspecialisation_ri.pdf</w:t>
        </w:r>
      </w:hyperlink>
    </w:p>
    <w:p w14:paraId="47EC4BEB"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Francis, A. (1989). The Concept of Competitiveness. In A. Francis and P. Tharakan (Eds) The Competitiveness of European Industry (pp. 5- 20). Routledge, London. </w:t>
      </w:r>
    </w:p>
    <w:p w14:paraId="4F296052"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Freeman, Ch. (2002). Continental, national and sub-national innovation systems—complementarity and economic growth. Research Policy 31 (2002) 191–211. </w:t>
      </w:r>
    </w:p>
    <w:p w14:paraId="0160FD7D"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Frenken K., Van Oort F., Verburg T. (2007). Related variety, unrelated variety and regional economic growth. Regional Studies 41(5): 685–697. </w:t>
      </w:r>
    </w:p>
    <w:p w14:paraId="00E953C5"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Fritsch, M. (2004). Cooperation and the efficiency of regional R&amp;D activities. Cambridge Journal of Economics 2004, 28, 829–846 doi:10.1093/cje/beh039. Retrieved from </w:t>
      </w:r>
      <w:hyperlink r:id="rId92" w:history="1">
        <w:r w:rsidRPr="003570D0">
          <w:rPr>
            <w:rFonts w:eastAsia="Calibri"/>
            <w:u w:color="101722"/>
            <w:lang w:eastAsia="en-US"/>
          </w:rPr>
          <w:t>https://www.researchgate.net/publication/5208456</w:t>
        </w:r>
      </w:hyperlink>
      <w:r w:rsidRPr="003570D0">
        <w:rPr>
          <w:rFonts w:eastAsia="Calibri"/>
          <w:u w:color="101722"/>
          <w:lang w:eastAsia="en-US"/>
        </w:rPr>
        <w:t xml:space="preserve">.  </w:t>
      </w:r>
    </w:p>
    <w:p w14:paraId="123F5841"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Fritsch, M., &amp; Slavtchev, V. (2011). Determinants of the Efficiency of Regional Innovation Systems. Regional Studies, 45(7), 905–918. https://doi.org/10.1080/00343400802251494 </w:t>
      </w:r>
    </w:p>
    <w:p w14:paraId="2329709E"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Fritsch, M., &amp; Stephan, A. (2005). Regionalization of innovation policy—Introduction to the special issue. Research Policy, 34(8), 1123–1127. https://doi.org/10.1016/j.respol.2005.05.013 </w:t>
      </w:r>
    </w:p>
    <w:p w14:paraId="07D23508"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lastRenderedPageBreak/>
        <w:t xml:space="preserve">Fritsch, M., &amp; Wyrwich, M. (2020). Does Successful Innovation Require Large Urban Areas? Germany as a Counterexample (Jena Economic Research Papers No. #2020-004). Friedrich Schiller University Jena, from http://www2.wiwi.uni-jena.de/Papers/jerp2020/wp_2020_004.pdf. </w:t>
      </w:r>
    </w:p>
    <w:p w14:paraId="264924A6"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Fritsch, M., Kudic, M., &amp; Pyka, A. (2019). Evolution and co-evolution of regional innovation processes. Regional Studies, 53(9), 1235–1239. https://doi.org/10.1080/00343404.2019.1627306 </w:t>
      </w:r>
    </w:p>
    <w:p w14:paraId="5F0FC0FE"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Furlong K. Geographies of infrastructure III: Infrastructure with Chinese characteristics. Progress in Human Geography. July 2021. doi:</w:t>
      </w:r>
      <w:hyperlink r:id="rId93" w:history="1">
        <w:r w:rsidRPr="003570D0">
          <w:rPr>
            <w:rFonts w:eastAsia="Calibri"/>
            <w:u w:color="101722"/>
            <w:lang w:eastAsia="en-US"/>
          </w:rPr>
          <w:t>10.1177/03091325211033652</w:t>
        </w:r>
      </w:hyperlink>
      <w:r w:rsidRPr="003570D0">
        <w:rPr>
          <w:rFonts w:eastAsia="Calibri"/>
          <w:u w:color="101722"/>
          <w:lang w:eastAsia="en-US"/>
        </w:rPr>
        <w:t>.</w:t>
      </w:r>
    </w:p>
    <w:p w14:paraId="7A6BB9CF"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Gallaud, D., and Torre, A. (2005). Geographical proximity and the diffusion of knowledge. InRethinking Regional Innovation and Change (pp. 127-146). Springer New York. </w:t>
      </w:r>
    </w:p>
    <w:p w14:paraId="11C42127"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Gereffi G., Sturgeon T. (2013). Global value chain-oriented industrial policy: the role of emerging economies. In: Global value chains in a changing world; edited by Deborah K. Elms and Patrick Low. Fung Global Institute (FGI), Nanyang Technological University (NTU), and World Trade Organization (WTO), 2013. ISBN: 978-92-870-3882-1. </w:t>
      </w:r>
      <w:hyperlink r:id="rId94" w:anchor="page=354" w:history="1">
        <w:r w:rsidRPr="003570D0">
          <w:rPr>
            <w:rFonts w:eastAsia="Calibri"/>
            <w:u w:color="101722"/>
            <w:lang w:eastAsia="en-US"/>
          </w:rPr>
          <w:t>https://citeseerx.ist.psu.edu/viewdoc/download?doi=10.1.1.643.5440&amp;rep=rep1&amp;type=pdf#page=354</w:t>
        </w:r>
      </w:hyperlink>
      <w:r w:rsidRPr="003570D0">
        <w:rPr>
          <w:rFonts w:eastAsia="Calibri"/>
          <w:u w:color="101722"/>
          <w:lang w:eastAsia="en-US"/>
        </w:rPr>
        <w:t xml:space="preserve"> </w:t>
      </w:r>
    </w:p>
    <w:p w14:paraId="2C389ED3"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Gereffi, G. (2001). “Beyond the Producer-Driven/Buyer-Driven Dichotomy: The Evolution of Global Value Chains in the Internet Era” in IDS Bulletin 32(3): 30–40. </w:t>
      </w:r>
    </w:p>
    <w:p w14:paraId="1331CD56"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Gertler, M. S. (1995). ‘Being there’: proximity, organization, and culture in the development and adoption of advanced manufacturing technologies. Economic Geography, 71(1), 1–26. doi:10.2307/ 144433.</w:t>
      </w:r>
    </w:p>
    <w:p w14:paraId="789F170F"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Giannitsis, T. (2009). Technology and specialization: Strategies, options, risks. Knowledge Economists Policy Brief n. 8, 1–7, Brussels.</w:t>
      </w:r>
    </w:p>
    <w:p w14:paraId="0A448AD8"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Giuliani, E. (2005). Inter-firm networks, projects and clusters: The structure of cluster knowledge networks. Paper presented at the DRUID tenth anniversary summer conference on ‘Dynamics of Industry and Innovation: Organizations, Networks and Systems’, Copenhagen, June 2005.</w:t>
      </w:r>
    </w:p>
    <w:p w14:paraId="028F45A2"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Glaeser, E.L., Kallal, H.D., Scheinkman, J.A., and Shleifer, A., (1992). “Growth in Cities”, Journal of Political Economy, 100, 1126-1152. </w:t>
      </w:r>
    </w:p>
    <w:p w14:paraId="4D6EFE11"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Glaeser, E.L., Summers, L., and Austin, B. (2018). “A Rescue Plan for Jobs in the Hearthland”, New York Times, 24 May, See: https://www.nytimes.com/2018/05/24/opinion/heartland-wage-subsidy-rust-belt.html </w:t>
      </w:r>
    </w:p>
    <w:p w14:paraId="36159E15"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Gleissner W., Helm R., Kreiter S., (2013). Measurement of competitive advantages and market attractiveness for strategic controlling. J Manag Control 24, 53–75 (2013). https://doi.org/10.1007/s00187-013-0167-1.</w:t>
      </w:r>
    </w:p>
    <w:p w14:paraId="765E562E"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González-López, M., Asheim, B. T., &amp; Sánchez- Carreira, M. del C. (2019).  New insights on regional innovation policies, Innovation: The European Journal of Social Science Research, 32:1, 1-7, DOI: 10.1080/13511610.2018.1537121 </w:t>
      </w:r>
    </w:p>
    <w:p w14:paraId="1C1D18A7"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Gråsjö, U. (2006). Spatial Spillovers of Knowledge Production. Jönköping International Business School. Dissertation series number 034. © 2006 Urban Gråsjö and Jönköping International Business School ISSN 1403-0470,  ISBN 91-89164-68-7.  </w:t>
      </w:r>
    </w:p>
    <w:p w14:paraId="23476E8D" w14:textId="77777777" w:rsidR="00083C19" w:rsidRPr="003570D0" w:rsidRDefault="00083C19" w:rsidP="00D86705">
      <w:pPr>
        <w:pStyle w:val="Heading9"/>
        <w:rPr>
          <w:rFonts w:eastAsia="Calibri"/>
          <w:u w:color="101722"/>
          <w:lang w:eastAsia="en-US"/>
        </w:rPr>
      </w:pPr>
      <w:bookmarkStart w:id="31" w:name="_Hartmann,_Ch._and"/>
      <w:bookmarkEnd w:id="31"/>
      <w:r w:rsidRPr="003570D0">
        <w:rPr>
          <w:rFonts w:eastAsia="Calibri"/>
          <w:u w:color="101722"/>
          <w:lang w:eastAsia="en-US"/>
        </w:rPr>
        <w:t xml:space="preserve">Grillitsch M., &amp; Asheim B. (2018). Place-based innovation policy for industrial diversification in regions, European Planning Studies, 26:8, 1638-1662, DOI: 10.1080/09654313.2018.1484892 </w:t>
      </w:r>
    </w:p>
    <w:p w14:paraId="0668CD53"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Grillitsch, M. and M. Nilsson (2015). Innovation in peripheral regions: do collaborations compensate for a lack of local knowledge spillovers?, The Annals of Regional Science 54, 299- 321. </w:t>
      </w:r>
    </w:p>
    <w:p w14:paraId="7D99A22B"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Gupta N. (2015). Estimating Linkages of Indian Manufacturing Industries into Global Value Chains using International Input-Output Table. Review of Development and Change. 2015;20(2):177-202. doi:10.1177/0972266120150209. </w:t>
      </w:r>
    </w:p>
    <w:p w14:paraId="09EF5498"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lastRenderedPageBreak/>
        <w:t xml:space="preserve">Gupta, S.D. (2015). Comparative Advantage and Competitive Advantage: An Economics Perspective and a Synthesis. Athens Journal of Business and Economics - Volume 1, Issue 1 – Pages 9-22. </w:t>
      </w:r>
    </w:p>
    <w:p w14:paraId="3D8D0032"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Halme, K., Saarnivaara, Veli-Pekka, Mitchell, Jessica (2016). RIO COUNTRY REPORT 2015: Finland. Joint Research Centre. doi:10.2791/528976. </w:t>
      </w:r>
    </w:p>
    <w:p w14:paraId="654D41BF"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Hämäläinen, T.J., Schienstock, G., Pentikainen, T. (2000). Policy case studies Finland. Prepared for the OECD Focus Group on Innovative Networks.</w:t>
      </w:r>
    </w:p>
    <w:p w14:paraId="5FE03671" w14:textId="77777777" w:rsidR="00083C19" w:rsidRPr="003570D0" w:rsidRDefault="00083C19" w:rsidP="00D86705">
      <w:pPr>
        <w:pStyle w:val="Heading9"/>
        <w:rPr>
          <w:rFonts w:eastAsia="Calibri"/>
          <w:u w:color="101722"/>
          <w:lang w:eastAsia="en-US"/>
        </w:rPr>
      </w:pPr>
      <w:bookmarkStart w:id="32" w:name="_Heimeriks_G._&amp;"/>
      <w:bookmarkEnd w:id="32"/>
      <w:r w:rsidRPr="003570D0">
        <w:rPr>
          <w:rFonts w:eastAsia="Calibri"/>
          <w:u w:color="101722"/>
          <w:lang w:eastAsia="en-US"/>
        </w:rPr>
        <w:t xml:space="preserve">Hansen, T. (2014). Juggling with proximity and distance: Collaborative innovation projects in the Danish cleantech industry. Economic Geography, 90(4), 375–402. doi:10.1111/ecge. 12057 </w:t>
      </w:r>
    </w:p>
    <w:p w14:paraId="37958922"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Hansen, T. (2015). Substitution or overlap? The relations between geographical and non-spatial proximity dimensions in collaborative innovation projects. Regional Studies, 49(10), 1672–1684. doi:10.1080/00343404.2013.873120 </w:t>
      </w:r>
      <w:hyperlink r:id="rId95" w:history="1">
        <w:r w:rsidRPr="003570D0">
          <w:rPr>
            <w:rFonts w:eastAsia="Calibri"/>
            <w:u w:color="101722"/>
            <w:lang w:eastAsia="en-US"/>
          </w:rPr>
          <w:t>http://irep.ntu.ac.uk/id/eprint/519/1/202832_thinkingaboutregionalcompetitiveness2005.pdf</w:t>
        </w:r>
      </w:hyperlink>
      <w:r w:rsidRPr="003570D0">
        <w:rPr>
          <w:rFonts w:eastAsia="Calibri"/>
          <w:u w:color="101722"/>
          <w:lang w:eastAsia="en-US"/>
        </w:rPr>
        <w:t>,  30.12.2018.</w:t>
      </w:r>
    </w:p>
    <w:p w14:paraId="7EBAAF65"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Hartmann, Ch. and Polt, W. (2011): Smart specialisation concepts, issues and activities within OECD TIP.</w:t>
      </w:r>
    </w:p>
    <w:p w14:paraId="5AE7B1EC"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Hassink, R (2010) Regional resilience: a promising concept to explain differences in regional economic adaptability? Cambridge Journal of Regions, Economy and Society 3(1): 45–58. </w:t>
      </w:r>
    </w:p>
    <w:p w14:paraId="05A18ADF"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Hausmann, R., and Rodrik, D., (2003). "Economic Development as Self-Discovery", Journal of Development Economics, vol. 72, December 2003, 603-633. </w:t>
      </w:r>
    </w:p>
    <w:p w14:paraId="21594237"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Hausmann, R., Hidalgo, C. (2010). Country diversification, product ubiquity, and economic divergence, CID Working Paper 201, Harvard University, http://www.hks.harvard.edu/centers/cid/publications/faculty-working-papers/cid- working-paper-no.-201 </w:t>
      </w:r>
    </w:p>
    <w:p w14:paraId="784DEA1B"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Hausmann, R., Hidalgo, C. A. (2011). The network structure of economic output, Journal of Economic Growth 16 (4), 309–342. </w:t>
      </w:r>
    </w:p>
    <w:p w14:paraId="601AFB81"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Hausmann, R., Rodrik, D., (2003). Economic development as self-discovery. Journal of Development Economics 72, 603–633.</w:t>
      </w:r>
    </w:p>
    <w:p w14:paraId="062F5AB6"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Heimeriks G. &amp; Balland P-A, (2016). "</w:t>
      </w:r>
      <w:hyperlink r:id="rId96" w:history="1">
        <w:r w:rsidRPr="003570D0">
          <w:rPr>
            <w:rFonts w:eastAsia="Calibri"/>
            <w:u w:color="101722"/>
            <w:lang w:eastAsia="en-US"/>
          </w:rPr>
          <w:t>How smart is specialisation? An analysis of specialisation patterns in knowledge production</w:t>
        </w:r>
      </w:hyperlink>
      <w:r w:rsidRPr="003570D0">
        <w:rPr>
          <w:rFonts w:eastAsia="Calibri"/>
          <w:u w:color="101722"/>
          <w:lang w:eastAsia="en-US"/>
        </w:rPr>
        <w:t>," </w:t>
      </w:r>
      <w:hyperlink r:id="rId97" w:history="1">
        <w:r w:rsidRPr="003570D0">
          <w:rPr>
            <w:rFonts w:eastAsia="Calibri"/>
            <w:u w:color="101722"/>
            <w:lang w:eastAsia="en-US"/>
          </w:rPr>
          <w:t>Science and Public Policy</w:t>
        </w:r>
      </w:hyperlink>
      <w:r w:rsidRPr="003570D0">
        <w:rPr>
          <w:rFonts w:eastAsia="Calibri"/>
          <w:u w:color="101722"/>
          <w:lang w:eastAsia="en-US"/>
        </w:rPr>
        <w:t>, Oxford University Press, vol. 43(4), pages 562-574.</w:t>
      </w:r>
    </w:p>
    <w:p w14:paraId="61B7993C"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Helsinki-Uusimaa Regional Council (2015). Smart Specialisation in the Helsinki-Uusimaa Region: Research and Innovation Strategy for Regional Development 2014-2020, available: [https://www.uudenmaanliitto.fi/files/16166/Smart_Specialisation_in_Helsinki-Uusimaa_Region_- _Research_and_Innovation_Strategy_for_Regional_Development_2014-2020_B_51_-_2015.pdf] </w:t>
      </w:r>
    </w:p>
    <w:p w14:paraId="5B7E7793"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Henderson, V. (1994). Externalities and industrial development. Paper prepared for the Prince Bertil Symposium, Stockholm. Sweden. </w:t>
      </w:r>
    </w:p>
    <w:p w14:paraId="1DBE2802" w14:textId="77777777" w:rsidR="00083C19" w:rsidRPr="003570D0" w:rsidRDefault="00083C19" w:rsidP="00D86705">
      <w:pPr>
        <w:pStyle w:val="Heading9"/>
        <w:rPr>
          <w:rFonts w:eastAsia="Calibri"/>
          <w:u w:color="101722"/>
          <w:lang w:eastAsia="en-US"/>
        </w:rPr>
      </w:pPr>
      <w:bookmarkStart w:id="33" w:name="_Hidalgo_C.,_Klinger"/>
      <w:bookmarkEnd w:id="33"/>
      <w:r w:rsidRPr="003570D0">
        <w:rPr>
          <w:rFonts w:eastAsia="Calibri"/>
          <w:u w:color="101722"/>
          <w:lang w:eastAsia="en-US"/>
        </w:rPr>
        <w:t>Hidalgo C., Klinger B., Barabassi A., &amp; Hausmann R. (2007). The product space conditions the development of nations. Science, 317, 482–487. doi: 10.1126/science.1144581. </w:t>
      </w:r>
    </w:p>
    <w:p w14:paraId="231193E5" w14:textId="77777777" w:rsidR="00083C19" w:rsidRPr="003570D0" w:rsidRDefault="00083C19" w:rsidP="00D86705">
      <w:pPr>
        <w:pStyle w:val="Heading9"/>
        <w:rPr>
          <w:rFonts w:eastAsia="Calibri"/>
          <w:u w:color="101722"/>
          <w:lang w:eastAsia="en-US"/>
        </w:rPr>
      </w:pPr>
      <w:bookmarkStart w:id="34" w:name="_Hidalgo,_C._A.,"/>
      <w:bookmarkEnd w:id="34"/>
      <w:r w:rsidRPr="003570D0">
        <w:rPr>
          <w:rFonts w:eastAsia="Calibri"/>
          <w:u w:color="101722"/>
          <w:lang w:eastAsia="en-US"/>
        </w:rPr>
        <w:t>Hidalgo, C. A., B. Klinger, A.-L. Barabási, and R. Hausmann (2007). “The Product Space Conditions the Development of Nations.” Science 317: 482–487</w:t>
      </w:r>
    </w:p>
    <w:p w14:paraId="74637062" w14:textId="77777777" w:rsidR="00083C19" w:rsidRPr="003570D0" w:rsidRDefault="00083C19" w:rsidP="00D86705">
      <w:pPr>
        <w:pStyle w:val="Heading9"/>
        <w:rPr>
          <w:rFonts w:eastAsia="Calibri"/>
          <w:u w:color="101722"/>
          <w:lang w:eastAsia="en-US"/>
        </w:rPr>
      </w:pPr>
      <w:bookmarkStart w:id="35" w:name="_Hidalgo,_C.,_&amp;"/>
      <w:bookmarkEnd w:id="35"/>
      <w:r w:rsidRPr="003570D0">
        <w:rPr>
          <w:rFonts w:eastAsia="Calibri"/>
          <w:u w:color="101722"/>
          <w:lang w:eastAsia="en-US"/>
        </w:rPr>
        <w:t>Hidalgo, C., &amp; Hausmann, R. (2009). The building blocks of economic complexity. Proceedings of the National Academy of Sciences, 106, 10570–10575. doi: 10.1073/pnas.0900943106 </w:t>
      </w:r>
    </w:p>
    <w:p w14:paraId="25DB68A6"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Hidalgo, C.A., Klinger, B., Barabasi, A.L., Hausmann, R. (2007). The product space and its consequences for economic growth, Science 317, 482–487. </w:t>
      </w:r>
    </w:p>
    <w:p w14:paraId="6D4A6452"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lastRenderedPageBreak/>
        <w:t>Hidalgo, CA, Balland, P-A, Boschma, R, Delgado M., Feldman M., Frenken K., Glaeser E., He C., Kogler DF., Morrison, A, Neffke F., Rigby D., Stern C., Zheng S., Zhu S. (2018). The principle of relatedness. In: Morales, A, Gershenson, C, Braha, D, Minai A., Bar-Yam, Y (eds) Unifying Themes in Complex Systems IX. ICCS 2018. Cham: Springer, pp. 451–457.</w:t>
      </w:r>
    </w:p>
    <w:p w14:paraId="59F78A95"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Hinchman A. 0. (1958). The strategy of economic development. New Haven: Yale University Press. Krugman, P. 1991. Geography and trade. Cambridge: MIT Press.</w:t>
      </w:r>
    </w:p>
    <w:p w14:paraId="088C6C72" w14:textId="77777777" w:rsidR="00083C19" w:rsidRPr="003570D0" w:rsidRDefault="00083C19" w:rsidP="00D86705">
      <w:pPr>
        <w:pStyle w:val="Heading9"/>
        <w:rPr>
          <w:rFonts w:eastAsia="Calibri"/>
          <w:u w:color="101722"/>
          <w:lang w:eastAsia="en-US"/>
        </w:rPr>
      </w:pPr>
      <w:bookmarkStart w:id="36" w:name="_Iacobucci,_D._(2014)."/>
      <w:bookmarkEnd w:id="36"/>
      <w:r w:rsidRPr="003570D0">
        <w:rPr>
          <w:rFonts w:eastAsia="Calibri"/>
          <w:u w:color="101722"/>
          <w:lang w:eastAsia="en-US"/>
        </w:rPr>
        <w:t xml:space="preserve">Holzer, H.J. (2016). “The Role of Skills and Jobs in Transforming Communities.” Penn IUR and Federal Reserve Bank of Philadelphia Working Paper. </w:t>
      </w:r>
    </w:p>
    <w:p w14:paraId="0E28FDA0"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Horvát, P., C. Webb and N. Yamano (2020), "Measuring employment in global value chains", OECD Science, Technology and Industry Working Papers, No. 2020/01, OECD Publishing, Paris,</w:t>
      </w:r>
      <w:hyperlink r:id="rId98" w:history="1">
        <w:r w:rsidRPr="003570D0">
          <w:rPr>
            <w:rFonts w:eastAsia="Calibri"/>
            <w:u w:color="101722"/>
            <w:lang w:eastAsia="en-US"/>
          </w:rPr>
          <w:t>https://doi.org/10.1787/00f7d7db-en</w:t>
        </w:r>
      </w:hyperlink>
      <w:r w:rsidRPr="003570D0">
        <w:rPr>
          <w:rFonts w:eastAsia="Calibri"/>
          <w:u w:color="101722"/>
          <w:lang w:eastAsia="en-US"/>
        </w:rPr>
        <w:t xml:space="preserve">.  </w:t>
      </w:r>
    </w:p>
    <w:p w14:paraId="55969D0B"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Howells, J. (1999) Regional Systems of Innovation? In Archibugi, D. et al. (eds.) Innovation Policy in a Global Economy. Cambridge, Cambridge University Press. </w:t>
      </w:r>
    </w:p>
    <w:bookmarkStart w:id="37" w:name="_Iacobucci,_D._(2012)."/>
    <w:bookmarkEnd w:id="37"/>
    <w:p w14:paraId="0E139880"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fldChar w:fldCharType="begin"/>
      </w:r>
      <w:r w:rsidRPr="003570D0">
        <w:rPr>
          <w:rFonts w:eastAsia="Calibri"/>
          <w:u w:color="101722"/>
          <w:lang w:eastAsia="en-US"/>
        </w:rPr>
        <w:instrText xml:space="preserve"> HYPERLINK "https://ec.europa.eu/economy_finance/publications/economic_paper/2013/pdf/ecp484_en.pdf" </w:instrText>
      </w:r>
      <w:r w:rsidRPr="003570D0">
        <w:rPr>
          <w:rFonts w:eastAsia="Calibri"/>
          <w:u w:color="101722"/>
          <w:lang w:eastAsia="en-US"/>
        </w:rPr>
        <w:fldChar w:fldCharType="separate"/>
      </w:r>
      <w:r w:rsidRPr="003570D0">
        <w:rPr>
          <w:rFonts w:eastAsia="Calibri"/>
          <w:u w:color="101722"/>
          <w:lang w:eastAsia="en-US"/>
        </w:rPr>
        <w:t>https://ec.europa.eu/economy_finance/publications/economic_paper/2013/pdf/ecp484_en.pdf</w:t>
      </w:r>
      <w:r w:rsidRPr="003570D0">
        <w:rPr>
          <w:rFonts w:eastAsia="Calibri"/>
          <w:u w:color="101722"/>
          <w:lang w:eastAsia="en-US"/>
        </w:rPr>
        <w:fldChar w:fldCharType="end"/>
      </w:r>
      <w:r w:rsidRPr="003570D0">
        <w:rPr>
          <w:rFonts w:eastAsia="Calibri"/>
          <w:u w:color="101722"/>
          <w:lang w:eastAsia="en-US"/>
        </w:rPr>
        <w:t xml:space="preserve"> </w:t>
      </w:r>
    </w:p>
    <w:bookmarkStart w:id="38" w:name="_Iacobucci,_D._(2014)._1"/>
    <w:bookmarkEnd w:id="38"/>
    <w:p w14:paraId="20CE1063"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fldChar w:fldCharType="begin"/>
      </w:r>
      <w:r w:rsidRPr="003570D0">
        <w:rPr>
          <w:rFonts w:eastAsia="Calibri"/>
          <w:u w:color="101722"/>
          <w:lang w:eastAsia="en-US"/>
        </w:rPr>
        <w:instrText xml:space="preserve"> HYPERLINK "https://gosmartbsr.eu/news-posts/towards-s4-and-interregional-innovation-investments-in-the-baltic-sea-region/" </w:instrText>
      </w:r>
      <w:r w:rsidRPr="003570D0">
        <w:rPr>
          <w:rFonts w:eastAsia="Calibri"/>
          <w:u w:color="101722"/>
          <w:lang w:eastAsia="en-US"/>
        </w:rPr>
        <w:fldChar w:fldCharType="separate"/>
      </w:r>
      <w:r w:rsidRPr="003570D0">
        <w:rPr>
          <w:rFonts w:eastAsia="Calibri"/>
          <w:u w:color="101722"/>
          <w:lang w:eastAsia="en-US"/>
        </w:rPr>
        <w:t>https://gosmartbsr.eu/news-posts/towards-s4-and-interregional-innovation-investments-in-the-baltic-sea-region/</w:t>
      </w:r>
      <w:r w:rsidRPr="003570D0">
        <w:rPr>
          <w:rFonts w:eastAsia="Calibri"/>
          <w:u w:color="101722"/>
          <w:lang w:eastAsia="en-US"/>
        </w:rPr>
        <w:fldChar w:fldCharType="end"/>
      </w:r>
      <w:r w:rsidRPr="003570D0">
        <w:rPr>
          <w:rFonts w:eastAsia="Calibri"/>
          <w:u w:color="101722"/>
          <w:lang w:eastAsia="en-US"/>
        </w:rPr>
        <w:t xml:space="preserve"> .</w:t>
      </w:r>
    </w:p>
    <w:p w14:paraId="1C576E0C"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https://www.clusterplattform.de/CLUSTER/Redaktion/EN/Downloads/europe/finnland.pdf?__blob=publicationFile&amp;v=2</w:t>
      </w:r>
    </w:p>
    <w:p w14:paraId="61259228"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Huggins, Robert et al. (2014). Regional competitiveness, economic growth and stages of development. Zb. rad. Ekon. fak. Rij. • 2014 • vol. 32 • sv. 2 • 255-283.  </w:t>
      </w:r>
    </w:p>
    <w:p w14:paraId="7964F387"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Huggins, Robert, Hiro Izushi, Piers Thompson (2013). Regional Competitiveness; Theories and Methodologies for Empirical Analysis: JCC: The Business and Economics Research Journal ● Volume 6, Issue 2, 2013 ● 155-172. </w:t>
      </w:r>
      <w:hyperlink r:id="rId99" w:history="1">
        <w:r w:rsidRPr="003570D0">
          <w:rPr>
            <w:rFonts w:eastAsia="Calibri"/>
            <w:u w:color="101722"/>
            <w:lang w:eastAsia="en-US"/>
          </w:rPr>
          <w:t>http://centrum.pucp.edu.pe/pdf/revistas/JCC-vol6-issue2-86.pdf</w:t>
        </w:r>
      </w:hyperlink>
      <w:r w:rsidRPr="003570D0">
        <w:rPr>
          <w:rFonts w:eastAsia="Calibri"/>
          <w:u w:color="101722"/>
          <w:lang w:eastAsia="en-US"/>
        </w:rPr>
        <w:t xml:space="preserve">  retrieved 30.12.2018.</w:t>
      </w:r>
    </w:p>
    <w:p w14:paraId="30DF6A92"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Iacobucci, D. (2012). Developing and implementing a smart specialisation strategy at regional level: some open questions, MET Working paper 15/2012 December 2012.  </w:t>
      </w:r>
    </w:p>
    <w:p w14:paraId="06082581"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Iacobucci, D. (2014). Designing and implementing a smart specialisation strategy at regional level: Some open questions. Italian Journal of Regional Science, 13, 107–126. doi: 10.3280/SCRE2014-001006 </w:t>
      </w:r>
    </w:p>
    <w:p w14:paraId="01937DC4" w14:textId="77777777" w:rsidR="00083C19" w:rsidRPr="003570D0" w:rsidRDefault="00083C19" w:rsidP="00D86705">
      <w:pPr>
        <w:pStyle w:val="Heading9"/>
        <w:rPr>
          <w:rFonts w:eastAsia="Calibri"/>
          <w:u w:color="101722"/>
          <w:lang w:eastAsia="en-US"/>
        </w:rPr>
      </w:pPr>
      <w:bookmarkStart w:id="39" w:name="_Iacobucci,_D.,_&amp;"/>
      <w:bookmarkEnd w:id="39"/>
      <w:r w:rsidRPr="003570D0">
        <w:rPr>
          <w:rFonts w:eastAsia="Calibri"/>
          <w:u w:color="101722"/>
          <w:lang w:eastAsia="en-US"/>
        </w:rPr>
        <w:t>Iacobucci, D., &amp; Guzzini, E. (2016). Relatedness and connectivity in technological domains: Missing links in S3 design and implementation. European Planning Studies, 24(8), 1511–1526. doi: 10.1080/09654313.2016.1170108 </w:t>
      </w:r>
    </w:p>
    <w:p w14:paraId="124C68A6"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Ibert, O., &amp; Müller, F. C. (2015). Network dynamics in constellations of cultural differences: Relational distance in innovation processes in legal services and biotechnology. Research Policy, 44(1), 181–194. doi:10.1016/j.respol.2014.07.016 </w:t>
      </w:r>
    </w:p>
    <w:p w14:paraId="185774BC"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Institute of Management, Cambridge University, Porter’s value chain; </w:t>
      </w:r>
      <w:hyperlink r:id="rId100" w:history="1">
        <w:r w:rsidRPr="003570D0">
          <w:rPr>
            <w:rFonts w:eastAsia="Calibri"/>
            <w:u w:color="101722"/>
            <w:lang w:eastAsia="en-US"/>
          </w:rPr>
          <w:t>https://www.ifm.eng.cam.ac.uk/research/dstools/value-chain-/</w:t>
        </w:r>
      </w:hyperlink>
      <w:r w:rsidRPr="003570D0">
        <w:rPr>
          <w:rFonts w:eastAsia="Calibri"/>
          <w:u w:color="101722"/>
          <w:lang w:eastAsia="en-US"/>
        </w:rPr>
        <w:t xml:space="preserve"> .</w:t>
      </w:r>
    </w:p>
    <w:p w14:paraId="6E2619C3"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Isaksen A., Trippl M. (2016). Path development in different regional innovation systems. In: Parrilli, M, Fitjar, R, Rodríguez-Pose, A (eds) Innovation Drivers and Regional Innovation Strategies. New York; London: Routledge, pp. 66–84.</w:t>
      </w:r>
    </w:p>
    <w:p w14:paraId="46B73EA5"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Isaksen A., Trippl M. (2017). Exogenously led and policy-supported new path development in peripheral regions: analytical and synthetic routes. Economic Geography 93(5): 436–457. </w:t>
      </w:r>
    </w:p>
    <w:p w14:paraId="7EEB1847"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lastRenderedPageBreak/>
        <w:t xml:space="preserve">Isaksen, A. (2005) Regional Clusters Building on Local and Non-Local Relationships: A European Comparison. In Lagendijk, A. and Oinas, P. (eds.), Proximity, Distance and Diversity, Aldershot, Ashgate, pp. 129-151. </w:t>
      </w:r>
    </w:p>
    <w:p w14:paraId="1C0F61EB"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Jacobs, J. (1969). The Economy of Cities. Vintage, New York. </w:t>
      </w:r>
    </w:p>
    <w:p w14:paraId="152C2D3F"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Jaffe, A. B. (1986). Technological opportunity and spillovers of R&amp;D. American Economic Review 76, 984-1001. </w:t>
      </w:r>
    </w:p>
    <w:p w14:paraId="5AD07831"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Jaffe, A. B., M. Trajtenberg and R. Henderson (1993). Geographic localization of knowledge spillovers as evidenced by patent citations, Quarterly Journal of Economics 108, 577–598. </w:t>
      </w:r>
    </w:p>
    <w:p w14:paraId="0A9FD362" w14:textId="77777777" w:rsidR="00083C19" w:rsidRPr="003570D0" w:rsidRDefault="00083C19" w:rsidP="00D86705">
      <w:pPr>
        <w:pStyle w:val="Heading9"/>
        <w:rPr>
          <w:rFonts w:eastAsia="Calibri"/>
          <w:u w:color="101722"/>
          <w:lang w:eastAsia="en-US"/>
        </w:rPr>
      </w:pPr>
      <w:bookmarkStart w:id="40" w:name="_Kirzner_I.M._(1997)."/>
      <w:bookmarkEnd w:id="40"/>
      <w:r w:rsidRPr="003570D0">
        <w:rPr>
          <w:rFonts w:eastAsia="Calibri"/>
          <w:u w:color="101722"/>
          <w:lang w:eastAsia="en-US"/>
        </w:rPr>
        <w:t>James E. Rowe J.E., McLaren D. (2017). Exploring competitive advantage in a regional community context. Australasian Journal of Regional Studies, Vol. 23, No. 2, 2017, pp152-173.</w:t>
      </w:r>
    </w:p>
    <w:p w14:paraId="307D1970"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Jenna Koo J. Jul 30, 2020. Push System vs. Pull System: Adopting A Hybrid Approach To MRP. </w:t>
      </w:r>
      <w:hyperlink r:id="rId101" w:history="1">
        <w:r w:rsidRPr="003570D0">
          <w:rPr>
            <w:rFonts w:eastAsia="Calibri"/>
            <w:u w:color="101722"/>
            <w:lang w:eastAsia="en-US"/>
          </w:rPr>
          <w:t>https://tulip.co/blog/what-is-a-push-system-vs-a-pull-system/</w:t>
        </w:r>
      </w:hyperlink>
      <w:r w:rsidRPr="003570D0">
        <w:rPr>
          <w:rFonts w:eastAsia="Calibri"/>
          <w:u w:color="101722"/>
          <w:lang w:eastAsia="en-US"/>
        </w:rPr>
        <w:t xml:space="preserve"> .</w:t>
      </w:r>
    </w:p>
    <w:p w14:paraId="4A45B86D"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Jensen, M. B., Johnson, B., Lorenz, E., &amp; Lundvall, B. A. (2007). Forms of knowledge and modes of innovation. Research Policy, 36(5), 680–693. doi:10.1016/j.respol.2007.01.006 .</w:t>
      </w:r>
    </w:p>
    <w:p w14:paraId="6FC10629"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Joichi, I., Design and Science (2016); https:// www.pubpub.org/pub/designandscience.</w:t>
      </w:r>
    </w:p>
    <w:p w14:paraId="5B16478E"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Kainuun liitto (2017) Kainuun Ohjelma. Maakuntasuunnitelma 2035. Maakunataohjelma 2018-2021. (Translated: Kainuu Programme. Provincial Plan 2035. Provincial Program 2018-2021). Available: [https://www.kainuunliitto.fi/sites/default/files/kainuun_maakuntaohjelma_2018- 2021_hyvaksytty_mv_18122017.pdf] </w:t>
      </w:r>
    </w:p>
    <w:p w14:paraId="00C40BC0"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Kalapouti K. and Varsakelis N. (2014). Intra and inter: regional knowledge spillovers in European Union. The Journal of Technology Transfer · July 2014. DOI: 10.1007/s10961-014-9356-9. Retrieved from </w:t>
      </w:r>
      <w:hyperlink r:id="rId102" w:history="1">
        <w:r w:rsidRPr="003570D0">
          <w:rPr>
            <w:rFonts w:eastAsia="Calibri"/>
            <w:u w:color="101722"/>
            <w:lang w:eastAsia="en-US"/>
          </w:rPr>
          <w:t>https://www.researchgate.net/publication/271740043</w:t>
        </w:r>
      </w:hyperlink>
      <w:r w:rsidRPr="003570D0">
        <w:rPr>
          <w:rFonts w:eastAsia="Calibri"/>
          <w:u w:color="101722"/>
          <w:lang w:eastAsia="en-US"/>
        </w:rPr>
        <w:t xml:space="preserve">. </w:t>
      </w:r>
    </w:p>
    <w:p w14:paraId="7C036D35"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Kaufmann, A. and Tödtling, F. (2000) Systems of Innovation in Traditional Industrial Regions: The Case of Styria in a Comparative Perspective. Regional Studies, 34 (1), 29-40. </w:t>
      </w:r>
    </w:p>
    <w:p w14:paraId="2A818DC2"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Kavonius, Veijo (2013). Cross border regional innovation policies. Centre of Expertise Programme – the Finnish Experience of Smart Specialisation.</w:t>
      </w:r>
    </w:p>
    <w:p w14:paraId="47280219"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King, A. A., Karim R. Lakhani (2011). The Contingent Effect of Absorptive Capacity: An open innovation analysis, Harvard University, Working Paper 11-102.</w:t>
      </w:r>
    </w:p>
    <w:p w14:paraId="64E562E1"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Kirzner I.M. (1997). Entrepreneurial Discovery and the Competitive Market Process: An Austrian Approach. Journal of Economic Literature, </w:t>
      </w:r>
      <w:hyperlink r:id="rId103" w:history="1">
        <w:r w:rsidRPr="003570D0">
          <w:rPr>
            <w:rFonts w:eastAsia="Calibri"/>
            <w:u w:color="101722"/>
            <w:lang w:eastAsia="en-US"/>
          </w:rPr>
          <w:t>Vol. 35, No. 1 (Mar., 1997)</w:t>
        </w:r>
      </w:hyperlink>
      <w:r w:rsidRPr="003570D0">
        <w:rPr>
          <w:rFonts w:eastAsia="Calibri"/>
          <w:u w:color="101722"/>
          <w:lang w:eastAsia="en-US"/>
        </w:rPr>
        <w:t>, pp. 60-85 (26 pages) Published By: American Economic Association.</w:t>
      </w:r>
    </w:p>
    <w:p w14:paraId="4F0F3DDC"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Kitson, M., Martin, R., and Tyler, P. (2004). Regional Competitiveness: an Elusive Yet Key Concept? Regional Studies, 38(9), pp. 991- 999. </w:t>
      </w:r>
    </w:p>
    <w:p w14:paraId="16C4FEE3"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Kleibrink, A., Gianelle, C. &amp; Doussineau, M. (2016): Monitoring innovation and territorial development in Europe: emergent strategic management, European Planning Studies, DOI: 10.1080/09654313.2016.1181717.  </w:t>
      </w:r>
      <w:hyperlink r:id="rId104" w:history="1">
        <w:r w:rsidRPr="003570D0">
          <w:rPr>
            <w:rFonts w:eastAsia="Calibri"/>
            <w:u w:color="101722"/>
            <w:lang w:eastAsia="en-US"/>
          </w:rPr>
          <w:t>http://dx.doi.org/10.1080/09654313.2016.1181717</w:t>
        </w:r>
      </w:hyperlink>
      <w:r w:rsidRPr="003570D0">
        <w:rPr>
          <w:rFonts w:eastAsia="Calibri"/>
          <w:u w:color="101722"/>
          <w:lang w:eastAsia="en-US"/>
        </w:rPr>
        <w:t xml:space="preserve">. </w:t>
      </w:r>
    </w:p>
    <w:p w14:paraId="1E72F567"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Klitkou Α., Bolwig S., Hansen T., Wessberg N. (2015). The role of lock-in mechanisms in transition processes: The case of energy for road transport. Environmental Innovation and Societal Transitions, Volume 16, 2015, Pages 22-37,ISSN 2210-4224, https://doi.org/10.1016/j.eist.2015.07.005.</w:t>
      </w:r>
    </w:p>
    <w:p w14:paraId="3B3D26F7"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Kristensen I., Teräs J., Wøien M. &amp; Rinne T. (2018). The potential for Smart Specialisation for enhancing innovation and resilience in Nordic regions. Preliminary report: Policy and literature review. Discussion paper prepared for Nordic thematic group for innovative and resilient regions, November 20, 2017, Stockholm. </w:t>
      </w:r>
      <w:hyperlink r:id="rId105" w:history="1">
        <w:r w:rsidRPr="003570D0">
          <w:rPr>
            <w:rFonts w:eastAsia="Calibri"/>
            <w:u w:color="101722"/>
            <w:lang w:eastAsia="en-US"/>
          </w:rPr>
          <w:t>https://www.nordregio.org/wp-content/uploads/2017/04/Smart-Specialisation-Discussion-Paper_-180202.pdf</w:t>
        </w:r>
      </w:hyperlink>
      <w:r w:rsidRPr="003570D0">
        <w:rPr>
          <w:rFonts w:eastAsia="Calibri"/>
          <w:u w:color="101722"/>
          <w:lang w:eastAsia="en-US"/>
        </w:rPr>
        <w:t xml:space="preserve"> .</w:t>
      </w:r>
    </w:p>
    <w:p w14:paraId="340CB490"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Kroll H. (2015). Efforts to implement smart specialization in practice—leading unlike horses to the water. European Planning Studies, 23(10), 2079-2098.</w:t>
      </w:r>
    </w:p>
    <w:p w14:paraId="6677C231"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Kroll H. (2018). From strategy to implementation: What is desirable and what realistic? (No. 59). Fraunhofer ISI Discussion Papers Innovation Systems and Policy Analysis.</w:t>
      </w:r>
    </w:p>
    <w:p w14:paraId="1B61AF64"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Kroll, H. (2015). “Efforts to implement smart specialisation in practice - Leading unlike horses to the water”, European Planning Studies, http://dx.doi.org/10.1080/09654313.2014.1003036. </w:t>
      </w:r>
    </w:p>
    <w:p w14:paraId="0D923DC9"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Kroll, H. (2018), Smart Specialisation Strategies 2017 Survey Results Fraunhofer ISI.</w:t>
      </w:r>
    </w:p>
    <w:p w14:paraId="3E59132C"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Krugman P. (1991). Geography and Trade, MIT Press, Cambridge MA Krugman, P., 1994, The Age of Diminished Expectations, MIT Press, Cambridge MA </w:t>
      </w:r>
    </w:p>
    <w:p w14:paraId="7A415FF0"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Krugman P. (1996). Making Sense of the Competitiveness Debate. Oxford Review of Economic Policy, 12, pp. 17-25. </w:t>
      </w:r>
    </w:p>
    <w:p w14:paraId="390A7C0A"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Krugman P. (1996). Pop Internationalism. Cambridge, MIT Press, Massachusetts, USA. </w:t>
      </w:r>
    </w:p>
    <w:p w14:paraId="62455D3A"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Krugman P. 1991. Geography and trade. Cambridge: MIT Press.</w:t>
      </w:r>
    </w:p>
    <w:p w14:paraId="1A1672DB"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Kutinlahti, P., Miettinen, J., Pitkänen, M. (2013). Balancing local cluster development needs and a national innovation agenda in Centre of Expertise Program. Workshop 6 - Lessons from the Finnish Cluster Policy. </w:t>
      </w:r>
    </w:p>
    <w:p w14:paraId="6A410DE7"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L. Brennan, R. Rakhmatullin, R. (2015). Global Value Chains and Smart Specialisation Strategy. Thematic Work on the Understanding of Global Value Chains and their Analysis within the Context of Smart Specialisation; EUR 27649 EN; doi:10.2791/44840.</w:t>
      </w:r>
    </w:p>
    <w:p w14:paraId="5CBF48A8"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Lagendijk, A., &amp; Lorentzen, A. (2006): Proximity, Knowledge and Innovation in Peripheral Regions. </w:t>
      </w:r>
    </w:p>
    <w:p w14:paraId="31534AE5"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Lähteenmäki-Smith, K. (2003). Innovation through programming? The Finnish centres of expertise programme as an instrument of networking. Paper to be presented at the DRUID Summer Conference 2003 on CREATING, SHARING AND TRANSFERRING KNOWLEDGE. The role of Geography, Institutions and Organizations. Copenhagen June 12-14, 2003. Theme E Networks, Projects and New Organisational forms as Vehicles for Knowledge Building and Transfer. </w:t>
      </w:r>
      <w:hyperlink r:id="rId106" w:history="1">
        <w:r w:rsidRPr="003570D0">
          <w:rPr>
            <w:rFonts w:eastAsia="Calibri"/>
            <w:u w:color="101722"/>
            <w:lang w:eastAsia="en-US"/>
          </w:rPr>
          <w:t>https://www.researchgate.net/publication/228867861</w:t>
        </w:r>
      </w:hyperlink>
      <w:r w:rsidRPr="003570D0">
        <w:rPr>
          <w:rFonts w:eastAsia="Calibri"/>
          <w:u w:color="101722"/>
          <w:lang w:eastAsia="en-US"/>
        </w:rPr>
        <w:t xml:space="preserve">. </w:t>
      </w:r>
    </w:p>
    <w:p w14:paraId="636D0250"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Lalrindiki, M. and Prof. Bill O’Gorman (2011). Proximity and Inter-regional Innovation Systems: A look into Institutional Proximity. Centre for Enterprise Development &amp; Regional Economy (CEDRE) Waterford Institute of Technology. </w:t>
      </w:r>
    </w:p>
    <w:p w14:paraId="67FEB012"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Larosse J. (2016). Operationalisation of a value-chain approach through interregional cooperation in thematic smart specialisation platforms. Macro-Regional Innovation Week. 27 September 2016. Smart Specialisation unlocking the potential of regional innovation. Session: S3 and Value Chains. </w:t>
      </w:r>
    </w:p>
    <w:p w14:paraId="30B589CB"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Lee Pugalis (Re)appraising place-based economic development strategies, editorial. Northumbria University, UK </w:t>
      </w:r>
    </w:p>
    <w:p w14:paraId="3F73EFC3"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Leydesdorff, L., &amp; Fritsch, M. (2006). Measuring the knowledge base of regional innovation systems in Germany in terms of a Triple Helix dynamics. Research Policy, 35(10), 1538– 1553. https://doi.org/10.1016/j.respol.2006.09.027 </w:t>
      </w:r>
    </w:p>
    <w:p w14:paraId="5DC1DC76"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Leydesdorff, L., &amp; Porto Gomez, I. (2017). Measuring the Expected Synergy in Spanish Regional and National Systems of Innovation. Journal of Technology Transfer, Forthcoming. http://dx.doi.org/10.2139/ssrn.2952675.</w:t>
      </w:r>
    </w:p>
    <w:p w14:paraId="713385CA"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lastRenderedPageBreak/>
        <w:t xml:space="preserve">Leydesdorff, L., &amp; Strand, Ø. (2013). The Swedish system of innovation: Regional synergies in a knowledge-based economy. Journal of the American Society for Information Science and Technology, 64(9), 1890–1902. https://doi.org/10.1002/asi.22895 </w:t>
      </w:r>
    </w:p>
    <w:p w14:paraId="60A077F0"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Leydesdorff, L., Dolfsma, W., &amp; van der Panne, G. (2006). Measuring the knowledge base of an economy in terms of triple-helix relations among ‘technology, organization, and territory’. Research Policy, 35(2), 181–199. https://doi.org/10.1016/j.respol.2005.09.001 </w:t>
      </w:r>
    </w:p>
    <w:p w14:paraId="07261F36"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Leydesdorff, L., Ivanova, I., &amp; Meyer, M. (2019). The Measurement of Synergy in Innovation Systems: Redundancy Generation in a Triple Helix of University-Industry- Government Relations. In W. Glänzel, H. Moed, U. Schmoch &amp; M. Thelwall (Eds.), Springer Handbook of Science and Technology Indicators. Heidelberg, etc.: Springer. </w:t>
      </w:r>
    </w:p>
    <w:p w14:paraId="5C88191B"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Leydesdorff, L., Park, H. W., &amp; Lengyel, B. (2014). A routine for measuring synergy in university–industry–government relations: Mutual information as a Triple-Helix and Quadruple-Helix indicator. SCIENTOMETRICS, 99, 27–35. https://doi.org/10.1007/s11192-013-1079-4 </w:t>
      </w:r>
    </w:p>
    <w:p w14:paraId="6C380D61"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Leydesdorff, L., Perevodchikov, E., &amp; Uvarov, A. (2015). Measuring triple-helix synergy in the Russian innovation systems at regional, provincial, and national levels. Journal of the Association for Information Science and Technology, 66(6), 1229–1238. https://doi.org/10.1002/asi.23258 </w:t>
      </w:r>
    </w:p>
    <w:p w14:paraId="3D6623A5"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Leydesdorff, L., Wagner, C. S., Porto‐Gomez, I., Comins, J. A., &amp; Phillips, F. (2019). Synergy in the knowledge base of U.S. innovation systems at national, state, and regional levels: The contributions of high‐tech manufacturing and knowledge‐intensive services. Journal of the Association for Information Science and Technology, 70(10), 1108–1123. https://doi.org/10.1002/asi.24182 </w:t>
      </w:r>
    </w:p>
    <w:p w14:paraId="12724FE1"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Lindquist, M. (2012). Regional innovation strategies in Sweden; Nordregio 2012.</w:t>
      </w:r>
    </w:p>
    <w:p w14:paraId="466F2389"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Lukas Smas &amp; Peter Schmitt (2021) Positioning regional planning across Europe, Regional Studies, 55:5, 778-790, DOI: 10.1080/00343404.2020.1782879  </w:t>
      </w:r>
    </w:p>
    <w:p w14:paraId="30B30C79"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Machlup F. 1962. The Production and Distri- bution of Knowledge in the United States. Princeton, NJ: Princeton Univ. Press </w:t>
      </w:r>
    </w:p>
    <w:p w14:paraId="5FF23F4B"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Maggioni, M. A., Nosvelli, M., &amp; Uberti, T. E. (2007). Space vs. networks in the geography of innovation: A European analysis. Papers in Regional Science, 86(3), 471–493. doi:10.1111/j.1435- 5957.2007.00130.x </w:t>
      </w:r>
    </w:p>
    <w:p w14:paraId="6B730912"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Malaspina M.(2014). Scenari e politiche di distretto per la città metropolitana di Reggio Calabria: gli ecodistretti. LaborEst, 9, 52:56 McCann P., Ortega-Argilés R.(2013). Smart specialisation, regional growth and applications to European Union Cohesion Policy. Regional Studies, Vol. 49, No. 8, 1291–1302,</w:t>
      </w:r>
    </w:p>
    <w:p w14:paraId="372FD5CD"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Malecki, E. J. (2002). Hard and Soft Networks for Urban Competitiveness. Urban Studies, 39(5-6), pp. 929-945. </w:t>
      </w:r>
    </w:p>
    <w:p w14:paraId="4129E06E"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Malecki, E. J. (2004). Best Places: Interurban Competition, Quality of Life and Popular Media Discourse. Urban Studies, 41, pp. 190- 192. </w:t>
      </w:r>
    </w:p>
    <w:p w14:paraId="7E93B652"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Malmberg, A., Maskell, Peter  (2002). The elusive concept of localization economies: towards a knowledge-based theory of spatial clustering. Environment and Planning A 2002, volume 34, pages 429-449. DOI: 10.1068/a3457. </w:t>
      </w:r>
    </w:p>
    <w:p w14:paraId="03C66A3E"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Manniche, J. (2012). Combinatorial knowledge dynamics: On the usefulness of the differentiated knowledge bases model. European Planning Studies, 20(11), 1823–1841. doi:10.1080/ 09654313.2012.723423 </w:t>
      </w:r>
    </w:p>
    <w:p w14:paraId="6DE68923"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Marcin Dąbrowski (2013). EU cohesion policy, horizontal partnership and the patterns of sub-nation governance: Insights from Central and Eastern Europe. First Published May 17, 2013 Research Article, SAGE, European Urban and Regional Studies. https://doi.org/10.1177/0969776413481983</w:t>
      </w:r>
    </w:p>
    <w:p w14:paraId="402801E5"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lastRenderedPageBreak/>
        <w:t>Marcin Dąbrowski (2014). Towards place-based regional and local development strategies in Centra and Eastern Europe? EU cohesion policy and strategic planning capacity the sub-national level . First Published May 20, 2014 Research Article. https://doi.org/10.1177/0269094214535715</w:t>
      </w:r>
    </w:p>
    <w:p w14:paraId="59DD8389"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Mariussen Å; Rakhmatullin R; Stanionyte L. (2016). Smart Specialisation: Creating Growth through Trans-national cooperation and Value Chains. Thematic Work on the Understanding of Transnational cooperation and Value Chains in the context of Smart Specialisation. EUR 28049 EN. Luxembourg (Luxembourg): Publications Office of the European Union; doi:10.2791/658931.  </w:t>
      </w:r>
    </w:p>
    <w:p w14:paraId="220BF457"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Markusen A. 1996. Interaction between regional and industrial policies: Evidence from four countries. International Regional Science Review 19: 49-77.</w:t>
      </w:r>
    </w:p>
    <w:p w14:paraId="3FA971B7"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Marlier, E., Atkinson, A. B., Cantillon, B., &amp; Nolan, B. (2007). The EU and social inclusion: Facing the challenges. Bristol: The Policy Press. </w:t>
      </w:r>
    </w:p>
    <w:p w14:paraId="627C5797"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Marlow D (2013) England’s non-metropolitan cities: The long march to unlocking economic growth. Local Economy 28(7–8): 875–883. </w:t>
      </w:r>
    </w:p>
    <w:p w14:paraId="57391B17"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Marques, P., &amp; Morgan, K. (2018). The Heroic Assumptions of Smart Specialisation: A Sympathetic Critique of Regional Innovation Policy. In New Avenues for Regional Innovation Systems-Theoretical Advances, Empirical Cases and Policy Lessons (pp. 275-293). Springer, Cham.</w:t>
      </w:r>
    </w:p>
    <w:p w14:paraId="44D11606"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Marrocu  E., Paci M., Usai S. (2013). SEARCH, 7th Framework Programme project 2010/2.2/1, Grant agreement N0 266834.</w:t>
      </w:r>
    </w:p>
    <w:p w14:paraId="2446C7C3"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Marshall, A (1920) Principles of Economics: An Introductory Volume. London: Macmillan.</w:t>
      </w:r>
    </w:p>
    <w:p w14:paraId="4A6A46AD"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Marshall, A. (1920). Principles of economics. </w:t>
      </w:r>
    </w:p>
    <w:p w14:paraId="6A263595" w14:textId="77777777" w:rsidR="00083C19" w:rsidRPr="003570D0" w:rsidRDefault="00083C19" w:rsidP="005815E7">
      <w:pPr>
        <w:pStyle w:val="Heading9"/>
        <w:rPr>
          <w:rFonts w:eastAsia="Calibri"/>
          <w:u w:color="101722"/>
          <w:lang w:eastAsia="en-US"/>
        </w:rPr>
      </w:pPr>
      <w:r w:rsidRPr="003570D0">
        <w:rPr>
          <w:rFonts w:eastAsia="Calibri"/>
          <w:u w:color="101722"/>
          <w:lang w:eastAsia="en-US"/>
        </w:rPr>
        <w:t xml:space="preserve">Marston, S., Jones, J. P. and Woodward, K. (2005). Human Geography without Scale. Transactions of the Institute of British Geographers, 30(4), pp. 416-432. </w:t>
      </w:r>
    </w:p>
    <w:p w14:paraId="56E2940E"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Martin, R. (2005). Thinking about regional competitiveness; critical issues: Background ‘Think-Piece’ Paper Commissioned by the East Midlands Development Agency; it forms part of the emda Knowledge Bank, </w:t>
      </w:r>
    </w:p>
    <w:p w14:paraId="4D56D1C0"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Martin, R. (2013). "</w:t>
      </w:r>
      <w:hyperlink r:id="rId107" w:history="1">
        <w:r w:rsidRPr="003570D0">
          <w:rPr>
            <w:rFonts w:eastAsia="Calibri"/>
            <w:u w:color="101722"/>
            <w:lang w:eastAsia="en-US"/>
          </w:rPr>
          <w:t>Differentiated Knowledge Bases and the Nature of Innovation Networks</w:t>
        </w:r>
      </w:hyperlink>
      <w:r w:rsidRPr="003570D0">
        <w:rPr>
          <w:rFonts w:eastAsia="Calibri"/>
          <w:u w:color="101722"/>
          <w:lang w:eastAsia="en-US"/>
        </w:rPr>
        <w:t>," </w:t>
      </w:r>
      <w:hyperlink r:id="rId108" w:history="1">
        <w:r w:rsidRPr="003570D0">
          <w:rPr>
            <w:rFonts w:eastAsia="Calibri"/>
            <w:u w:color="101722"/>
            <w:lang w:eastAsia="en-US"/>
          </w:rPr>
          <w:t>Papers in Innovation Studies</w:t>
        </w:r>
      </w:hyperlink>
      <w:r w:rsidRPr="003570D0">
        <w:rPr>
          <w:rFonts w:eastAsia="Calibri"/>
          <w:u w:color="101722"/>
          <w:lang w:eastAsia="en-US"/>
        </w:rPr>
        <w:t xml:space="preserve"> 2013/14, Lund University, CIRCLE - Center for Innovation, Research and Competences in the Learning Economy. </w:t>
      </w:r>
    </w:p>
    <w:p w14:paraId="16B98579" w14:textId="77777777" w:rsidR="00083C19" w:rsidRPr="003570D0" w:rsidRDefault="00083C19" w:rsidP="00D86705">
      <w:pPr>
        <w:pStyle w:val="Heading9"/>
        <w:rPr>
          <w:rFonts w:eastAsia="Calibri"/>
          <w:u w:color="101722"/>
          <w:lang w:eastAsia="en-US"/>
        </w:rPr>
      </w:pPr>
      <w:bookmarkStart w:id="41" w:name="_McCann,_P._and"/>
      <w:bookmarkEnd w:id="41"/>
      <w:r w:rsidRPr="003570D0">
        <w:rPr>
          <w:rFonts w:eastAsia="Calibri"/>
          <w:u w:color="101722"/>
          <w:lang w:eastAsia="en-US"/>
        </w:rPr>
        <w:t xml:space="preserve">Martin, R. and Sunley, P. (2003) Deconstructing clusters: chaotic concept or policy panacea? Journal of Economic Geography, 3, 1, 5-35. </w:t>
      </w:r>
    </w:p>
    <w:p w14:paraId="66423AD0"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Martin, R., &amp; Moodysson, J. (2013). Comparing knowledge bases: On the geography and organization of knowledge sourcing in the regional innovation system of Scania, Sweden. European Urban and Regional Studies, 20(2), 170–187. doi:10.1177/ 0969776411427326 </w:t>
      </w:r>
    </w:p>
    <w:p w14:paraId="15D71ED3"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Maskell, P. and A. Malmberg (1999). The competitiveness of firms and regions. Ubiquitification and the importance of localized learning, European Urban and Regional Studies 6, 9–25. </w:t>
      </w:r>
    </w:p>
    <w:p w14:paraId="78C62F49"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Maskell, P. and A. Malmberg (2007). Myopia, knowledge development and cluster evolution, Journal of Economic Geography 7, 603–618. </w:t>
      </w:r>
    </w:p>
    <w:p w14:paraId="6610EAEB"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Mason Ailstock, Scott Andes, Deborah Crawford, Bob Geolas, Will Germain, Bruce Katz, Julie Wagner and Kate Wittels (…). Innovation Zones: How the Federal Government Can Create Thriving, Place-Based Innovation Ecosystems </w:t>
      </w:r>
    </w:p>
    <w:p w14:paraId="32112CB0"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Mattes, J. (2012). Dimensions of proximity and knowledge bases: Innovation between spatial and non-spatial factors. Regional Studies, 46(8), 1085–1099. doi:10.1080/00343404.2011.552493 </w:t>
      </w:r>
    </w:p>
    <w:p w14:paraId="57EC2451"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lastRenderedPageBreak/>
        <w:t xml:space="preserve">McCann, E. J. (2004). 'Best Places': Interurban Competition, Quality of Life and Popular Media Discourse. Urban Studies, 41(10), pp. 1909-1929. </w:t>
      </w:r>
    </w:p>
    <w:p w14:paraId="193A231A"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McCann, P. and R. Ortega-Argilés (2013). "Transforming European regional policy: a results-driven agenda and smart specialisation." Oxford Review of Economic Policy, 29(2): 405-431. </w:t>
      </w:r>
    </w:p>
    <w:p w14:paraId="66615098"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McCann, P., &amp; Ortega-Argilés, R. (2013). Transforming European regional policy: A results-driven agenda and smart specialization. Oxford Review of Economic Policy, 29(2), 405–431. doi:10.1093/ oxrep/grt021 </w:t>
      </w:r>
    </w:p>
    <w:p w14:paraId="3E5DC13E"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McCann, P., &amp; Ortega-Argilés, R. (2016). The early experience of smart specialization implementation in EU cohesion policy. European Planning Studies, 24(8), 1407-1427.</w:t>
      </w:r>
    </w:p>
    <w:p w14:paraId="2DCB4230"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McCann, P., &amp; Raquel Ortega-Argilés, R. (2019). Perspectives on smart specialisation policies in lagging regions. In Revitalising lagging regions: Smart specialisation and industry 4.0 (regional studies policy impact books) (Vol. 1 (2), pp. 17–27). Taylor &amp; Francis. https://doi.org/10.1080/2578711X.2019.162109.</w:t>
      </w:r>
    </w:p>
    <w:p w14:paraId="69B6FD08"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McCann, P., van Oort, F., &amp; Goddard, J. (Eds.). (2017). The empirical and institutional dimensions of smart specialisation. Abingdon: Routledge. </w:t>
      </w:r>
    </w:p>
    <w:p w14:paraId="2C1614B1"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McCann, Ph. and Ortega-Argillés, R. (2011). Smart Specialisation, Regional Growth and Applications to EU Cohesion Policy: Regional Studies 49(8). DOI: 10.1080/00343404.2013.799769. Retrieved from Research Gate on 30.1.2019, </w:t>
      </w:r>
      <w:hyperlink r:id="rId109" w:history="1">
        <w:r w:rsidRPr="003570D0">
          <w:rPr>
            <w:rFonts w:eastAsia="Calibri"/>
            <w:u w:color="101722"/>
            <w:lang w:eastAsia="en-US"/>
          </w:rPr>
          <w:t>https://www.researchgate.net/publication/254423239</w:t>
        </w:r>
      </w:hyperlink>
      <w:r w:rsidRPr="003570D0">
        <w:rPr>
          <w:rFonts w:eastAsia="Calibri"/>
          <w:u w:color="101722"/>
          <w:lang w:eastAsia="en-US"/>
        </w:rPr>
        <w:t>.</w:t>
      </w:r>
    </w:p>
    <w:p w14:paraId="66249CA5"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Mckinsey (2020). Risk, resilience, and rebalancing in global value chains. McKinsey Global Institute, 6 August 2020, </w:t>
      </w:r>
      <w:hyperlink r:id="rId110" w:history="1">
        <w:r w:rsidRPr="003570D0">
          <w:rPr>
            <w:rFonts w:eastAsia="Calibri"/>
            <w:u w:color="101722"/>
            <w:lang w:eastAsia="en-US"/>
          </w:rPr>
          <w:t>https://www.mckinsey.com/business-functions/operations/our-insights/risk-resilience-and-rebalancing-in-global-value-chains?sid=38c47e33-f6d3-43f8-84b1-e678f3aa8463</w:t>
        </w:r>
      </w:hyperlink>
      <w:r w:rsidRPr="003570D0">
        <w:rPr>
          <w:rFonts w:eastAsia="Calibri"/>
          <w:u w:color="101722"/>
          <w:lang w:eastAsia="en-US"/>
        </w:rPr>
        <w:t>.</w:t>
      </w:r>
    </w:p>
    <w:p w14:paraId="259A57AF"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Meliciani V., Savona M. (2014). The determinants of regional specialisation in business services: agglomeration economies, vertical linkages and innovation, Journal of Economic Geography, Volume 15, Issue 2, 1 March 2015, Pages 387 416,  </w:t>
      </w:r>
      <w:hyperlink r:id="rId111" w:history="1">
        <w:r w:rsidRPr="003570D0">
          <w:rPr>
            <w:rFonts w:eastAsia="Calibri"/>
            <w:u w:color="101722"/>
            <w:lang w:eastAsia="en-US"/>
          </w:rPr>
          <w:t>https://doi.org/10.1093/jeg/lbt038</w:t>
        </w:r>
      </w:hyperlink>
      <w:r w:rsidRPr="003570D0">
        <w:rPr>
          <w:rFonts w:eastAsia="Calibri"/>
          <w:u w:color="101722"/>
          <w:lang w:eastAsia="en-US"/>
        </w:rPr>
        <w:t xml:space="preserve">. </w:t>
      </w:r>
    </w:p>
    <w:p w14:paraId="2D22A413"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Morgan, K. (2019). The future of place-based innovation policy (as if ‘lagging regions’ really mattered). In Revitalising lagging regions: Smart Specialisation and Industry 4.0 (Regional Studies Policy Impact Books, Vol. 1, No. 2) (pp. 79–89). Taylor &amp; Francis. https://doi.org/10.1080/2578711X.2019.1621103 </w:t>
      </w:r>
    </w:p>
    <w:p w14:paraId="24FD3C07"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Morisson, Α. &amp; Doussineau, Μ. (2019). Regional innovation governance and place-based policies: design, implementation and implications, Regional Studies, Regional Science, 6:1, 101-116, DOI: </w:t>
      </w:r>
      <w:hyperlink r:id="rId112" w:history="1">
        <w:r w:rsidRPr="003570D0">
          <w:rPr>
            <w:rFonts w:eastAsia="Calibri"/>
            <w:u w:color="101722"/>
            <w:lang w:eastAsia="en-US"/>
          </w:rPr>
          <w:t>10.1080/21681376.2019.1578257</w:t>
        </w:r>
      </w:hyperlink>
    </w:p>
    <w:p w14:paraId="21F4AB31"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Morrison, A. (2008). Gatekeepers of knowledge within industrial districts: who they are, how they interact. Regional Studies 42 (6), 817-835. </w:t>
      </w:r>
    </w:p>
    <w:p w14:paraId="425837B0"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Morrison, A., Rabellotti R. and Zirulia L. (2013). When do global pipelines enhance the diffusion of knowledge in clusters?, Economic Geography 89, 77–96. </w:t>
      </w:r>
    </w:p>
    <w:p w14:paraId="4D5D4051"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NATIONAL PRIORITIES OF REGIONAL DEVELOPMENT 2016–2019: Competitive regions and smooth everyday life. </w:t>
      </w:r>
      <w:hyperlink r:id="rId113" w:history="1">
        <w:r w:rsidRPr="003570D0">
          <w:rPr>
            <w:rFonts w:eastAsia="Calibri"/>
            <w:u w:color="101722"/>
            <w:lang w:eastAsia="en-US"/>
          </w:rPr>
          <w:t>https://tem.fi/documents/1410877/2095033/National%20priorities%20of%20regional%20development%202016-2019.pdf/e30d1617-187e-48b3-ab23-78506214e0a9</w:t>
        </w:r>
      </w:hyperlink>
      <w:r w:rsidRPr="003570D0">
        <w:rPr>
          <w:rFonts w:eastAsia="Calibri"/>
          <w:u w:color="101722"/>
          <w:lang w:eastAsia="en-US"/>
        </w:rPr>
        <w:t xml:space="preserve"> . </w:t>
      </w:r>
    </w:p>
    <w:p w14:paraId="0D79340D"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NATIONAL/REGIONAL INNOVATION STRATEGIES FOR SMART SPECIALISATION (RIS3), COHESION POLICY 2014-2020 </w:t>
      </w:r>
      <w:hyperlink r:id="rId114" w:history="1">
        <w:r w:rsidRPr="003570D0">
          <w:rPr>
            <w:rFonts w:eastAsia="Calibri"/>
            <w:u w:color="101722"/>
            <w:lang w:eastAsia="en-US"/>
          </w:rPr>
          <w:t>http://ec.europa.eu/regional_policy/sources/docgener/informat/2014/smart_specialisation_en.pdf</w:t>
        </w:r>
      </w:hyperlink>
      <w:r w:rsidRPr="003570D0">
        <w:rPr>
          <w:rFonts w:eastAsia="Calibri"/>
          <w:u w:color="101722"/>
          <w:lang w:eastAsia="en-US"/>
        </w:rPr>
        <w:t xml:space="preserve">. </w:t>
      </w:r>
    </w:p>
    <w:p w14:paraId="7DCE9B47"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Neumark D., Simpson H. (2014). Place-based policies. Working Paper 20049 </w:t>
      </w:r>
      <w:hyperlink r:id="rId115" w:history="1">
        <w:r w:rsidRPr="003570D0">
          <w:rPr>
            <w:rFonts w:eastAsia="Calibri"/>
            <w:u w:color="101722"/>
            <w:lang w:eastAsia="en-US"/>
          </w:rPr>
          <w:t>http://www.nber.org/papers/w20049</w:t>
        </w:r>
      </w:hyperlink>
      <w:r w:rsidRPr="003570D0">
        <w:rPr>
          <w:rFonts w:eastAsia="Calibri"/>
          <w:u w:color="101722"/>
          <w:lang w:eastAsia="en-US"/>
        </w:rPr>
        <w:t>. National bureau of economic research. 1050 Massachusetts Avenue Cambridge, MA 02138 April 2014.</w:t>
      </w:r>
    </w:p>
    <w:p w14:paraId="7A27FAB6"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lastRenderedPageBreak/>
        <w:t>Nooteboom, B., van Haverbeke, W. P. M., Duijsters, G. M., Gilsing, V. A., &amp; Van den Oord, A. (2007). Optimal cognitive distance and absorptive capacity. Research Policy, 36(7), 1016–1034. doi:10.1016/j.respol.2007.04.003</w:t>
      </w:r>
    </w:p>
    <w:p w14:paraId="6ACA0523"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OECD (    ). Trade in value added. </w:t>
      </w:r>
      <w:hyperlink r:id="rId116" w:history="1">
        <w:r w:rsidRPr="003570D0">
          <w:rPr>
            <w:rFonts w:eastAsia="Calibri"/>
            <w:u w:color="101722"/>
            <w:lang w:eastAsia="en-US"/>
          </w:rPr>
          <w:t>https://www.oecd.org/sti/ind/measuring-trade-in-value-added.htm</w:t>
        </w:r>
      </w:hyperlink>
      <w:r w:rsidRPr="003570D0">
        <w:rPr>
          <w:rFonts w:eastAsia="Calibri"/>
          <w:u w:color="101722"/>
          <w:lang w:eastAsia="en-US"/>
        </w:rPr>
        <w:t>.</w:t>
      </w:r>
    </w:p>
    <w:p w14:paraId="6333F4A4"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OECD (   ). Employment in Global Value Chains (GVC). </w:t>
      </w:r>
      <w:hyperlink r:id="rId117" w:history="1">
        <w:r w:rsidRPr="003570D0">
          <w:rPr>
            <w:rFonts w:eastAsia="Calibri"/>
            <w:u w:color="101722"/>
            <w:lang w:eastAsia="en-US"/>
          </w:rPr>
          <w:t>https://www.oecd.org/sti/ind/trade-in-employment.htm</w:t>
        </w:r>
      </w:hyperlink>
      <w:r w:rsidRPr="003570D0">
        <w:rPr>
          <w:rFonts w:eastAsia="Calibri"/>
          <w:u w:color="101722"/>
          <w:lang w:eastAsia="en-US"/>
        </w:rPr>
        <w:t xml:space="preserve">. </w:t>
      </w:r>
    </w:p>
    <w:p w14:paraId="5B3D2B31"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OECD (2000). Is There a New Economy? Paris: OECD.</w:t>
      </w:r>
    </w:p>
    <w:p w14:paraId="54AEDB0E"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OECD (2009). Finland. </w:t>
      </w:r>
      <w:hyperlink r:id="rId118" w:history="1">
        <w:r w:rsidRPr="003570D0">
          <w:rPr>
            <w:rFonts w:eastAsia="Calibri"/>
            <w:u w:color="101722"/>
            <w:lang w:eastAsia="en-US"/>
          </w:rPr>
          <w:t>https://www.oecd.org/sti/outlook/e-outlook/sticountryprofiles/finland.htm</w:t>
        </w:r>
      </w:hyperlink>
      <w:r w:rsidRPr="003570D0">
        <w:rPr>
          <w:rFonts w:eastAsia="Calibri"/>
          <w:u w:color="101722"/>
          <w:lang w:eastAsia="en-US"/>
        </w:rPr>
        <w:t xml:space="preserve">.  </w:t>
      </w:r>
    </w:p>
    <w:p w14:paraId="53168346"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OECD (2009).Regions Matter: Economic Recovery, Innovation and Sustainable Growth. Paris: OECD Publishing. OECD. 2011. Divided We Stand - Why Inequality Keeps Rising. Paris: OECD Publishing. OECD. 2013. Investing Together: Working Effectively Across Levels of Government. Paris: OECD Publishing. Oshri, I. 2011. Offshoring strategies: Evolving captive centre models. Cambridge, MA: MIT Press. </w:t>
      </w:r>
    </w:p>
    <w:p w14:paraId="21B6F072"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OECD (2011). OECD Reviews of Regional Innovation Regions and Innovation Policy.</w:t>
      </w:r>
    </w:p>
    <w:p w14:paraId="0232FAFE"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OECD (2011). Organization for Economic Co-operation and Development (OECD) Global Value Chains: Preliminary Evidence and Policy Issues. DSTI/IND(2011)3. Paris, France, OECD. http://www.oecd.org/dataoecd/18/43/47945400.pdf .</w:t>
      </w:r>
    </w:p>
    <w:p w14:paraId="78D390E0"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OECD (2013). Innovation-driven Growth in Regions: The Role of Smart Specialisation. Paris: OECD Publications. </w:t>
      </w:r>
      <w:hyperlink r:id="rId119" w:history="1">
        <w:r w:rsidRPr="003570D0">
          <w:rPr>
            <w:rFonts w:eastAsia="Calibri"/>
            <w:u w:color="101722"/>
            <w:lang w:eastAsia="en-US"/>
          </w:rPr>
          <w:t>https://www.oecd.org/sti/inno/smart-specialisation.pdf</w:t>
        </w:r>
      </w:hyperlink>
      <w:r w:rsidRPr="003570D0">
        <w:rPr>
          <w:rFonts w:eastAsia="Calibri"/>
          <w:u w:color="101722"/>
          <w:lang w:eastAsia="en-US"/>
        </w:rPr>
        <w:t xml:space="preserve">. </w:t>
      </w:r>
    </w:p>
    <w:p w14:paraId="6769E0D4"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OECD (2013). Interconnected economies: benefitting from global value chains. </w:t>
      </w:r>
      <w:hyperlink r:id="rId120" w:history="1">
        <w:r w:rsidRPr="003570D0">
          <w:rPr>
            <w:rFonts w:eastAsia="Calibri"/>
            <w:u w:color="101722"/>
            <w:lang w:eastAsia="en-US"/>
          </w:rPr>
          <w:t>https://www.oecd.org/mcm/C-MIN(2013)15-ENG.pdf</w:t>
        </w:r>
      </w:hyperlink>
      <w:r w:rsidRPr="003570D0">
        <w:rPr>
          <w:rFonts w:eastAsia="Calibri"/>
          <w:u w:color="101722"/>
          <w:lang w:eastAsia="en-US"/>
        </w:rPr>
        <w:t xml:space="preserve">.  </w:t>
      </w:r>
    </w:p>
    <w:p w14:paraId="63E314BB"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OECD (2013). Interconnected economies: benefitting from global value chains. </w:t>
      </w:r>
      <w:hyperlink r:id="rId121" w:history="1">
        <w:r w:rsidRPr="003570D0">
          <w:rPr>
            <w:rFonts w:eastAsia="Calibri"/>
            <w:u w:color="101722"/>
          </w:rPr>
          <w:t>https://www.oecd.org/mcm/C-MIN(2013)15-ENG.pdf</w:t>
        </w:r>
      </w:hyperlink>
      <w:r w:rsidRPr="003570D0">
        <w:rPr>
          <w:rFonts w:eastAsia="Calibri"/>
          <w:u w:color="101722"/>
          <w:lang w:eastAsia="en-US"/>
        </w:rPr>
        <w:t xml:space="preserve">.  </w:t>
      </w:r>
    </w:p>
    <w:p w14:paraId="199F4378"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OECD (2016). OECD Science, Technology and Innovation Outlook 2016: Megatrends affecting science, technology and innovation (OECD Publishing 2016).  </w:t>
      </w:r>
    </w:p>
    <w:p w14:paraId="0DEC1DE6"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OECD (2016). The Future of Productivity (working document prepared as part of the project on Long Run Productivity 2015); OECD, OECD Regional Outlook 2016 (OECD Publishing 2016). </w:t>
      </w:r>
    </w:p>
    <w:p w14:paraId="3643C916"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OECD (2018). Productivity and Jobs in a Globalised World: (How) Can All Regions Benefit?, Organisation for Economic Cooperation and Development, Paris </w:t>
      </w:r>
    </w:p>
    <w:p w14:paraId="2635D7EF" w14:textId="77777777" w:rsidR="00994B41" w:rsidRPr="003570D0" w:rsidRDefault="00083C19" w:rsidP="00994B41">
      <w:pPr>
        <w:pStyle w:val="Heading9"/>
        <w:rPr>
          <w:rFonts w:eastAsia="Calibri"/>
          <w:u w:color="101722"/>
          <w:lang w:eastAsia="en-US"/>
        </w:rPr>
      </w:pPr>
      <w:r w:rsidRPr="003570D0">
        <w:rPr>
          <w:rFonts w:eastAsia="Calibri"/>
          <w:u w:color="101722"/>
          <w:lang w:eastAsia="en-US"/>
        </w:rPr>
        <w:t xml:space="preserve">OECD /Radosevic S. (2018). Broadening innovation policy: New insights for cities and regions, Fostering innovation in less-developed and low institutional capacity regions: Challenges and opportunities. </w:t>
      </w:r>
      <w:hyperlink r:id="rId122" w:history="1">
        <w:r w:rsidRPr="003570D0">
          <w:rPr>
            <w:rFonts w:eastAsia="Calibri"/>
            <w:u w:color="101722"/>
            <w:lang w:eastAsia="en-US"/>
          </w:rPr>
          <w:t>https://www.oecd.org/cfe/regionaldevelopment/Radosevic(2018)FosteringInnovationInLessDevelopedRegions.pdf</w:t>
        </w:r>
      </w:hyperlink>
      <w:r w:rsidR="00A81185" w:rsidRPr="003570D0">
        <w:rPr>
          <w:rFonts w:eastAsia="Calibri"/>
          <w:u w:color="101722"/>
          <w:lang w:eastAsia="en-US"/>
        </w:rPr>
        <w:t>.</w:t>
      </w:r>
    </w:p>
    <w:p w14:paraId="63DFE504" w14:textId="1FE82382" w:rsidR="00A81185" w:rsidRPr="003570D0" w:rsidRDefault="00A81185" w:rsidP="00994B41">
      <w:pPr>
        <w:pStyle w:val="Heading9"/>
        <w:rPr>
          <w:rFonts w:eastAsia="Calibri"/>
          <w:u w:color="101722"/>
          <w:lang w:eastAsia="en-US"/>
        </w:rPr>
      </w:pPr>
      <w:r w:rsidRPr="003570D0">
        <w:rPr>
          <w:rFonts w:eastAsia="Calibri"/>
          <w:u w:color="101722"/>
          <w:lang w:eastAsia="en-US"/>
        </w:rPr>
        <w:t xml:space="preserve">OECD (2020). Broad-based Innovation Policy for All Regions and Cities. OECD Regional Development Studies, OECD Publishing, Paris. Chapter 4 Chapter 4 Supporting innovations in all types of regions. </w:t>
      </w:r>
      <w:hyperlink r:id="rId123" w:tgtFrame="_blank" w:history="1">
        <w:r w:rsidRPr="003570D0">
          <w:rPr>
            <w:rFonts w:eastAsia="Calibri"/>
            <w:u w:color="101722"/>
            <w:lang w:eastAsia="en-US"/>
          </w:rPr>
          <w:t>https://doi.org/10.1787/299731d2-en</w:t>
        </w:r>
      </w:hyperlink>
      <w:r w:rsidRPr="003570D0">
        <w:rPr>
          <w:rFonts w:eastAsia="Calibri"/>
          <w:u w:color="101722"/>
          <w:lang w:eastAsia="en-US"/>
        </w:rPr>
        <w:t xml:space="preserve">. </w:t>
      </w:r>
      <w:hyperlink r:id="rId124" w:anchor="chapter-d1e11888" w:history="1">
        <w:r w:rsidRPr="003570D0">
          <w:rPr>
            <w:rFonts w:eastAsia="Calibri"/>
            <w:u w:color="101722"/>
            <w:lang w:eastAsia="en-US"/>
          </w:rPr>
          <w:t>https://www.oecd-ilibrary.org/sites/2246251c-en/index.html?itemId=/content/component/2246251c-en#chapter-d1e11888</w:t>
        </w:r>
      </w:hyperlink>
      <w:r w:rsidR="00994B41" w:rsidRPr="003570D0">
        <w:rPr>
          <w:rFonts w:eastAsia="Calibri"/>
          <w:u w:color="101722"/>
          <w:lang w:eastAsia="en-US"/>
        </w:rPr>
        <w:t xml:space="preserve">. </w:t>
      </w:r>
    </w:p>
    <w:p w14:paraId="72290A6E" w14:textId="0E70FF7D" w:rsidR="00083C19" w:rsidRPr="003570D0" w:rsidRDefault="00083C19" w:rsidP="00F977CD">
      <w:pPr>
        <w:pStyle w:val="Heading9"/>
        <w:rPr>
          <w:rFonts w:eastAsia="Calibri"/>
          <w:u w:color="101722"/>
          <w:lang w:eastAsia="en-US"/>
        </w:rPr>
      </w:pPr>
      <w:r w:rsidRPr="003570D0">
        <w:rPr>
          <w:rFonts w:eastAsia="Calibri"/>
          <w:u w:color="101722"/>
          <w:lang w:eastAsia="en-US"/>
        </w:rPr>
        <w:t xml:space="preserve"> OECD Regional Competitiveness.  www.oecd.org/cfe/regional-policy/regionalcompetitiveness.htm.</w:t>
      </w:r>
    </w:p>
    <w:p w14:paraId="2B8208BC"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OECD Roberto Mangabeira Unger, R. M. (2019). The knowledge economy. OECD. </w:t>
      </w:r>
      <w:hyperlink r:id="rId125" w:history="1">
        <w:r w:rsidRPr="003570D0">
          <w:rPr>
            <w:rFonts w:eastAsia="Calibri"/>
            <w:u w:color="101722"/>
            <w:lang w:eastAsia="en-US"/>
          </w:rPr>
          <w:t>https://www.oecd.org/naec/THE-KNOWLEDGE-ECONOMY.pdf</w:t>
        </w:r>
      </w:hyperlink>
      <w:r w:rsidRPr="003570D0">
        <w:rPr>
          <w:rFonts w:eastAsia="Calibri"/>
          <w:u w:color="101722"/>
          <w:lang w:eastAsia="en-US"/>
        </w:rPr>
        <w:t xml:space="preserve"> . </w:t>
      </w:r>
    </w:p>
    <w:p w14:paraId="3695E7FE"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OECD, (2009). How Regions Grow, Paris: Organisation for Economic Growth and Development, Paris OECD, 2009c, Regions Matter: Economic Recovery, Innovation and Sustainable Growth, Organisation.</w:t>
      </w:r>
    </w:p>
    <w:p w14:paraId="2FF1D0FE"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lastRenderedPageBreak/>
        <w:t>OECD, (2011). OECD Regional Outlook 2011, Organisation for Economic Cooperation and Development, Paris.</w:t>
      </w:r>
    </w:p>
    <w:p w14:paraId="6AEB7251"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Polèse M, Shearmur R. (2004). Is distance really dead? Comparing industrial location patterns over time in Canada, International Regional Science Review 2004, vol. 27 (pg. 431-457). </w:t>
      </w:r>
    </w:p>
    <w:p w14:paraId="658D89A8"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Porter, M. (1990). Competitive Advantage: Creating and sustaining Superior Performance, Issue 10, London: PA Consulting Group.</w:t>
      </w:r>
    </w:p>
    <w:p w14:paraId="01E6D22B"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Porter, M. (1996). Competitive Advantage, Agglomeration Economies, and Regional Policy. International Regional Science Review 19. 1 &amp; 2: 85-94 (1996). </w:t>
      </w:r>
    </w:p>
    <w:p w14:paraId="0F1970D3"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Porter, M. (1998). Clusters and the New Economies of Competition. Harvard Business Review, 76(6), pp. 77-90. </w:t>
      </w:r>
    </w:p>
    <w:p w14:paraId="5E0A00C8"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Porter, M. and Kramer, M. (2011). Creating Shared Value. </w:t>
      </w:r>
      <w:hyperlink r:id="rId126" w:history="1">
        <w:r w:rsidRPr="003570D0">
          <w:rPr>
            <w:rFonts w:eastAsia="Calibri"/>
            <w:u w:color="101722"/>
            <w:lang w:eastAsia="en-US"/>
          </w:rPr>
          <w:t>http://www.relativimpact.com/downloads/HBR-Shared-value.pdf</w:t>
        </w:r>
      </w:hyperlink>
      <w:r w:rsidRPr="003570D0">
        <w:rPr>
          <w:rFonts w:eastAsia="Calibri"/>
          <w:u w:color="101722"/>
          <w:lang w:eastAsia="en-US"/>
        </w:rPr>
        <w:t xml:space="preserve"> </w:t>
      </w:r>
    </w:p>
    <w:p w14:paraId="40CCD6FE"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Porter, M. E. (1980). Competitive strategy: techniques for analysing industries and Measurement of competitive advantages and market attractiveness for strategic controlling |SpringerLink 19.7.2021, 17.11 competitors. New York: Free Press.</w:t>
      </w:r>
    </w:p>
    <w:p w14:paraId="0D609C0D"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Porter, M. E. (2000) Location, competition and economic development: local clusters in the global economy, Economic Development Quarterly, 14, 1, pp. 15-31.</w:t>
      </w:r>
    </w:p>
    <w:p w14:paraId="4E4F6707"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Porter, M. E. (2003). The economic performance of regions, Regional Studies, 37, 6/7, pp. 549-578. </w:t>
      </w:r>
    </w:p>
    <w:p w14:paraId="57305C3F"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Porter, M.E. (1990). The Competitive Advantage of Nations, Free Press, New York.</w:t>
      </w:r>
    </w:p>
    <w:p w14:paraId="754FBB85"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Potter, J. G. (2009). Evaluating regional competitiveness policies: insights from the new economic geography. Regional Studies, 43(9), 1225-1236. </w:t>
      </w:r>
      <w:hyperlink r:id="rId127" w:history="1">
        <w:r w:rsidRPr="003570D0">
          <w:rPr>
            <w:rFonts w:eastAsia="Calibri"/>
            <w:u w:color="101722"/>
            <w:lang w:eastAsia="en-US"/>
          </w:rPr>
          <w:t>https://doi.org/10.1080/00343400801932250</w:t>
        </w:r>
      </w:hyperlink>
      <w:r w:rsidRPr="003570D0">
        <w:rPr>
          <w:rFonts w:eastAsia="Calibri"/>
          <w:u w:color="101722"/>
          <w:lang w:eastAsia="en-US"/>
        </w:rPr>
        <w:t>.</w:t>
      </w:r>
      <w:r w:rsidRPr="003570D0">
        <w:rPr>
          <w:rFonts w:eastAsia="Calibri"/>
          <w:u w:color="101722"/>
          <w:lang w:eastAsia="en-US"/>
        </w:rPr>
        <w:endnoteReference w:id="21"/>
      </w:r>
      <w:r w:rsidRPr="003570D0">
        <w:rPr>
          <w:rFonts w:eastAsia="Calibri"/>
          <w:u w:color="101722"/>
          <w:lang w:eastAsia="en-US"/>
        </w:rPr>
        <w:t xml:space="preserve"> </w:t>
      </w:r>
    </w:p>
    <w:p w14:paraId="0ED9C6F8"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Rabellotti R. (2010). Clusters and Value Chains, how they can help the development of SMEs. Abu Dhabi 2010.       </w:t>
      </w:r>
    </w:p>
    <w:p w14:paraId="53B2D010"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Radosevic, S. and Ciampi Stankova K. (2015). External dimensions of smart specialization. Opportunities and challenges for trans-regional and transnational collaboration in the EU-13, Joint Research Centre S3 Working paper series, N° JRC96030, ISSN 1831-9408. </w:t>
      </w:r>
    </w:p>
    <w:p w14:paraId="0DE4E9F4" w14:textId="77777777" w:rsidR="00083C19" w:rsidRPr="003570D0" w:rsidRDefault="00083C19" w:rsidP="00D86705">
      <w:pPr>
        <w:pStyle w:val="Heading9"/>
        <w:rPr>
          <w:rFonts w:eastAsia="Calibri"/>
          <w:u w:color="101722"/>
          <w:lang w:eastAsia="en-US"/>
        </w:rPr>
      </w:pPr>
      <w:bookmarkStart w:id="42" w:name="_Radosevic,_S.,_&amp;"/>
      <w:bookmarkEnd w:id="42"/>
      <w:r w:rsidRPr="003570D0">
        <w:rPr>
          <w:rFonts w:eastAsia="Calibri"/>
          <w:u w:color="101722"/>
          <w:lang w:eastAsia="en-US"/>
        </w:rPr>
        <w:t>Radosevic, S., &amp; Ciampi-Stancova, K. (2018). Internationalising Smart Specialisation: Assessment and issues in the case of EU new member states. Journal of the Knowledge Economy, 9(1), 263–293. https://doi.org/10.1007/ s13132-015-0339-3</w:t>
      </w:r>
    </w:p>
    <w:p w14:paraId="21EFFDF3"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Rakhmatullin, R. (2014). Triple/Quadruple Helix in the context of Smart Specialisation; 29-30 May 2014, Guiford, UK.</w:t>
      </w:r>
    </w:p>
    <w:p w14:paraId="0EEE119F"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Riba Vilanova, M., Leydesdorff, L. (2001). Why Catalonia cannot be considered as a regional innovation system.Scientometrics 50, 215–240 (2001). https://doi.org/10.1023/A:1010517505793</w:t>
      </w:r>
    </w:p>
    <w:p w14:paraId="5E26B908"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Rodríguez-Clemente, R. INVOLVEMENT OF A RESEARCH ORGANISATION IN THE DEVELOPMENT OF THE RIS3: THE EXPERIENCE OF CSIC IN SPAIN. </w:t>
      </w:r>
    </w:p>
    <w:p w14:paraId="0E95518F" w14:textId="77777777" w:rsidR="00083C19" w:rsidRPr="003570D0" w:rsidRDefault="00083C19" w:rsidP="00D86705">
      <w:pPr>
        <w:pStyle w:val="Heading9"/>
        <w:rPr>
          <w:rFonts w:eastAsia="Calibri"/>
          <w:u w:color="101722"/>
          <w:lang w:eastAsia="en-US"/>
        </w:rPr>
      </w:pPr>
      <w:bookmarkStart w:id="43" w:name="_Romer_P._M.,"/>
      <w:bookmarkEnd w:id="43"/>
      <w:r w:rsidRPr="003570D0">
        <w:rPr>
          <w:rFonts w:eastAsia="Calibri"/>
          <w:u w:color="101722"/>
          <w:lang w:eastAsia="en-US"/>
        </w:rPr>
        <w:t xml:space="preserve">Rodríguez-Pose A. and Callum Willkie C. (2016). Revamping Local and Regional Development through Place-based Strategies. University of Pennsylvania; Federal Reserve Bank of Philadelphia. </w:t>
      </w:r>
      <w:hyperlink r:id="rId128" w:history="1">
        <w:r w:rsidRPr="003570D0">
          <w:rPr>
            <w:rFonts w:eastAsia="Calibri"/>
            <w:u w:color="101722"/>
            <w:lang w:eastAsia="en-US"/>
          </w:rPr>
          <w:t>https://penniur.upenn.edu/uploads/media/Rodriguez-Pose_-_Wilkie_PennIUR-Philly_Fed_working_paper_091616.pdf</w:t>
        </w:r>
      </w:hyperlink>
      <w:r w:rsidRPr="003570D0">
        <w:rPr>
          <w:rFonts w:eastAsia="Calibri"/>
          <w:u w:color="101722"/>
          <w:lang w:eastAsia="en-US"/>
        </w:rPr>
        <w:t xml:space="preserve">. </w:t>
      </w:r>
    </w:p>
    <w:p w14:paraId="116692C6" w14:textId="77777777" w:rsidR="00083C19" w:rsidRPr="003570D0" w:rsidRDefault="00083C19" w:rsidP="00D86705">
      <w:pPr>
        <w:pStyle w:val="Heading9"/>
        <w:rPr>
          <w:rFonts w:eastAsia="Calibri"/>
          <w:u w:color="101722"/>
          <w:lang w:eastAsia="en-US"/>
        </w:rPr>
      </w:pPr>
      <w:bookmarkStart w:id="44" w:name="_Romer_PM._1990."/>
      <w:bookmarkEnd w:id="44"/>
      <w:r w:rsidRPr="003570D0">
        <w:rPr>
          <w:rFonts w:eastAsia="Calibri"/>
          <w:u w:color="101722"/>
          <w:lang w:eastAsia="en-US"/>
        </w:rPr>
        <w:t xml:space="preserve">Rodríguez-Pose, A. (2013). Do institutions Matter for regional development? Regional Studies, 47(7), 1034–1047. https://doi.org/10.1080/00343404.2012.748978. </w:t>
      </w:r>
    </w:p>
    <w:p w14:paraId="271975C5"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lastRenderedPageBreak/>
        <w:t xml:space="preserve">Rodríguez-Pose, A. (2014) Leveraging research, science and innovation to strengthen social and regional cohesion, Policy Paper by the Research, Innovation, and Science Policy Experts (RISE), EUROPEAN COMMISSION, Directorate-General for Research and Innovation Directorate A – Policy Development and coordination Unit A6 – Science Policy, foresight and data. </w:t>
      </w:r>
    </w:p>
    <w:p w14:paraId="16C7D71E"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Rodríguez-Pose, A. (2018). The revenge of the places that don’t matter (and what to do about it). Cambridge Journal of Regions of Economy and Society, 11(1), 189–209. https://doi.org/10.1093/cjres/rsx024</w:t>
      </w:r>
    </w:p>
    <w:p w14:paraId="0B94577E"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Rodríguez-Pose, A. 2011. Economists as geographers and geographers as something else: On the changing conception of distance in geography and economics. Journal of Economic Geography 11: 347–356. </w:t>
      </w:r>
    </w:p>
    <w:p w14:paraId="54ED3C16"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Romer P. M., 1986. Increasing returns and long-run growth. Journal of Political Economy 94, 1002- 1037. </w:t>
      </w:r>
    </w:p>
    <w:p w14:paraId="2C27047D"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Romer PM. 1990. Endogenous technological change. J. Polit. Econ. 98:71–102 </w:t>
      </w:r>
    </w:p>
    <w:p w14:paraId="6FE409D9"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Ross D. G., Oppegaard B. and Willerton R. (2019). "Principles of Place: Developing a Place-Based Ethic for Discussing, Debating, and Anticipating Technical Communication Concerns," in IEEE Transactions on Professional Communication, vol. 62, no. 1, pp. 4-26, March 2019, doi: 10.1109/TPC.2018.2867179. </w:t>
      </w:r>
    </w:p>
    <w:p w14:paraId="1A5AACE4"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Sachitra V. (2017).  Review of Competitive Advantage Measurements: Reference on Agribusiness Sector. Journal of Scientific Research &amp; Reports. 12(6): XX-XX, 2016; Article no.JSRR.30850 ISSN: 2320-0227.</w:t>
      </w:r>
    </w:p>
    <w:p w14:paraId="23A75F67"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Sigalas Ch., and Pekka-Economou V. (2013). Developing a measure of competitive advantage. Journal of Strategy and Management · October 2013 DOI: 10.1108/JSMA-03-2013-0015.</w:t>
      </w:r>
    </w:p>
    <w:p w14:paraId="6703AB36"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Sorenson, O. Rivkin, J.W., Fleming, L. (2006) Complexity, networks and knowledge flow. Research Policy, 35(7): 994–1017. </w:t>
      </w:r>
    </w:p>
    <w:p w14:paraId="12CC2AAF"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Sörvik J., Kleibrink A. (2015). Mapping Innovation Priorities and Specialisation Patterns in Europe. JRC technical Reports, S3 Working Paper Series, n. 8, Institute for Prospective Technological Studies, Spain.</w:t>
      </w:r>
    </w:p>
    <w:p w14:paraId="08E0B945" w14:textId="77777777" w:rsidR="00994B41" w:rsidRPr="003570D0" w:rsidRDefault="00994B41" w:rsidP="00994B41">
      <w:pPr>
        <w:pStyle w:val="Heading9"/>
        <w:rPr>
          <w:rFonts w:eastAsia="Calibri"/>
          <w:u w:color="101722"/>
          <w:lang w:eastAsia="en-US"/>
        </w:rPr>
      </w:pPr>
      <w:bookmarkStart w:id="45" w:name="_Sotarauta_M._&amp;"/>
      <w:bookmarkEnd w:id="45"/>
      <w:r w:rsidRPr="003570D0">
        <w:rPr>
          <w:rFonts w:eastAsia="Calibri"/>
          <w:u w:color="101722"/>
          <w:lang w:eastAsia="en-US"/>
        </w:rPr>
        <w:t xml:space="preserve">Sotarauta M. &amp; Beer A. (2020). Local and Regional Development Thinking and Its Evolution in Finland. Tampere University Sente Working Papers 47/2020. </w:t>
      </w:r>
      <w:hyperlink r:id="rId129" w:history="1">
        <w:r w:rsidRPr="003570D0">
          <w:rPr>
            <w:rFonts w:eastAsia="Calibri"/>
            <w:u w:color="101722"/>
            <w:lang w:eastAsia="en-US"/>
          </w:rPr>
          <w:t>https://homepages.tuni.fi/markku.sotarauta/stuff/wp/Sotarauta&amp;Beer_WP47.pdf</w:t>
        </w:r>
      </w:hyperlink>
    </w:p>
    <w:p w14:paraId="273129D0" w14:textId="2C6837FE" w:rsidR="00994B41" w:rsidRPr="003570D0" w:rsidRDefault="00994B41" w:rsidP="008318C3">
      <w:pPr>
        <w:pStyle w:val="Heading9"/>
        <w:rPr>
          <w:rFonts w:eastAsia="Calibri"/>
          <w:u w:color="101722"/>
          <w:lang w:eastAsia="en-US"/>
        </w:rPr>
      </w:pPr>
      <w:r w:rsidRPr="003570D0">
        <w:rPr>
          <w:rFonts w:eastAsia="Calibri"/>
          <w:u w:color="101722"/>
          <w:lang w:eastAsia="en-US"/>
        </w:rPr>
        <w:t xml:space="preserve"> Sotarauta Μ. &amp; Suvinen Ν. (2019). Place leadership and the challenge of transformation: policy platforms and innovation ecosystems in promotion of green growth, European Planning Studies, DOI: 10.1080/09654313.2019.1634006 </w:t>
      </w:r>
    </w:p>
    <w:p w14:paraId="241DCF6F" w14:textId="77777777" w:rsidR="00994B41" w:rsidRPr="003570D0" w:rsidRDefault="00994B41" w:rsidP="00D86705">
      <w:pPr>
        <w:pStyle w:val="Heading9"/>
        <w:rPr>
          <w:rFonts w:eastAsia="Calibri"/>
          <w:u w:color="101722"/>
          <w:lang w:eastAsia="en-US"/>
        </w:rPr>
      </w:pPr>
      <w:r w:rsidRPr="003570D0">
        <w:rPr>
          <w:rFonts w:eastAsia="Calibri"/>
          <w:u w:color="101722"/>
          <w:lang w:eastAsia="en-US"/>
        </w:rPr>
        <w:t>Sotarauta M. (2018). Smart specialization and place leadership: Dreaming about shared visions, falling into policy traps? Regional Studies, Regional Science 5(1):190-203. January 2018. DOI: </w:t>
      </w:r>
      <w:hyperlink r:id="rId130" w:history="1">
        <w:r w:rsidRPr="003570D0">
          <w:rPr>
            <w:rFonts w:eastAsia="Calibri"/>
            <w:u w:color="101722"/>
            <w:lang w:eastAsia="en-US"/>
          </w:rPr>
          <w:t>10.1080/21681376.2018.1480902</w:t>
        </w:r>
      </w:hyperlink>
      <w:r w:rsidRPr="003570D0">
        <w:rPr>
          <w:rFonts w:eastAsia="Calibri"/>
          <w:u w:color="101722"/>
          <w:lang w:eastAsia="en-US"/>
        </w:rPr>
        <w:t>. Project: </w:t>
      </w:r>
      <w:hyperlink r:id="rId131" w:history="1">
        <w:r w:rsidRPr="003570D0">
          <w:rPr>
            <w:rFonts w:eastAsia="Calibri"/>
            <w:u w:color="101722"/>
            <w:lang w:eastAsia="en-US"/>
          </w:rPr>
          <w:t>Regional Growth Against All Odds</w:t>
        </w:r>
      </w:hyperlink>
      <w:r w:rsidRPr="003570D0">
        <w:rPr>
          <w:rFonts w:eastAsia="Calibri"/>
          <w:u w:color="101722"/>
          <w:lang w:eastAsia="en-US"/>
        </w:rPr>
        <w:t xml:space="preserve">. </w:t>
      </w:r>
    </w:p>
    <w:p w14:paraId="26AB88A7" w14:textId="77777777" w:rsidR="00994B41" w:rsidRPr="003570D0" w:rsidRDefault="00994B41" w:rsidP="00D86705">
      <w:pPr>
        <w:pStyle w:val="Heading9"/>
        <w:rPr>
          <w:rFonts w:eastAsia="Calibri"/>
          <w:u w:color="101722"/>
          <w:lang w:eastAsia="en-US"/>
        </w:rPr>
      </w:pPr>
      <w:r w:rsidRPr="003570D0">
        <w:rPr>
          <w:rFonts w:eastAsia="Calibri"/>
          <w:u w:color="101722"/>
          <w:lang w:eastAsia="en-US"/>
        </w:rPr>
        <w:t>Sotarauta M., Beer A. (2017) Governance, agency and place leadership: lessons from a cross-national analysis. Regional Studies 51(2): 210–223. </w:t>
      </w:r>
    </w:p>
    <w:p w14:paraId="1DA63268" w14:textId="77777777" w:rsidR="00994B41" w:rsidRPr="003570D0" w:rsidRDefault="00994B41" w:rsidP="00D86705">
      <w:pPr>
        <w:pStyle w:val="Heading9"/>
        <w:rPr>
          <w:rFonts w:eastAsia="Calibri"/>
          <w:u w:color="101722"/>
          <w:lang w:eastAsia="en-US"/>
        </w:rPr>
      </w:pPr>
      <w:r w:rsidRPr="003570D0">
        <w:rPr>
          <w:rFonts w:eastAsia="Calibri"/>
          <w:u w:color="101722"/>
          <w:lang w:eastAsia="en-US"/>
        </w:rPr>
        <w:t xml:space="preserve">Sotarauta, M., Horlings, L., &amp; Liddle, J. (2012). Knowledge leadership for resilient regions: Concluding remarks. In M. Sotarauta, L. Horlings, &amp; J. Liddle (Eds.), Leadership and change in sustainable regional development (pp. 271–290). Abingdon, OX: Routledge. </w:t>
      </w:r>
    </w:p>
    <w:p w14:paraId="0BE87B0E" w14:textId="77777777" w:rsidR="00994B41" w:rsidRPr="003570D0" w:rsidRDefault="00994B41" w:rsidP="00D86705">
      <w:pPr>
        <w:pStyle w:val="Heading9"/>
        <w:rPr>
          <w:rFonts w:eastAsia="Calibri"/>
          <w:u w:color="101722"/>
          <w:lang w:eastAsia="en-US"/>
        </w:rPr>
      </w:pPr>
      <w:r w:rsidRPr="003570D0">
        <w:rPr>
          <w:rFonts w:eastAsia="Calibri"/>
          <w:u w:color="101722"/>
          <w:lang w:eastAsia="en-US"/>
        </w:rPr>
        <w:t xml:space="preserve">Sotarauta M. (2010). Regional Development and Regional Networks: The Role of Regional Development Officers in Finland. European Urban and Regional Studies, 17:4, 387-400. </w:t>
      </w:r>
    </w:p>
    <w:p w14:paraId="70C56F32" w14:textId="77777777" w:rsidR="00994B41" w:rsidRPr="003570D0" w:rsidRDefault="00994B41" w:rsidP="00D86705">
      <w:pPr>
        <w:pStyle w:val="Heading9"/>
        <w:rPr>
          <w:rFonts w:eastAsia="Calibri"/>
          <w:u w:color="101722"/>
          <w:lang w:eastAsia="en-US"/>
        </w:rPr>
      </w:pPr>
      <w:r w:rsidRPr="003570D0">
        <w:rPr>
          <w:rFonts w:eastAsia="Calibri"/>
          <w:u w:color="101722"/>
          <w:lang w:eastAsia="en-US"/>
        </w:rPr>
        <w:t xml:space="preserve">Sotarauta Markku, Kautonen Mika (2007). Co-evolution of the Finnish national and local innovation and science arenas: towards a dynamic understanding of multi-level governance. Regional Studies 41(8). DOI </w:t>
      </w:r>
      <w:hyperlink r:id="rId132" w:history="1">
        <w:r w:rsidRPr="003570D0">
          <w:rPr>
            <w:rFonts w:eastAsia="Calibri"/>
            <w:u w:color="101722"/>
            <w:lang w:eastAsia="en-US"/>
          </w:rPr>
          <w:t>http://dx.doi.org/10.1080/00343400701292284</w:t>
        </w:r>
      </w:hyperlink>
      <w:r w:rsidRPr="003570D0">
        <w:rPr>
          <w:rFonts w:eastAsia="Calibri"/>
          <w:u w:color="101722"/>
          <w:lang w:eastAsia="en-US"/>
        </w:rPr>
        <w:t xml:space="preserve">.  </w:t>
      </w:r>
    </w:p>
    <w:p w14:paraId="74B00D17"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lastRenderedPageBreak/>
        <w:t xml:space="preserve">Stoetzer, Matthias-Wolfgang, Pfeil, Silko, Kaps, Katharina and Sauer, Thomas (2011). Regional dispersion of cooperation activities as success factor of innovation-oriented SME. University of Applied Sciences, Jena,  Department of Business Administration, Jahrgang 2011 / Heft 4 ISSN 1861 – 2806 ISBN 3-939046-23-X. </w:t>
      </w:r>
      <w:hyperlink r:id="rId133" w:history="1">
        <w:r w:rsidRPr="003570D0">
          <w:rPr>
            <w:rFonts w:eastAsia="Calibri"/>
            <w:u w:color="101722"/>
            <w:lang w:eastAsia="en-US"/>
          </w:rPr>
          <w:t>https://www.researchgate.net/publication/254459296</w:t>
        </w:r>
      </w:hyperlink>
      <w:r w:rsidRPr="003570D0">
        <w:rPr>
          <w:rFonts w:eastAsia="Calibri"/>
          <w:u w:color="101722"/>
          <w:lang w:eastAsia="en-US"/>
        </w:rPr>
        <w:t xml:space="preserve">.  </w:t>
      </w:r>
    </w:p>
    <w:p w14:paraId="20F30EB6"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Strambach S., Klement B. (2012). Cumulative and Combinatorial Micro-dynamics of Knowledge: The Role of Space and Place in Knowledge Integration. European Planning Studies, 20(11), 1843-1866. </w:t>
      </w:r>
    </w:p>
    <w:p w14:paraId="27883090"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Sverre J.Herstad, Heidi WiigAslesen, BerndEbersberger (2013). On industrial knowledge bases, commercial opportunities and global innovation network linkages: </w:t>
      </w:r>
      <w:hyperlink r:id="rId134" w:history="1">
        <w:r w:rsidRPr="003570D0">
          <w:rPr>
            <w:rFonts w:eastAsia="Calibri"/>
            <w:u w:color="101722"/>
            <w:lang w:eastAsia="en-US"/>
          </w:rPr>
          <w:t>Research Policy</w:t>
        </w:r>
      </w:hyperlink>
      <w:r w:rsidRPr="003570D0">
        <w:rPr>
          <w:rFonts w:eastAsia="Calibri"/>
          <w:u w:color="101722"/>
          <w:lang w:eastAsia="en-US"/>
        </w:rPr>
        <w:t xml:space="preserve">, </w:t>
      </w:r>
      <w:hyperlink r:id="rId135" w:history="1">
        <w:r w:rsidRPr="003570D0">
          <w:rPr>
            <w:rFonts w:eastAsia="Calibri"/>
            <w:u w:color="101722"/>
            <w:lang w:eastAsia="en-US"/>
          </w:rPr>
          <w:t>Volume 43, Issue 3</w:t>
        </w:r>
      </w:hyperlink>
      <w:r w:rsidRPr="003570D0">
        <w:rPr>
          <w:rFonts w:eastAsia="Calibri"/>
          <w:u w:color="101722"/>
          <w:lang w:eastAsia="en-US"/>
        </w:rPr>
        <w:t xml:space="preserve">, April 2014, Pages 495-504. </w:t>
      </w:r>
    </w:p>
    <w:p w14:paraId="2EBBD2FD"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Tödtling F. and Trippl M. (2005). One size fits all? Towards a differentiated regional innovation policy approach. Research Policy 34(8), 1203-1219.  </w:t>
      </w:r>
    </w:p>
    <w:p w14:paraId="769A031B"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Tödtling, F., Lehner, P., &amp; Trippl, M. (2006). Innovation in knowledge intensive industries: The nature and geography of knowledge links. European Planning Studies, 14(8), 1035–1058. https://doi.org/10.1080/ 09654310600852365.</w:t>
      </w:r>
    </w:p>
    <w:p w14:paraId="0D7622CA" w14:textId="77777777" w:rsidR="00083C19" w:rsidRPr="003570D0" w:rsidRDefault="00083C19" w:rsidP="00D86705">
      <w:pPr>
        <w:pStyle w:val="Heading9"/>
        <w:rPr>
          <w:rFonts w:eastAsia="Calibri"/>
          <w:u w:color="101722"/>
          <w:lang w:eastAsia="en-US"/>
        </w:rPr>
      </w:pPr>
      <w:bookmarkStart w:id="46" w:name="_Uhlbach_W.-H.,_Balland"/>
      <w:bookmarkEnd w:id="46"/>
      <w:r w:rsidRPr="003570D0">
        <w:rPr>
          <w:rFonts w:eastAsia="Calibri"/>
          <w:u w:color="101722"/>
          <w:lang w:eastAsia="en-US"/>
        </w:rPr>
        <w:t>Torfing, J. (2018). Collaborative innovation in the public sector: The argument. Public Management Review, 21(1), 1–11.</w:t>
      </w:r>
    </w:p>
    <w:p w14:paraId="08215C27"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Trippl, M., Grillitsh, M. and Isaksen, A., (2015). External energy for regional industrial change – attraction and anchoring of non-local knowledge for new path development. Paper presented at the 10th Regional Innovation Policy Conference, Karlsruhe October 15-16, 2015. </w:t>
      </w:r>
    </w:p>
    <w:p w14:paraId="02D90390"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Trippl, M., M. Grillitsch and A. Isaksen (2018). Exogenous sources of regional industrial change: Attraction and absorption </w:t>
      </w:r>
    </w:p>
    <w:p w14:paraId="5A6A520D"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Trippl, M., Zukauskaite, E., &amp; Healy, A. (2019). Shaping smart specialization: the role of place-specific factors in advanced, intermediate and less-developed European regions, Regional Studies, DOI: 10.1080/00343404.2019.1582763 </w:t>
      </w:r>
    </w:p>
    <w:p w14:paraId="3BDA930B"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Uhlbach W.-H., Balland P.-A., Scherngell Th. (2017) R&amp;D Policy and Technological Trajectories of Regions: Evidence from the EU Framework Programmes. SSRN Electronic Journal. DOI: 102139/ssrn.3027919.</w:t>
      </w:r>
    </w:p>
    <w:p w14:paraId="4B47E111" w14:textId="7EFF57F8"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Uudenmaan Liitto, Uusimaa Programme 2.0. </w:t>
      </w:r>
      <w:hyperlink r:id="rId136" w:history="1">
        <w:r w:rsidRPr="003570D0">
          <w:rPr>
            <w:rFonts w:eastAsia="Calibri"/>
            <w:u w:color="101722"/>
            <w:lang w:eastAsia="en-US"/>
          </w:rPr>
          <w:t>https://www.uudenmaanliitto.fi/dynastia32/kokous/20171033-3-1.PDF</w:t>
        </w:r>
      </w:hyperlink>
      <w:r w:rsidRPr="003570D0">
        <w:rPr>
          <w:rFonts w:eastAsia="Calibri"/>
          <w:u w:color="101722"/>
          <w:lang w:eastAsia="en-US"/>
        </w:rPr>
        <w:t xml:space="preserve">, </w:t>
      </w:r>
      <w:r w:rsidR="00312A9A" w:rsidRPr="003570D0">
        <w:rPr>
          <w:rFonts w:eastAsia="Calibri"/>
          <w:u w:color="101722"/>
          <w:lang w:eastAsia="en-US"/>
        </w:rPr>
        <w:t>most recently</w:t>
      </w:r>
      <w:r w:rsidRPr="003570D0">
        <w:rPr>
          <w:rFonts w:eastAsia="Calibri"/>
          <w:u w:color="101722"/>
          <w:lang w:eastAsia="en-US"/>
        </w:rPr>
        <w:t xml:space="preserve"> retrieved 6.1.2019.</w:t>
      </w:r>
    </w:p>
    <w:p w14:paraId="1F921B60"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Uyarra, E., &amp; Flanagan, K. (2009). From regional innovation systems to regions as innovation policy spaces. (openloc working paper series; No. 6/2009). http://www.openloc.eu/page/?/working-papers/ .   </w:t>
      </w:r>
    </w:p>
    <w:p w14:paraId="4330EF51"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 xml:space="preserve">Uyarra, E., Marzocchi, C., &amp; Sörvik, J. (2018). How outward looking is smart specialisation? Rationales, drivers and barriers. European Planning Studies, 26(12), 2344-2363. DOI: 10.1080/09654313.2018.1529146 To link to this article: https://doi.org/10.1080/09654313.2018.1529146 </w:t>
      </w:r>
    </w:p>
    <w:p w14:paraId="4759CE2B"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Uyarra, E., Sörvik, J., Midtkandal, I., (2014). Inter-regional Collaboration in Research and Innovation Strategies for Smart Specialisation (RIS3). S3 Working Paper Series no 6/2014 (JRC Working Paper No. JRC91963). Directorate Growth &amp; Innovation and JRC-Seville, Joint Research Centre.</w:t>
      </w:r>
    </w:p>
    <w:p w14:paraId="5B4715FF"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Van Oort F G. (2007). Spatial and sectoral composition of agglomeration economies in the Netherlands, Papers in Regional Science, 2007, vol. 86 (pg. 5-30).</w:t>
      </w:r>
    </w:p>
    <w:p w14:paraId="5123B153"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Van Oort, Frank &amp; Ponds, Roderick, &amp; Frenken, Koen, (2006). "</w:t>
      </w:r>
      <w:hyperlink r:id="rId137" w:history="1">
        <w:r w:rsidRPr="003570D0">
          <w:rPr>
            <w:rFonts w:eastAsia="Calibri"/>
            <w:u w:color="101722"/>
            <w:lang w:eastAsia="en-US"/>
          </w:rPr>
          <w:t>The Geographical and Institutional Proximity of Scientific Collaboration Networks</w:t>
        </w:r>
      </w:hyperlink>
      <w:r w:rsidRPr="003570D0">
        <w:rPr>
          <w:rFonts w:eastAsia="Calibri"/>
          <w:u w:color="101722"/>
          <w:lang w:eastAsia="en-US"/>
        </w:rPr>
        <w:t>," </w:t>
      </w:r>
      <w:hyperlink r:id="rId138" w:history="1">
        <w:r w:rsidRPr="003570D0">
          <w:rPr>
            <w:rFonts w:eastAsia="Calibri"/>
            <w:u w:color="101722"/>
            <w:lang w:eastAsia="en-US"/>
          </w:rPr>
          <w:t>ERSA conference papers</w:t>
        </w:r>
      </w:hyperlink>
      <w:r w:rsidRPr="003570D0">
        <w:rPr>
          <w:rFonts w:eastAsia="Calibri"/>
          <w:u w:color="101722"/>
          <w:lang w:eastAsia="en-US"/>
        </w:rPr>
        <w:t> ersa 06.</w:t>
      </w:r>
    </w:p>
    <w:p w14:paraId="6156A740"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lastRenderedPageBreak/>
        <w:t xml:space="preserve">Varga, A., Sebestyén, T., Szabó, N., &amp; Szerb, L. (2020). Estimating the economic impacts of knowledge network and entrepreneurship development in smart specialization policy. Regional Studies, 54(1), 48–59. https://doi.org/10.1080/ 00343404.2018.1527026 </w:t>
      </w:r>
    </w:p>
    <w:p w14:paraId="545B23E1"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Varga, A., Szabó, N., &amp; Sebestyén, T. (2020). Economic impact modelling of smart specialization policy: Which industries should prioritization target? Papers in Regional Science, 99(5), 1367–1388. https://doi.org/10.1111/pirs.12529. [It is necessary to apply economic modelling when it comes to the impacts of S3].</w:t>
      </w:r>
    </w:p>
    <w:p w14:paraId="477C6294"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Virkkala, S, Mariussen, Å (2019) Emergence of new business areas in regional economies through entrepreneurial discovery. In: Mariussen, Å, Virkkala, S, Finne, H, Aasen, TM (eds) The Entrepreneurial Discovery Process and Regional Development. New Knowledge Emergence, Conversion and Exploitation. New York: Routledge pp. 344–375. </w:t>
      </w:r>
    </w:p>
    <w:p w14:paraId="09DE9A91"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Wesley, M Cohen and Daniel A Levinthal, 'Absorptive Capacity: A New Perspective on Learning and Innovation' [1990] 35(1) Administrative Science Quarterly 128-152 &lt;10.2307/2393553&gt; accessed 17 June 2018.</w:t>
      </w:r>
    </w:p>
    <w:p w14:paraId="3BDC5523" w14:textId="77777777" w:rsidR="00083C19" w:rsidRPr="003570D0" w:rsidRDefault="00083C19" w:rsidP="00D86705">
      <w:pPr>
        <w:pStyle w:val="Heading9"/>
        <w:rPr>
          <w:rFonts w:eastAsia="Calibri"/>
          <w:u w:color="101722"/>
          <w:lang w:eastAsia="en-US"/>
        </w:rPr>
      </w:pPr>
      <w:r w:rsidRPr="003570D0">
        <w:rPr>
          <w:rFonts w:eastAsia="Calibri"/>
          <w:u w:color="101722"/>
          <w:lang w:eastAsia="en-US"/>
        </w:rPr>
        <w:t>Wessner, C. W.  and Wolff, A. Wm. Editors; Committee on Comparative National Innovation Policies: Best Practice for the 21st Century; Board on Science, Technology, and Economic Policy; Policy and Global Affairs; National Research Council (2012). Rising to the Challenge: U.S. Innovation Policy for the Global Economy. Copyright © National Academy of Sciences. All rights reserved. Pages 310-311.</w:t>
      </w:r>
    </w:p>
    <w:p w14:paraId="5E9C231F" w14:textId="77777777" w:rsidR="00C72896" w:rsidRPr="00257CF1" w:rsidRDefault="00C72896" w:rsidP="00C72896"/>
    <w:p w14:paraId="1C5B72A4" w14:textId="7B49C548" w:rsidR="00C72896" w:rsidRPr="00257CF1" w:rsidRDefault="00C72896" w:rsidP="00C72896"/>
    <w:p w14:paraId="18EBA77F" w14:textId="77777777" w:rsidR="002B0CCB" w:rsidRPr="002B0CCB" w:rsidRDefault="002B0CCB" w:rsidP="002B0CCB"/>
    <w:bookmarkEnd w:id="1"/>
    <w:bookmarkEnd w:id="2"/>
    <w:bookmarkEnd w:id="3"/>
    <w:bookmarkEnd w:id="4"/>
    <w:bookmarkEnd w:id="5"/>
    <w:bookmarkEnd w:id="6"/>
    <w:bookmarkEnd w:id="7"/>
    <w:p w14:paraId="39793C7D" w14:textId="669A5212" w:rsidR="002B0CCB" w:rsidRPr="00302085" w:rsidRDefault="002B0CCB" w:rsidP="0083385B">
      <w:pPr>
        <w:ind w:left="0"/>
      </w:pPr>
    </w:p>
    <w:sectPr w:rsidR="002B0CCB" w:rsidRPr="00302085" w:rsidSect="00BA67D9">
      <w:headerReference w:type="default" r:id="rId139"/>
      <w:footerReference w:type="even" r:id="rId140"/>
      <w:footerReference w:type="default" r:id="rId141"/>
      <w:pgSz w:w="11900" w:h="16820"/>
      <w:pgMar w:top="1531" w:right="1134" w:bottom="1701" w:left="1531" w:header="720" w:footer="43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4E6D5" w14:textId="77777777" w:rsidR="002C196E" w:rsidRDefault="002C196E" w:rsidP="00817E9E">
      <w:r>
        <w:separator/>
      </w:r>
    </w:p>
  </w:endnote>
  <w:endnote w:type="continuationSeparator" w:id="0">
    <w:p w14:paraId="3CB22840" w14:textId="77777777" w:rsidR="002C196E" w:rsidRDefault="002C196E" w:rsidP="00817E9E">
      <w:r>
        <w:continuationSeparator/>
      </w:r>
    </w:p>
  </w:endnote>
  <w:endnote w:id="1">
    <w:p w14:paraId="2C6A4548" w14:textId="77777777" w:rsidR="00FA16C8" w:rsidRPr="005815E7" w:rsidRDefault="00FA16C8" w:rsidP="00B818DF">
      <w:pPr>
        <w:pStyle w:val="Heading6"/>
      </w:pPr>
      <w:r w:rsidRPr="005815E7">
        <w:t>ENDNOTES</w:t>
      </w:r>
    </w:p>
    <w:p w14:paraId="4384E182" w14:textId="77777777" w:rsidR="00FA16C8" w:rsidRPr="001815DF" w:rsidRDefault="00FA16C8" w:rsidP="00FA16C8">
      <w:pPr>
        <w:pStyle w:val="EndnoteText"/>
        <w:spacing w:after="0"/>
        <w:ind w:left="0" w:right="57"/>
        <w:jc w:val="left"/>
        <w:rPr>
          <w:rFonts w:cs="Tahoma"/>
          <w:szCs w:val="16"/>
          <w:lang w:val="en-GB"/>
        </w:rPr>
      </w:pPr>
    </w:p>
  </w:endnote>
  <w:endnote w:id="2">
    <w:p w14:paraId="3929EF29" w14:textId="73426671" w:rsidR="00594FE0" w:rsidRPr="001815DF" w:rsidRDefault="00594FE0" w:rsidP="00B373A7">
      <w:pPr>
        <w:pStyle w:val="EndnoteText"/>
        <w:spacing w:after="160" w:line="276" w:lineRule="auto"/>
        <w:jc w:val="left"/>
        <w:rPr>
          <w:rStyle w:val="EndnoteReference"/>
          <w:rFonts w:cs="Tahoma"/>
          <w:color w:val="000000" w:themeColor="text1"/>
          <w:szCs w:val="16"/>
          <w:vertAlign w:val="baseline"/>
          <w:lang w:val="en-GB"/>
        </w:rPr>
      </w:pPr>
      <w:r w:rsidRPr="001815DF">
        <w:rPr>
          <w:rStyle w:val="EndnoteReference"/>
          <w:rFonts w:cs="Tahoma"/>
          <w:color w:val="000000" w:themeColor="text1"/>
          <w:szCs w:val="16"/>
          <w:vertAlign w:val="baseline"/>
          <w:lang w:val="en-GB"/>
        </w:rPr>
        <w:endnoteRef/>
      </w:r>
      <w:r w:rsidRPr="001815DF">
        <w:rPr>
          <w:rStyle w:val="EndnoteReference"/>
          <w:rFonts w:cs="Tahoma"/>
          <w:color w:val="000000" w:themeColor="text1"/>
          <w:szCs w:val="16"/>
          <w:vertAlign w:val="baseline"/>
          <w:lang w:val="en-GB"/>
        </w:rPr>
        <w:t xml:space="preserve"> The OSKE programme created a network of 15 centres of expertise. The direct number of expected jobs by 2006 is 1.000 and ten project yearly will be operational, of which 3 with ERDF funding (10 % share) it corporate incubator activities and R&amp;D operation of. The centres of expertise have focused on one to a maximum of three core technologies which they were proven to be developing.</w:t>
      </w:r>
    </w:p>
  </w:endnote>
  <w:endnote w:id="3">
    <w:p w14:paraId="69C9C0FE" w14:textId="63EE86DC" w:rsidR="000D37E2" w:rsidRPr="001815DF" w:rsidRDefault="00594FE0" w:rsidP="00B373A7">
      <w:pPr>
        <w:pStyle w:val="EndnoteText"/>
        <w:spacing w:after="160" w:line="276" w:lineRule="auto"/>
        <w:jc w:val="left"/>
        <w:rPr>
          <w:rStyle w:val="EndnoteReference"/>
          <w:rFonts w:cs="Tahoma"/>
          <w:color w:val="000000" w:themeColor="text1"/>
          <w:szCs w:val="16"/>
          <w:vertAlign w:val="baseline"/>
          <w:lang w:val="en-GB"/>
        </w:rPr>
      </w:pPr>
      <w:r w:rsidRPr="001815DF">
        <w:rPr>
          <w:rStyle w:val="EndnoteReference"/>
          <w:rFonts w:cs="Tahoma"/>
          <w:color w:val="000000" w:themeColor="text1"/>
          <w:szCs w:val="16"/>
          <w:vertAlign w:val="baseline"/>
          <w:lang w:val="en-GB"/>
        </w:rPr>
        <w:endnoteRef/>
      </w:r>
      <w:r w:rsidRPr="001815DF">
        <w:rPr>
          <w:rStyle w:val="EndnoteReference"/>
          <w:rFonts w:cs="Tahoma"/>
          <w:color w:val="000000" w:themeColor="text1"/>
          <w:szCs w:val="16"/>
          <w:vertAlign w:val="baseline"/>
          <w:lang w:val="en-GB"/>
        </w:rPr>
        <w:t xml:space="preserve"> Less advanced regions face several types of lock-ins: learning effects, economies of scale, economies of scope, network externalities, informational increasing returns, technological interrelatedness, collective action, institutional learning effects and the differentiation of power.</w:t>
      </w:r>
      <w:r w:rsidR="000D37E2" w:rsidRPr="001815DF">
        <w:rPr>
          <w:rStyle w:val="EndnoteReference"/>
          <w:rFonts w:cs="Tahoma"/>
          <w:color w:val="000000" w:themeColor="text1"/>
          <w:szCs w:val="16"/>
          <w:vertAlign w:val="baseline"/>
          <w:lang w:val="en-GB"/>
        </w:rPr>
        <w:t xml:space="preserve"> </w:t>
      </w:r>
    </w:p>
  </w:endnote>
  <w:endnote w:id="4">
    <w:p w14:paraId="4369B65C" w14:textId="77777777" w:rsidR="00594FE0" w:rsidRPr="001815DF" w:rsidRDefault="00594FE0" w:rsidP="000D37E2">
      <w:pPr>
        <w:pStyle w:val="EndnoteText"/>
        <w:spacing w:after="160" w:line="276" w:lineRule="auto"/>
        <w:jc w:val="left"/>
        <w:rPr>
          <w:rStyle w:val="EndnoteReference"/>
          <w:rFonts w:cs="Tahoma"/>
          <w:color w:val="000000" w:themeColor="text1"/>
          <w:szCs w:val="16"/>
          <w:vertAlign w:val="baseline"/>
          <w:lang w:val="en-GB"/>
        </w:rPr>
      </w:pPr>
      <w:r w:rsidRPr="001815DF">
        <w:rPr>
          <w:rStyle w:val="EndnoteReference"/>
          <w:rFonts w:cs="Tahoma"/>
          <w:color w:val="000000" w:themeColor="text1"/>
          <w:szCs w:val="16"/>
          <w:vertAlign w:val="baseline"/>
          <w:lang w:val="en-GB"/>
        </w:rPr>
        <w:endnoteRef/>
      </w:r>
      <w:r w:rsidRPr="001815DF">
        <w:rPr>
          <w:rStyle w:val="EndnoteReference"/>
          <w:rFonts w:cs="Tahoma"/>
          <w:color w:val="000000" w:themeColor="text1"/>
          <w:szCs w:val="16"/>
          <w:vertAlign w:val="baseline"/>
          <w:lang w:val="en-GB"/>
        </w:rPr>
        <w:t xml:space="preserve"> OECD (2013). Interconnected economies: benefitting from global value chains. </w:t>
      </w:r>
      <w:hyperlink r:id="rId1" w:history="1">
        <w:r w:rsidRPr="001815DF">
          <w:rPr>
            <w:rStyle w:val="EndnoteReference"/>
            <w:rFonts w:cs="Tahoma"/>
            <w:color w:val="000000" w:themeColor="text1"/>
            <w:szCs w:val="16"/>
            <w:vertAlign w:val="baseline"/>
            <w:lang w:val="en-GB"/>
          </w:rPr>
          <w:t>https://www.oecd.org/mcm/C-MIN(2013)15-ENG.pdf</w:t>
        </w:r>
      </w:hyperlink>
      <w:r w:rsidRPr="001815DF">
        <w:rPr>
          <w:rStyle w:val="EndnoteReference"/>
          <w:rFonts w:cs="Tahoma"/>
          <w:color w:val="000000" w:themeColor="text1"/>
          <w:szCs w:val="16"/>
          <w:vertAlign w:val="baseline"/>
          <w:lang w:val="en-GB"/>
        </w:rPr>
        <w:t xml:space="preserve">.  </w:t>
      </w:r>
    </w:p>
    <w:p w14:paraId="4985B2B9" w14:textId="77777777" w:rsidR="00594FE0" w:rsidRPr="001815DF" w:rsidRDefault="00594FE0" w:rsidP="000D37E2">
      <w:pPr>
        <w:pStyle w:val="NormalWeb"/>
        <w:spacing w:before="0" w:beforeAutospacing="0" w:after="160" w:afterAutospacing="0" w:line="276" w:lineRule="auto"/>
        <w:jc w:val="left"/>
        <w:rPr>
          <w:rStyle w:val="EndnoteReference"/>
          <w:rFonts w:cs="Tahoma"/>
          <w:color w:val="000000" w:themeColor="text1"/>
          <w:szCs w:val="16"/>
          <w:vertAlign w:val="baseline"/>
          <w:lang w:val="en-GB"/>
        </w:rPr>
      </w:pPr>
      <w:r w:rsidRPr="001815DF">
        <w:rPr>
          <w:rStyle w:val="EndnoteReference"/>
          <w:rFonts w:cs="Tahoma"/>
          <w:color w:val="000000" w:themeColor="text1"/>
          <w:szCs w:val="16"/>
          <w:vertAlign w:val="baseline"/>
          <w:lang w:val="en-GB"/>
        </w:rPr>
        <w:t xml:space="preserve">OECD (2013). Innovation-driven Growth in Regions: The Role of Smart Specialisation. </w:t>
      </w:r>
      <w:hyperlink r:id="rId2" w:history="1">
        <w:r w:rsidRPr="001815DF">
          <w:rPr>
            <w:rStyle w:val="EndnoteReference"/>
            <w:rFonts w:cs="Tahoma"/>
            <w:color w:val="000000" w:themeColor="text1"/>
            <w:szCs w:val="16"/>
            <w:vertAlign w:val="baseline"/>
            <w:lang w:val="en-GB"/>
          </w:rPr>
          <w:t>https://www.oecd.org/sti/inno/smart-specialisation.pdf</w:t>
        </w:r>
      </w:hyperlink>
      <w:r w:rsidRPr="001815DF">
        <w:rPr>
          <w:rStyle w:val="EndnoteReference"/>
          <w:rFonts w:cs="Tahoma"/>
          <w:color w:val="000000" w:themeColor="text1"/>
          <w:szCs w:val="16"/>
          <w:vertAlign w:val="baseline"/>
          <w:lang w:val="en-GB"/>
        </w:rPr>
        <w:t xml:space="preserve">. </w:t>
      </w:r>
    </w:p>
  </w:endnote>
  <w:endnote w:id="5">
    <w:p w14:paraId="2847D41E" w14:textId="77777777" w:rsidR="00595B15" w:rsidRPr="001815DF" w:rsidRDefault="00595B15" w:rsidP="000D37E2">
      <w:pPr>
        <w:pStyle w:val="EndnoteText"/>
        <w:spacing w:after="160" w:line="276" w:lineRule="auto"/>
        <w:jc w:val="left"/>
        <w:rPr>
          <w:rStyle w:val="EndnoteReference"/>
          <w:rFonts w:cs="Tahoma"/>
          <w:color w:val="000000" w:themeColor="text1"/>
          <w:szCs w:val="16"/>
          <w:vertAlign w:val="baseline"/>
          <w:lang w:val="en-GB"/>
        </w:rPr>
      </w:pPr>
      <w:r w:rsidRPr="001815DF">
        <w:rPr>
          <w:rStyle w:val="EndnoteReference"/>
          <w:rFonts w:cs="Tahoma"/>
          <w:color w:val="000000" w:themeColor="text1"/>
          <w:szCs w:val="16"/>
          <w:vertAlign w:val="baseline"/>
          <w:lang w:val="en-GB"/>
        </w:rPr>
        <w:endnoteRef/>
      </w:r>
      <w:r w:rsidRPr="001815DF">
        <w:rPr>
          <w:rStyle w:val="EndnoteReference"/>
          <w:rFonts w:cs="Tahoma"/>
          <w:color w:val="000000" w:themeColor="text1"/>
          <w:szCs w:val="16"/>
          <w:vertAlign w:val="baseline"/>
          <w:lang w:val="en-GB"/>
        </w:rPr>
        <w:t xml:space="preserve"> Kirzner I.M. (1997). Entrepreneurial Discovery and the Competitive Market Process: An Austrian Approach. Journal of Economic Literature, </w:t>
      </w:r>
      <w:hyperlink r:id="rId3" w:history="1">
        <w:r w:rsidRPr="001815DF">
          <w:rPr>
            <w:rStyle w:val="EndnoteReference"/>
            <w:rFonts w:cs="Tahoma"/>
            <w:color w:val="000000" w:themeColor="text1"/>
            <w:szCs w:val="16"/>
            <w:vertAlign w:val="baseline"/>
            <w:lang w:val="en-GB"/>
          </w:rPr>
          <w:t>Vol. 35, No. 1 (Mar., 1997)</w:t>
        </w:r>
      </w:hyperlink>
      <w:r w:rsidRPr="001815DF">
        <w:rPr>
          <w:rStyle w:val="EndnoteReference"/>
          <w:rFonts w:cs="Tahoma"/>
          <w:color w:val="000000" w:themeColor="text1"/>
          <w:szCs w:val="16"/>
          <w:vertAlign w:val="baseline"/>
          <w:lang w:val="en-GB"/>
        </w:rPr>
        <w:t xml:space="preserve">, pp. 60-85 (26 pages) Published By: American Economic Association. </w:t>
      </w:r>
    </w:p>
  </w:endnote>
  <w:endnote w:id="6">
    <w:p w14:paraId="44B33A5D" w14:textId="77777777" w:rsidR="000D37E2" w:rsidRPr="001815DF" w:rsidRDefault="000D37E2" w:rsidP="000D37E2">
      <w:pPr>
        <w:pStyle w:val="EndnoteText"/>
        <w:spacing w:after="160" w:line="276" w:lineRule="auto"/>
        <w:jc w:val="left"/>
        <w:rPr>
          <w:rStyle w:val="EndnoteReference"/>
          <w:rFonts w:cs="Tahoma"/>
          <w:color w:val="000000" w:themeColor="text1"/>
          <w:szCs w:val="16"/>
          <w:vertAlign w:val="baseline"/>
          <w:lang w:val="en-GB"/>
        </w:rPr>
      </w:pPr>
      <w:r w:rsidRPr="001815DF">
        <w:rPr>
          <w:rStyle w:val="EndnoteReference"/>
          <w:rFonts w:cs="Tahoma"/>
          <w:color w:val="000000" w:themeColor="text1"/>
          <w:szCs w:val="16"/>
          <w:vertAlign w:val="baseline"/>
          <w:lang w:val="en-GB"/>
        </w:rPr>
        <w:endnoteRef/>
      </w:r>
      <w:r w:rsidRPr="001815DF">
        <w:rPr>
          <w:rStyle w:val="EndnoteReference"/>
          <w:rFonts w:cs="Tahoma"/>
          <w:color w:val="000000" w:themeColor="text1"/>
          <w:szCs w:val="16"/>
          <w:vertAlign w:val="baseline"/>
          <w:lang w:val="en-GB"/>
        </w:rPr>
        <w:t xml:space="preserve"> Institute of Management, Cambridge University, </w:t>
      </w:r>
      <w:hyperlink r:id="rId4" w:history="1">
        <w:r w:rsidRPr="001815DF">
          <w:rPr>
            <w:rStyle w:val="EndnoteReference"/>
            <w:rFonts w:cs="Tahoma"/>
            <w:color w:val="000000" w:themeColor="text1"/>
            <w:szCs w:val="16"/>
            <w:vertAlign w:val="baseline"/>
            <w:lang w:val="en-GB"/>
          </w:rPr>
          <w:t>https://www.ifm.eng.cam.ac.uk/research/dstools/value-chain-/</w:t>
        </w:r>
      </w:hyperlink>
      <w:r w:rsidRPr="001815DF">
        <w:rPr>
          <w:rStyle w:val="EndnoteReference"/>
          <w:rFonts w:cs="Tahoma"/>
          <w:color w:val="000000" w:themeColor="text1"/>
          <w:szCs w:val="16"/>
          <w:vertAlign w:val="baseline"/>
          <w:lang w:val="en-GB"/>
        </w:rPr>
        <w:t xml:space="preserve"> .</w:t>
      </w:r>
    </w:p>
  </w:endnote>
  <w:endnote w:id="7">
    <w:p w14:paraId="2AD2D28F" w14:textId="77777777" w:rsidR="000D37E2" w:rsidRPr="001815DF" w:rsidRDefault="000D37E2" w:rsidP="000D37E2">
      <w:pPr>
        <w:pStyle w:val="EndnoteText"/>
        <w:spacing w:after="160" w:line="276" w:lineRule="auto"/>
        <w:jc w:val="left"/>
        <w:rPr>
          <w:rStyle w:val="EndnoteReference"/>
          <w:rFonts w:cs="Tahoma"/>
          <w:color w:val="000000" w:themeColor="text1"/>
          <w:szCs w:val="16"/>
          <w:vertAlign w:val="baseline"/>
          <w:lang w:val="en-GB"/>
        </w:rPr>
      </w:pPr>
      <w:r w:rsidRPr="001815DF">
        <w:rPr>
          <w:rStyle w:val="EndnoteReference"/>
          <w:rFonts w:cs="Tahoma"/>
          <w:color w:val="000000" w:themeColor="text1"/>
          <w:szCs w:val="16"/>
          <w:vertAlign w:val="baseline"/>
          <w:lang w:val="en-GB"/>
        </w:rPr>
        <w:endnoteRef/>
      </w:r>
      <w:r w:rsidRPr="001815DF">
        <w:rPr>
          <w:rStyle w:val="EndnoteReference"/>
          <w:rFonts w:cs="Tahoma"/>
          <w:color w:val="000000" w:themeColor="text1"/>
          <w:szCs w:val="16"/>
          <w:vertAlign w:val="baseline"/>
          <w:lang w:val="en-GB"/>
        </w:rPr>
        <w:t xml:space="preserve"> Radosevic S. and Stancova K. (2015). Internationalising Smart Specialisation: Assessment and Issues in the Case of EU New Member States, Journal of the Knowledge Economy, 2015, doi: 10.1007/s13132-015-0339-3. </w:t>
      </w:r>
    </w:p>
  </w:endnote>
  <w:endnote w:id="8">
    <w:p w14:paraId="74E48A71" w14:textId="77777777" w:rsidR="000D37E2" w:rsidRPr="001815DF" w:rsidRDefault="000D37E2" w:rsidP="000D37E2">
      <w:pPr>
        <w:pStyle w:val="EndnoteText"/>
        <w:spacing w:after="160" w:line="276" w:lineRule="auto"/>
        <w:jc w:val="left"/>
        <w:rPr>
          <w:rStyle w:val="EndnoteReference"/>
          <w:rFonts w:cs="Tahoma"/>
          <w:color w:val="000000" w:themeColor="text1"/>
          <w:szCs w:val="16"/>
          <w:vertAlign w:val="baseline"/>
          <w:lang w:val="en-GB"/>
        </w:rPr>
      </w:pPr>
      <w:r w:rsidRPr="001815DF">
        <w:rPr>
          <w:rStyle w:val="EndnoteReference"/>
          <w:rFonts w:cs="Tahoma"/>
          <w:color w:val="000000" w:themeColor="text1"/>
          <w:szCs w:val="16"/>
          <w:vertAlign w:val="baseline"/>
          <w:lang w:val="en-GB"/>
        </w:rPr>
        <w:endnoteRef/>
      </w:r>
      <w:r w:rsidRPr="001815DF">
        <w:rPr>
          <w:rStyle w:val="EndnoteReference"/>
          <w:rFonts w:cs="Tahoma"/>
          <w:color w:val="000000" w:themeColor="text1"/>
          <w:szCs w:val="16"/>
          <w:vertAlign w:val="baseline"/>
          <w:lang w:val="en-GB"/>
        </w:rPr>
        <w:t xml:space="preserve"> </w:t>
      </w:r>
      <w:hyperlink r:id="rId5" w:history="1">
        <w:r w:rsidRPr="001815DF">
          <w:rPr>
            <w:rStyle w:val="EndnoteReference"/>
            <w:rFonts w:cs="Tahoma"/>
            <w:color w:val="000000" w:themeColor="text1"/>
            <w:szCs w:val="16"/>
            <w:vertAlign w:val="baseline"/>
            <w:lang w:val="en-GB"/>
          </w:rPr>
          <w:t>https://tulip.co/blog/what-is-a-push-system-vs-a-pull-system/</w:t>
        </w:r>
      </w:hyperlink>
      <w:r w:rsidRPr="001815DF">
        <w:rPr>
          <w:rStyle w:val="EndnoteReference"/>
          <w:rFonts w:cs="Tahoma"/>
          <w:color w:val="000000" w:themeColor="text1"/>
          <w:szCs w:val="16"/>
          <w:vertAlign w:val="baseline"/>
          <w:lang w:val="en-GB"/>
        </w:rPr>
        <w:t xml:space="preserve"> .</w:t>
      </w:r>
    </w:p>
  </w:endnote>
  <w:endnote w:id="9">
    <w:p w14:paraId="7EA010BA" w14:textId="77777777" w:rsidR="000D37E2" w:rsidRPr="001815DF" w:rsidRDefault="000D37E2" w:rsidP="000D37E2">
      <w:pPr>
        <w:pStyle w:val="EndnoteText"/>
        <w:spacing w:after="160" w:line="276" w:lineRule="auto"/>
        <w:jc w:val="left"/>
        <w:rPr>
          <w:rStyle w:val="EndnoteReference"/>
          <w:rFonts w:cs="Tahoma"/>
          <w:color w:val="000000" w:themeColor="text1"/>
          <w:szCs w:val="16"/>
          <w:vertAlign w:val="baseline"/>
          <w:lang w:val="en-GB"/>
        </w:rPr>
      </w:pPr>
      <w:r w:rsidRPr="001815DF">
        <w:rPr>
          <w:rStyle w:val="EndnoteReference"/>
          <w:rFonts w:cs="Tahoma"/>
          <w:color w:val="000000" w:themeColor="text1"/>
          <w:szCs w:val="16"/>
          <w:vertAlign w:val="baseline"/>
          <w:lang w:val="en-GB"/>
        </w:rPr>
        <w:endnoteRef/>
      </w:r>
      <w:r w:rsidRPr="001815DF">
        <w:rPr>
          <w:rStyle w:val="EndnoteReference"/>
          <w:rFonts w:cs="Tahoma"/>
          <w:color w:val="000000" w:themeColor="text1"/>
          <w:szCs w:val="16"/>
          <w:vertAlign w:val="baseline"/>
          <w:lang w:val="en-GB"/>
        </w:rPr>
        <w:t xml:space="preserve"> </w:t>
      </w:r>
      <w:hyperlink r:id="rId6" w:history="1">
        <w:r w:rsidRPr="001815DF">
          <w:rPr>
            <w:rStyle w:val="EndnoteReference"/>
            <w:rFonts w:cs="Tahoma"/>
            <w:color w:val="000000" w:themeColor="text1"/>
            <w:szCs w:val="16"/>
            <w:vertAlign w:val="baseline"/>
            <w:lang w:val="en-GB"/>
          </w:rPr>
          <w:t>https://www.investopedia.com/terms/c/competitive_advantage.asp</w:t>
        </w:r>
      </w:hyperlink>
      <w:r w:rsidRPr="001815DF">
        <w:rPr>
          <w:rStyle w:val="EndnoteReference"/>
          <w:rFonts w:cs="Tahoma"/>
          <w:color w:val="000000" w:themeColor="text1"/>
          <w:szCs w:val="16"/>
          <w:vertAlign w:val="baseline"/>
          <w:lang w:val="en-GB"/>
        </w:rPr>
        <w:t xml:space="preserve"> . </w:t>
      </w:r>
    </w:p>
    <w:p w14:paraId="5DAE9D30" w14:textId="77777777" w:rsidR="000D37E2" w:rsidRPr="001815DF" w:rsidRDefault="000D37E2" w:rsidP="000D37E2">
      <w:pPr>
        <w:pStyle w:val="EndnoteText"/>
        <w:spacing w:after="160" w:line="276" w:lineRule="auto"/>
        <w:jc w:val="left"/>
        <w:rPr>
          <w:rStyle w:val="EndnoteReference"/>
          <w:rFonts w:cs="Tahoma"/>
          <w:color w:val="000000" w:themeColor="text1"/>
          <w:szCs w:val="16"/>
          <w:vertAlign w:val="baseline"/>
          <w:lang w:val="en-GB"/>
        </w:rPr>
      </w:pPr>
      <w:r w:rsidRPr="001815DF">
        <w:rPr>
          <w:rStyle w:val="EndnoteReference"/>
          <w:rFonts w:cs="Tahoma"/>
          <w:color w:val="000000" w:themeColor="text1"/>
          <w:szCs w:val="16"/>
          <w:vertAlign w:val="baseline"/>
          <w:lang w:val="en-GB"/>
        </w:rPr>
        <w:t xml:space="preserve">Porter M. (1985). Competitive Advantage: Creating and Sustaining Superior Performance. Free Press 1985. Pages 7, 34 and 42. </w:t>
      </w:r>
    </w:p>
  </w:endnote>
  <w:endnote w:id="10">
    <w:p w14:paraId="0ED130C1" w14:textId="77777777" w:rsidR="000D37E2" w:rsidRPr="001815DF" w:rsidRDefault="000D37E2" w:rsidP="000D37E2">
      <w:pPr>
        <w:pStyle w:val="EndnoteText"/>
        <w:spacing w:after="160" w:line="276" w:lineRule="auto"/>
        <w:jc w:val="left"/>
        <w:rPr>
          <w:rStyle w:val="EndnoteReference"/>
          <w:rFonts w:cs="Tahoma"/>
          <w:color w:val="000000" w:themeColor="text1"/>
          <w:szCs w:val="16"/>
          <w:vertAlign w:val="baseline"/>
          <w:lang w:val="en-GB"/>
        </w:rPr>
      </w:pPr>
      <w:r w:rsidRPr="001815DF">
        <w:rPr>
          <w:rStyle w:val="EndnoteReference"/>
          <w:rFonts w:cs="Tahoma"/>
          <w:color w:val="000000" w:themeColor="text1"/>
          <w:szCs w:val="16"/>
          <w:vertAlign w:val="baseline"/>
          <w:lang w:val="en-GB"/>
        </w:rPr>
        <w:endnoteRef/>
      </w:r>
      <w:r w:rsidRPr="001815DF">
        <w:rPr>
          <w:rStyle w:val="EndnoteReference"/>
          <w:rFonts w:cs="Tahoma"/>
          <w:color w:val="000000" w:themeColor="text1"/>
          <w:szCs w:val="16"/>
          <w:vertAlign w:val="baseline"/>
          <w:lang w:val="en-GB"/>
        </w:rPr>
        <w:t xml:space="preserve"> Brennan L., Rachmatullin R. (2015). Global Value Chains and Smart Specialisation Strategy. Thematic Work on the Understanding of Global Value Chains and their Analysis within the Context of Smart Specialisation. Technical report. December 2015. EUR 27649. DOI: 10.2791/44840.  </w:t>
      </w:r>
    </w:p>
  </w:endnote>
  <w:endnote w:id="11">
    <w:p w14:paraId="0A480853" w14:textId="77777777" w:rsidR="000D37E2" w:rsidRPr="001815DF" w:rsidRDefault="000D37E2" w:rsidP="000D37E2">
      <w:pPr>
        <w:pStyle w:val="EndnoteText"/>
        <w:spacing w:after="160" w:line="276" w:lineRule="auto"/>
        <w:jc w:val="left"/>
        <w:rPr>
          <w:rStyle w:val="EndnoteReference"/>
          <w:rFonts w:cs="Tahoma"/>
          <w:color w:val="000000" w:themeColor="text1"/>
          <w:szCs w:val="16"/>
          <w:vertAlign w:val="baseline"/>
          <w:lang w:val="en-GB"/>
        </w:rPr>
      </w:pPr>
      <w:r w:rsidRPr="001815DF">
        <w:rPr>
          <w:rStyle w:val="EndnoteReference"/>
          <w:rFonts w:cs="Tahoma"/>
          <w:color w:val="000000" w:themeColor="text1"/>
          <w:szCs w:val="16"/>
          <w:vertAlign w:val="baseline"/>
          <w:lang w:val="en-GB"/>
        </w:rPr>
        <w:endnoteRef/>
      </w:r>
      <w:r w:rsidRPr="001815DF">
        <w:rPr>
          <w:rStyle w:val="EndnoteReference"/>
          <w:rFonts w:cs="Tahoma"/>
          <w:color w:val="000000" w:themeColor="text1"/>
          <w:szCs w:val="16"/>
          <w:vertAlign w:val="baseline"/>
          <w:lang w:val="en-GB"/>
        </w:rPr>
        <w:t xml:space="preserve"> EC Communication (2021). "Updating the 2020 New Industrial Strategy: Building a stronger Single Market for Europe’s recovery” 5.5.2021. </w:t>
      </w:r>
      <w:hyperlink r:id="rId7" w:history="1">
        <w:r w:rsidRPr="001815DF">
          <w:rPr>
            <w:rStyle w:val="EndnoteReference"/>
            <w:rFonts w:cs="Tahoma"/>
            <w:color w:val="000000" w:themeColor="text1"/>
            <w:szCs w:val="16"/>
            <w:vertAlign w:val="baseline"/>
            <w:lang w:val="en-GB"/>
          </w:rPr>
          <w:t>https://ec.europa.eu/info/files/communication-updating-2020-new-industrial-strategy-building-stronger-single-market-europes-recovery_en</w:t>
        </w:r>
      </w:hyperlink>
      <w:r w:rsidRPr="001815DF">
        <w:rPr>
          <w:rStyle w:val="EndnoteReference"/>
          <w:rFonts w:cs="Tahoma"/>
          <w:color w:val="000000" w:themeColor="text1"/>
          <w:szCs w:val="16"/>
          <w:vertAlign w:val="baseline"/>
          <w:lang w:val="en-GB"/>
        </w:rPr>
        <w:t xml:space="preserve">. </w:t>
      </w:r>
    </w:p>
    <w:p w14:paraId="08741213" w14:textId="77777777" w:rsidR="000D37E2" w:rsidRPr="001815DF" w:rsidRDefault="000D37E2" w:rsidP="000D37E2">
      <w:pPr>
        <w:pStyle w:val="EndnoteText"/>
        <w:spacing w:after="160" w:line="276" w:lineRule="auto"/>
        <w:jc w:val="left"/>
        <w:rPr>
          <w:rStyle w:val="EndnoteReference"/>
          <w:rFonts w:cs="Tahoma"/>
          <w:color w:val="000000" w:themeColor="text1"/>
          <w:szCs w:val="16"/>
          <w:vertAlign w:val="baseline"/>
          <w:lang w:val="en-GB"/>
        </w:rPr>
      </w:pPr>
      <w:r w:rsidRPr="001815DF">
        <w:rPr>
          <w:rStyle w:val="EndnoteReference"/>
          <w:rFonts w:cs="Tahoma"/>
          <w:color w:val="000000" w:themeColor="text1"/>
          <w:szCs w:val="16"/>
          <w:vertAlign w:val="baseline"/>
          <w:lang w:val="en-GB"/>
        </w:rPr>
        <w:t xml:space="preserve">Updating the 2020 Industrial Strategy: towards a stronger Single Market for Europe's recovery, </w:t>
      </w:r>
      <w:hyperlink r:id="rId8" w:history="1">
        <w:r w:rsidRPr="001815DF">
          <w:rPr>
            <w:rStyle w:val="EndnoteReference"/>
            <w:rFonts w:cs="Tahoma"/>
            <w:color w:val="000000" w:themeColor="text1"/>
            <w:szCs w:val="16"/>
            <w:vertAlign w:val="baseline"/>
            <w:lang w:val="en-GB"/>
          </w:rPr>
          <w:t>https://ec.europa.eu/commission/presscorner/detail/en/ip_21_1884</w:t>
        </w:r>
      </w:hyperlink>
      <w:r w:rsidRPr="001815DF">
        <w:rPr>
          <w:rStyle w:val="EndnoteReference"/>
          <w:rFonts w:cs="Tahoma"/>
          <w:color w:val="000000" w:themeColor="text1"/>
          <w:szCs w:val="16"/>
          <w:vertAlign w:val="baseline"/>
          <w:lang w:val="en-GB"/>
        </w:rPr>
        <w:t xml:space="preserve"> . </w:t>
      </w:r>
    </w:p>
  </w:endnote>
  <w:endnote w:id="12">
    <w:p w14:paraId="67E62609" w14:textId="77777777" w:rsidR="000D37E2" w:rsidRPr="001815DF" w:rsidRDefault="000D37E2" w:rsidP="000D37E2">
      <w:pPr>
        <w:pStyle w:val="EndnoteText"/>
        <w:spacing w:after="160" w:line="276" w:lineRule="auto"/>
        <w:jc w:val="left"/>
        <w:rPr>
          <w:rStyle w:val="EndnoteReference"/>
          <w:rFonts w:cs="Tahoma"/>
          <w:color w:val="000000" w:themeColor="text1"/>
          <w:szCs w:val="16"/>
          <w:vertAlign w:val="baseline"/>
          <w:lang w:val="en-GB"/>
        </w:rPr>
      </w:pPr>
      <w:r w:rsidRPr="001815DF">
        <w:rPr>
          <w:rStyle w:val="EndnoteReference"/>
          <w:rFonts w:cs="Tahoma"/>
          <w:color w:val="000000" w:themeColor="text1"/>
          <w:szCs w:val="16"/>
          <w:vertAlign w:val="baseline"/>
          <w:lang w:val="en-GB"/>
        </w:rPr>
        <w:endnoteRef/>
      </w:r>
      <w:r w:rsidRPr="001815DF">
        <w:rPr>
          <w:rStyle w:val="EndnoteReference"/>
          <w:rFonts w:cs="Tahoma"/>
          <w:color w:val="000000" w:themeColor="text1"/>
          <w:szCs w:val="16"/>
          <w:vertAlign w:val="baseline"/>
          <w:lang w:val="en-GB"/>
        </w:rPr>
        <w:t xml:space="preserve"> EUROPEAN PARLIAMENT (2021). Post Covid-19 value chains: options for reshoring production back to Europe in a globalised economy. 19-02-2021. Policy Department for External Relations Directorate General for External Policies of the Union PE 653.626 – March 2021. </w:t>
      </w:r>
      <w:hyperlink r:id="rId9" w:history="1">
        <w:r w:rsidRPr="001815DF">
          <w:rPr>
            <w:rStyle w:val="EndnoteReference"/>
            <w:rFonts w:cs="Tahoma"/>
            <w:color w:val="000000" w:themeColor="text1"/>
            <w:szCs w:val="16"/>
            <w:vertAlign w:val="baseline"/>
            <w:lang w:val="en-GB"/>
          </w:rPr>
          <w:t>https://www.europarl.europa.eu/RegData/etudes/STUD/2021/653626/EXPO_STU(2021)653626_EN.pdf</w:t>
        </w:r>
      </w:hyperlink>
      <w:r w:rsidRPr="001815DF">
        <w:rPr>
          <w:rStyle w:val="EndnoteReference"/>
          <w:rFonts w:cs="Tahoma"/>
          <w:color w:val="000000" w:themeColor="text1"/>
          <w:szCs w:val="16"/>
          <w:vertAlign w:val="baseline"/>
          <w:lang w:val="en-GB"/>
        </w:rPr>
        <w:t xml:space="preserve"> . </w:t>
      </w:r>
    </w:p>
  </w:endnote>
  <w:endnote w:id="13">
    <w:p w14:paraId="034E1DE3" w14:textId="77777777" w:rsidR="000D37E2" w:rsidRPr="001815DF" w:rsidRDefault="000D37E2" w:rsidP="000D37E2">
      <w:pPr>
        <w:pStyle w:val="EndnoteText"/>
        <w:spacing w:after="160" w:line="276" w:lineRule="auto"/>
        <w:jc w:val="left"/>
        <w:rPr>
          <w:rStyle w:val="EndnoteReference"/>
          <w:rFonts w:cs="Tahoma"/>
          <w:color w:val="000000" w:themeColor="text1"/>
          <w:szCs w:val="16"/>
          <w:vertAlign w:val="baseline"/>
          <w:lang w:val="en-GB"/>
        </w:rPr>
      </w:pPr>
      <w:r w:rsidRPr="001815DF">
        <w:rPr>
          <w:rStyle w:val="EndnoteReference"/>
          <w:rFonts w:cs="Tahoma"/>
          <w:color w:val="000000" w:themeColor="text1"/>
          <w:szCs w:val="16"/>
          <w:vertAlign w:val="baseline"/>
          <w:lang w:val="en-GB"/>
        </w:rPr>
        <w:endnoteRef/>
      </w:r>
      <w:r w:rsidRPr="001815DF">
        <w:rPr>
          <w:rStyle w:val="EndnoteReference"/>
          <w:rFonts w:cs="Tahoma"/>
          <w:color w:val="000000" w:themeColor="text1"/>
          <w:szCs w:val="16"/>
          <w:vertAlign w:val="baseline"/>
          <w:lang w:val="en-GB"/>
        </w:rPr>
        <w:t xml:space="preserve"> Markku Sotarauta (2018). Smart specialization and place leadership: Dreaming about shared visions, falling into policy traps? Regional Studies, Regional Science 5(1):190-203. January 2018. DOI: </w:t>
      </w:r>
      <w:hyperlink r:id="rId10" w:tgtFrame="_blank" w:history="1">
        <w:r w:rsidRPr="001815DF">
          <w:rPr>
            <w:rStyle w:val="EndnoteReference"/>
            <w:rFonts w:cs="Tahoma"/>
            <w:color w:val="000000" w:themeColor="text1"/>
            <w:szCs w:val="16"/>
            <w:vertAlign w:val="baseline"/>
            <w:lang w:val="en-GB"/>
          </w:rPr>
          <w:t>10.1080/21681376.2018.1480902</w:t>
        </w:r>
      </w:hyperlink>
      <w:r w:rsidRPr="001815DF">
        <w:rPr>
          <w:rStyle w:val="EndnoteReference"/>
          <w:rFonts w:cs="Tahoma"/>
          <w:color w:val="000000" w:themeColor="text1"/>
          <w:szCs w:val="16"/>
          <w:vertAlign w:val="baseline"/>
          <w:lang w:val="en-GB"/>
        </w:rPr>
        <w:t>. Project: </w:t>
      </w:r>
      <w:hyperlink r:id="rId11" w:history="1">
        <w:r w:rsidRPr="001815DF">
          <w:rPr>
            <w:rStyle w:val="EndnoteReference"/>
            <w:rFonts w:cs="Tahoma"/>
            <w:color w:val="000000" w:themeColor="text1"/>
            <w:szCs w:val="16"/>
            <w:vertAlign w:val="baseline"/>
            <w:lang w:val="en-GB"/>
          </w:rPr>
          <w:t>Regional Growth Against All Odds</w:t>
        </w:r>
      </w:hyperlink>
      <w:r w:rsidRPr="001815DF">
        <w:rPr>
          <w:rStyle w:val="EndnoteReference"/>
          <w:rFonts w:cs="Tahoma"/>
          <w:color w:val="000000" w:themeColor="text1"/>
          <w:szCs w:val="16"/>
          <w:vertAlign w:val="baseline"/>
          <w:lang w:val="en-GB"/>
        </w:rPr>
        <w:t xml:space="preserve">. </w:t>
      </w:r>
    </w:p>
  </w:endnote>
  <w:endnote w:id="14">
    <w:p w14:paraId="66DD2F2E" w14:textId="77777777" w:rsidR="000D37E2" w:rsidRPr="001815DF" w:rsidRDefault="000D37E2" w:rsidP="000D37E2">
      <w:pPr>
        <w:pStyle w:val="EndnoteText"/>
        <w:spacing w:after="160" w:line="276" w:lineRule="auto"/>
        <w:jc w:val="left"/>
        <w:rPr>
          <w:rStyle w:val="EndnoteReference"/>
          <w:rFonts w:cs="Tahoma"/>
          <w:color w:val="000000" w:themeColor="text1"/>
          <w:szCs w:val="16"/>
          <w:vertAlign w:val="baseline"/>
          <w:lang w:val="en-GB"/>
        </w:rPr>
      </w:pPr>
      <w:r w:rsidRPr="001815DF">
        <w:rPr>
          <w:rStyle w:val="EndnoteReference"/>
          <w:rFonts w:cs="Tahoma"/>
          <w:color w:val="000000" w:themeColor="text1"/>
          <w:szCs w:val="16"/>
          <w:vertAlign w:val="baseline"/>
          <w:lang w:val="en-GB"/>
        </w:rPr>
        <w:endnoteRef/>
      </w:r>
      <w:r w:rsidRPr="001815DF">
        <w:rPr>
          <w:rStyle w:val="EndnoteReference"/>
          <w:rFonts w:cs="Tahoma"/>
          <w:color w:val="000000" w:themeColor="text1"/>
          <w:szCs w:val="16"/>
          <w:vertAlign w:val="baseline"/>
          <w:lang w:val="en-GB"/>
        </w:rPr>
        <w:t xml:space="preserve">   Gupta N. (2015). Estimating Linkages of Indian Manufacturing Industries into Global Value Chains using International Input-Output Table. Review of Development and Change. 2015;20(2):177-202. doi:10.1177/0972266120150209. </w:t>
      </w:r>
    </w:p>
  </w:endnote>
  <w:endnote w:id="15">
    <w:p w14:paraId="4E67EDE0" w14:textId="77777777" w:rsidR="000D37E2" w:rsidRPr="001815DF" w:rsidRDefault="000D37E2" w:rsidP="000D37E2">
      <w:pPr>
        <w:pStyle w:val="EndnoteText"/>
        <w:spacing w:after="160" w:line="276" w:lineRule="auto"/>
        <w:jc w:val="left"/>
        <w:rPr>
          <w:rStyle w:val="EndnoteReference"/>
          <w:rFonts w:cs="Tahoma"/>
          <w:color w:val="000000" w:themeColor="text1"/>
          <w:szCs w:val="16"/>
          <w:vertAlign w:val="baseline"/>
          <w:lang w:val="en-GB"/>
        </w:rPr>
      </w:pPr>
      <w:r w:rsidRPr="001815DF">
        <w:rPr>
          <w:rStyle w:val="EndnoteReference"/>
          <w:rFonts w:cs="Tahoma"/>
          <w:color w:val="000000" w:themeColor="text1"/>
          <w:szCs w:val="16"/>
          <w:vertAlign w:val="baseline"/>
          <w:lang w:val="en-GB"/>
        </w:rPr>
        <w:endnoteRef/>
      </w:r>
      <w:r w:rsidRPr="001815DF">
        <w:rPr>
          <w:rStyle w:val="EndnoteReference"/>
          <w:rFonts w:cs="Tahoma"/>
          <w:color w:val="000000" w:themeColor="text1"/>
          <w:szCs w:val="16"/>
          <w:vertAlign w:val="baseline"/>
          <w:lang w:val="en-GB"/>
        </w:rPr>
        <w:t xml:space="preserve"> European Commission (2020). Updating the 2020 new industrial strategy. Building a stronger single market for Europe’s recovery. COM2021 (350) final. </w:t>
      </w:r>
      <w:hyperlink r:id="rId12" w:history="1">
        <w:r w:rsidRPr="001815DF">
          <w:rPr>
            <w:rStyle w:val="EndnoteReference"/>
            <w:rFonts w:cs="Tahoma"/>
            <w:color w:val="000000" w:themeColor="text1"/>
            <w:szCs w:val="16"/>
            <w:vertAlign w:val="baseline"/>
            <w:lang w:val="en-GB"/>
          </w:rPr>
          <w:t>https://ec.europa.eu/info/sites/default/files/communication-industrial-strategy-update-2020_en.pdf</w:t>
        </w:r>
      </w:hyperlink>
      <w:r w:rsidRPr="001815DF">
        <w:rPr>
          <w:rStyle w:val="EndnoteReference"/>
          <w:rFonts w:cs="Tahoma"/>
          <w:color w:val="000000" w:themeColor="text1"/>
          <w:szCs w:val="16"/>
          <w:vertAlign w:val="baseline"/>
          <w:lang w:val="en-GB"/>
        </w:rPr>
        <w:t xml:space="preserve">. Updating the 2020 new industrial strategy. Building a stronger single market for Europe’s recovery. COM2021 (350) final. </w:t>
      </w:r>
    </w:p>
  </w:endnote>
  <w:endnote w:id="16">
    <w:p w14:paraId="041D8604" w14:textId="77777777" w:rsidR="000D37E2" w:rsidRPr="001815DF" w:rsidRDefault="000D37E2" w:rsidP="000D37E2">
      <w:pPr>
        <w:pStyle w:val="EndnoteText"/>
        <w:spacing w:after="160" w:line="276" w:lineRule="auto"/>
        <w:jc w:val="left"/>
        <w:rPr>
          <w:rStyle w:val="EndnoteReference"/>
          <w:rFonts w:cs="Tahoma"/>
          <w:color w:val="000000" w:themeColor="text1"/>
          <w:szCs w:val="16"/>
          <w:vertAlign w:val="baseline"/>
          <w:lang w:val="en-GB"/>
        </w:rPr>
      </w:pPr>
      <w:r w:rsidRPr="001815DF">
        <w:rPr>
          <w:rStyle w:val="EndnoteReference"/>
          <w:rFonts w:cs="Tahoma"/>
          <w:color w:val="000000" w:themeColor="text1"/>
          <w:szCs w:val="16"/>
          <w:vertAlign w:val="baseline"/>
          <w:lang w:val="en-GB"/>
        </w:rPr>
        <w:endnoteRef/>
      </w:r>
      <w:r w:rsidRPr="001815DF">
        <w:rPr>
          <w:rStyle w:val="EndnoteReference"/>
          <w:rFonts w:cs="Tahoma"/>
          <w:color w:val="000000" w:themeColor="text1"/>
          <w:szCs w:val="16"/>
          <w:vertAlign w:val="baseline"/>
          <w:lang w:val="en-GB"/>
        </w:rPr>
        <w:t xml:space="preserve"> </w:t>
      </w:r>
      <w:hyperlink r:id="rId13" w:history="1">
        <w:r w:rsidRPr="001815DF">
          <w:rPr>
            <w:rStyle w:val="EndnoteReference"/>
            <w:rFonts w:cs="Tahoma"/>
            <w:color w:val="000000" w:themeColor="text1"/>
            <w:szCs w:val="16"/>
            <w:vertAlign w:val="baseline"/>
            <w:lang w:val="en-GB"/>
          </w:rPr>
          <w:t>https://ec.europa.eu/economy_finance/publications/economic_paper/2013/pdf/ecp484_en.pdf</w:t>
        </w:r>
      </w:hyperlink>
      <w:r w:rsidRPr="001815DF">
        <w:rPr>
          <w:rStyle w:val="EndnoteReference"/>
          <w:rFonts w:cs="Tahoma"/>
          <w:color w:val="000000" w:themeColor="text1"/>
          <w:szCs w:val="16"/>
          <w:vertAlign w:val="baseline"/>
          <w:lang w:val="en-GB"/>
        </w:rPr>
        <w:t xml:space="preserve"> </w:t>
      </w:r>
    </w:p>
    <w:p w14:paraId="7BAB008C" w14:textId="77777777" w:rsidR="000D37E2" w:rsidRPr="001815DF" w:rsidRDefault="002C196E" w:rsidP="000D37E2">
      <w:pPr>
        <w:pStyle w:val="EndnoteText"/>
        <w:spacing w:after="160" w:line="276" w:lineRule="auto"/>
        <w:jc w:val="left"/>
        <w:rPr>
          <w:rStyle w:val="EndnoteReference"/>
          <w:rFonts w:cs="Tahoma"/>
          <w:color w:val="000000" w:themeColor="text1"/>
          <w:szCs w:val="16"/>
          <w:vertAlign w:val="baseline"/>
          <w:lang w:val="en-GB"/>
        </w:rPr>
      </w:pPr>
      <w:hyperlink r:id="rId14" w:anchor="page=354" w:history="1">
        <w:r w:rsidR="000D37E2" w:rsidRPr="001815DF">
          <w:rPr>
            <w:rStyle w:val="EndnoteReference"/>
            <w:rFonts w:cs="Tahoma"/>
            <w:color w:val="000000" w:themeColor="text1"/>
            <w:szCs w:val="16"/>
            <w:vertAlign w:val="baseline"/>
            <w:lang w:val="en-GB"/>
          </w:rPr>
          <w:t>https://citeseerx.ist.psu.edu/viewdoc/download?doi=10.1.1.643.5440&amp;rep=rep1&amp;type=pdf#page=354</w:t>
        </w:r>
      </w:hyperlink>
      <w:r w:rsidR="000D37E2" w:rsidRPr="001815DF">
        <w:rPr>
          <w:rStyle w:val="EndnoteReference"/>
          <w:rFonts w:cs="Tahoma"/>
          <w:color w:val="000000" w:themeColor="text1"/>
          <w:szCs w:val="16"/>
          <w:vertAlign w:val="baseline"/>
          <w:lang w:val="en-GB"/>
        </w:rPr>
        <w:t xml:space="preserve"> </w:t>
      </w:r>
    </w:p>
  </w:endnote>
  <w:endnote w:id="17">
    <w:p w14:paraId="6A40E46E" w14:textId="77777777" w:rsidR="000D37E2" w:rsidRPr="001815DF" w:rsidRDefault="000D37E2" w:rsidP="000D37E2">
      <w:pPr>
        <w:pStyle w:val="EndnoteText"/>
        <w:spacing w:after="160" w:line="276" w:lineRule="auto"/>
        <w:jc w:val="left"/>
        <w:rPr>
          <w:rStyle w:val="EndnoteReference"/>
          <w:rFonts w:cs="Tahoma"/>
          <w:color w:val="000000" w:themeColor="text1"/>
          <w:szCs w:val="16"/>
          <w:vertAlign w:val="baseline"/>
          <w:lang w:val="en-GB"/>
        </w:rPr>
      </w:pPr>
      <w:r w:rsidRPr="001815DF">
        <w:rPr>
          <w:rStyle w:val="EndnoteReference"/>
          <w:rFonts w:cs="Tahoma"/>
          <w:color w:val="000000" w:themeColor="text1"/>
          <w:szCs w:val="16"/>
          <w:vertAlign w:val="baseline"/>
          <w:lang w:val="en-GB"/>
        </w:rPr>
        <w:endnoteRef/>
      </w:r>
      <w:r w:rsidRPr="001815DF">
        <w:rPr>
          <w:rStyle w:val="EndnoteReference"/>
          <w:rFonts w:cs="Tahoma"/>
          <w:color w:val="000000" w:themeColor="text1"/>
          <w:szCs w:val="16"/>
          <w:vertAlign w:val="baseline"/>
          <w:lang w:val="en-GB"/>
        </w:rPr>
        <w:t xml:space="preserve"> Larosse J. (2016). Operationalisation of a value-chain approach through interregional cooperation in thematic smart specialisation platforms. </w:t>
      </w:r>
      <w:r w:rsidRPr="001815DF">
        <w:rPr>
          <w:rStyle w:val="EndnoteReference"/>
          <w:rFonts w:cs="Tahoma"/>
          <w:color w:val="000000" w:themeColor="text1"/>
          <w:szCs w:val="16"/>
        </w:rPr>
        <w:t>Macro</w:t>
      </w:r>
      <w:r w:rsidRPr="001815DF">
        <w:rPr>
          <w:rStyle w:val="EndnoteReference"/>
          <w:rFonts w:cs="Tahoma"/>
          <w:color w:val="000000" w:themeColor="text1"/>
          <w:szCs w:val="16"/>
          <w:vertAlign w:val="baseline"/>
          <w:lang w:val="en-GB"/>
        </w:rPr>
        <w:t xml:space="preserve">-Regional Innovation Week. 27 September 2016. Smart Specialisation unlocking the potential of regional innovation. Session: S3 and Value Chains. </w:t>
      </w:r>
    </w:p>
  </w:endnote>
  <w:endnote w:id="18">
    <w:p w14:paraId="56884D9D" w14:textId="77777777" w:rsidR="000D37E2" w:rsidRPr="001815DF" w:rsidRDefault="000D37E2" w:rsidP="000D37E2">
      <w:pPr>
        <w:pStyle w:val="EndnoteText"/>
        <w:spacing w:after="160" w:line="276" w:lineRule="auto"/>
        <w:jc w:val="left"/>
        <w:rPr>
          <w:rStyle w:val="EndnoteReference"/>
          <w:rFonts w:cs="Tahoma"/>
          <w:color w:val="000000" w:themeColor="text1"/>
          <w:szCs w:val="16"/>
          <w:vertAlign w:val="baseline"/>
          <w:lang w:val="en-GB"/>
        </w:rPr>
      </w:pPr>
      <w:r w:rsidRPr="001815DF">
        <w:rPr>
          <w:rStyle w:val="EndnoteReference"/>
          <w:rFonts w:cs="Tahoma"/>
          <w:color w:val="000000" w:themeColor="text1"/>
          <w:szCs w:val="16"/>
          <w:vertAlign w:val="baseline"/>
          <w:lang w:val="en-GB"/>
        </w:rPr>
        <w:endnoteRef/>
      </w:r>
      <w:r w:rsidRPr="001815DF">
        <w:rPr>
          <w:rStyle w:val="EndnoteReference"/>
          <w:rFonts w:cs="Tahoma"/>
          <w:color w:val="000000" w:themeColor="text1"/>
          <w:szCs w:val="16"/>
          <w:vertAlign w:val="baseline"/>
          <w:lang w:val="en-GB"/>
        </w:rPr>
        <w:t xml:space="preserve"> Dominique Foray, Kevin Morgan and Slavo Radosevic (2021).THE ROLE OF SMART SPECIALISATION IN THE EU RESEARCH AND INNOVATION POLICY LANDSCAPE. </w:t>
      </w:r>
      <w:hyperlink r:id="rId15" w:history="1">
        <w:r w:rsidRPr="001815DF">
          <w:rPr>
            <w:rStyle w:val="EndnoteReference"/>
            <w:rFonts w:cs="Tahoma"/>
            <w:color w:val="000000" w:themeColor="text1"/>
            <w:szCs w:val="16"/>
            <w:vertAlign w:val="baseline"/>
            <w:lang w:val="en-GB"/>
          </w:rPr>
          <w:t>https://ec.europa.eu/regional_policy/sources/docgener/brochure/smart/role_smartspecialisation_ri.pdf</w:t>
        </w:r>
      </w:hyperlink>
      <w:r w:rsidRPr="001815DF">
        <w:rPr>
          <w:rStyle w:val="EndnoteReference"/>
          <w:rFonts w:cs="Tahoma"/>
          <w:color w:val="000000" w:themeColor="text1"/>
          <w:szCs w:val="16"/>
          <w:vertAlign w:val="baseline"/>
          <w:lang w:val="en-GB"/>
        </w:rPr>
        <w:t xml:space="preserve"> </w:t>
      </w:r>
    </w:p>
  </w:endnote>
  <w:endnote w:id="19">
    <w:p w14:paraId="5114E0B5" w14:textId="5799AA9E" w:rsidR="00C2704D" w:rsidRPr="001815DF" w:rsidRDefault="00C2704D" w:rsidP="00CB16B4">
      <w:pPr>
        <w:pStyle w:val="NormalWeb"/>
        <w:spacing w:before="0" w:beforeAutospacing="0" w:after="160" w:afterAutospacing="0" w:line="276" w:lineRule="auto"/>
        <w:rPr>
          <w:rFonts w:cs="Tahoma"/>
          <w:sz w:val="16"/>
          <w:szCs w:val="16"/>
          <w:lang w:val="fi-FI"/>
        </w:rPr>
      </w:pPr>
      <w:r w:rsidRPr="001815DF">
        <w:rPr>
          <w:rStyle w:val="EndnoteReference"/>
          <w:rFonts w:cs="Tahoma"/>
          <w:color w:val="000000" w:themeColor="text1"/>
          <w:szCs w:val="16"/>
        </w:rPr>
        <w:endnoteRef/>
      </w:r>
      <w:r w:rsidRPr="001815DF">
        <w:rPr>
          <w:rFonts w:cs="Tahoma"/>
          <w:sz w:val="16"/>
          <w:szCs w:val="16"/>
        </w:rPr>
        <w:t xml:space="preserve"> </w:t>
      </w:r>
      <w:r w:rsidR="00CB16B4" w:rsidRPr="001815DF">
        <w:rPr>
          <w:rFonts w:cs="Tahoma"/>
          <w:sz w:val="16"/>
          <w:szCs w:val="16"/>
        </w:rPr>
        <w:t xml:space="preserve">EUROPEAN SOURCES ONLINE: </w:t>
      </w:r>
      <w:r w:rsidR="00CB16B4" w:rsidRPr="001815DF">
        <w:rPr>
          <w:rStyle w:val="EndnoteTextChar"/>
          <w:rFonts w:cs="Tahoma"/>
          <w:szCs w:val="16"/>
          <w:lang w:val="en-GB"/>
        </w:rPr>
        <w:t>The European Commission was tasked by the </w:t>
      </w:r>
      <w:hyperlink r:id="rId16" w:history="1">
        <w:r w:rsidR="00CB16B4" w:rsidRPr="001815DF">
          <w:rPr>
            <w:rStyle w:val="EndnoteTextChar"/>
            <w:rFonts w:cs="Tahoma"/>
            <w:szCs w:val="16"/>
            <w:lang w:val="en-GB"/>
          </w:rPr>
          <w:t>European Council in March 2020</w:t>
        </w:r>
      </w:hyperlink>
      <w:r w:rsidR="00CB16B4" w:rsidRPr="001815DF">
        <w:rPr>
          <w:rStyle w:val="EndnoteTextChar"/>
          <w:rFonts w:cs="Tahoma"/>
          <w:szCs w:val="16"/>
          <w:lang w:val="en-GB"/>
        </w:rPr>
        <w:t> to set out a strategy for the longer-term socioeconomic recovery across the EU following the emergency caused by the virus outbreak. The mandate was further </w:t>
      </w:r>
      <w:hyperlink r:id="rId17" w:history="1">
        <w:r w:rsidR="00CB16B4" w:rsidRPr="001815DF">
          <w:rPr>
            <w:rStyle w:val="EndnoteTextChar"/>
            <w:rFonts w:cs="Tahoma"/>
            <w:szCs w:val="16"/>
            <w:lang w:val="en-GB"/>
          </w:rPr>
          <w:t>confirmed in April by EU leaders</w:t>
        </w:r>
      </w:hyperlink>
      <w:r w:rsidR="00CB16B4" w:rsidRPr="001815DF">
        <w:rPr>
          <w:rStyle w:val="EndnoteTextChar"/>
          <w:rFonts w:cs="Tahoma"/>
          <w:szCs w:val="16"/>
          <w:lang w:val="en-GB"/>
        </w:rPr>
        <w:t>. While the virus affected all Member States, the impact and the potential for recovery looks very different. While every Member State was able to support its workers and companies as much as possible, not all could do this to the same extent. This has created the risk of an</w:t>
      </w:r>
      <w:r w:rsidR="00CB16B4" w:rsidRPr="001815DF">
        <w:rPr>
          <w:rStyle w:val="EndnoteTextChar"/>
          <w:rFonts w:cs="Tahoma"/>
          <w:szCs w:val="16"/>
        </w:rPr>
        <w:t xml:space="preserve"> imbalanced recovery, an uneven playing field and widening disparities across the EU. It has also showed the need and value of an EU-wide response. </w:t>
      </w:r>
      <w:r w:rsidR="00CB16B4" w:rsidRPr="001815DF">
        <w:rPr>
          <w:rFonts w:cs="Tahoma"/>
          <w:sz w:val="16"/>
          <w:szCs w:val="16"/>
        </w:rPr>
        <w:t>The recovery plan includes an increase of the ceilings under the Multiannual Financial Framework (MFF) 2014-2020, a</w:t>
      </w:r>
      <w:r w:rsidR="00CB16B4" w:rsidRPr="001815DF">
        <w:rPr>
          <w:rStyle w:val="apple-converted-space"/>
          <w:rFonts w:eastAsia="HGPMinchoE" w:cs="Tahoma"/>
          <w:sz w:val="16"/>
          <w:szCs w:val="16"/>
        </w:rPr>
        <w:t> </w:t>
      </w:r>
      <w:hyperlink r:id="rId18" w:history="1">
        <w:r w:rsidR="00CB16B4" w:rsidRPr="001815DF">
          <w:rPr>
            <w:rStyle w:val="Hyperlink"/>
            <w:rFonts w:eastAsiaTheme="majorEastAsia" w:cs="Tahoma"/>
            <w:color w:val="000000" w:themeColor="text1"/>
            <w:szCs w:val="16"/>
          </w:rPr>
          <w:t>proposal for a new recovery instrument called Next Generation EU</w:t>
        </w:r>
      </w:hyperlink>
      <w:r w:rsidR="00CB16B4" w:rsidRPr="001815DF">
        <w:rPr>
          <w:rFonts w:cs="Tahoma"/>
          <w:sz w:val="16"/>
          <w:szCs w:val="16"/>
        </w:rPr>
        <w:t>, embedded within</w:t>
      </w:r>
      <w:r w:rsidR="00CB16B4" w:rsidRPr="001815DF">
        <w:rPr>
          <w:rStyle w:val="apple-converted-space"/>
          <w:rFonts w:eastAsia="HGPMinchoE" w:cs="Tahoma"/>
          <w:sz w:val="16"/>
          <w:szCs w:val="16"/>
        </w:rPr>
        <w:t> </w:t>
      </w:r>
      <w:hyperlink r:id="rId19" w:history="1">
        <w:r w:rsidR="00CB16B4" w:rsidRPr="001815DF">
          <w:rPr>
            <w:rStyle w:val="Hyperlink"/>
            <w:rFonts w:eastAsiaTheme="majorEastAsia" w:cs="Tahoma"/>
            <w:color w:val="000000" w:themeColor="text1"/>
            <w:szCs w:val="16"/>
          </w:rPr>
          <w:t>revamped proposals for the Multiannual Financial Framework (MFF) 2021-2027</w:t>
        </w:r>
      </w:hyperlink>
      <w:r w:rsidR="00CB16B4" w:rsidRPr="001815DF">
        <w:rPr>
          <w:rFonts w:cs="Tahoma"/>
          <w:sz w:val="16"/>
          <w:szCs w:val="16"/>
        </w:rPr>
        <w:t>. The European Commission also unveiled an</w:t>
      </w:r>
      <w:r w:rsidR="00CB16B4" w:rsidRPr="001815DF">
        <w:rPr>
          <w:rStyle w:val="apple-converted-space"/>
          <w:rFonts w:eastAsia="HGPMinchoE" w:cs="Tahoma"/>
          <w:sz w:val="16"/>
          <w:szCs w:val="16"/>
        </w:rPr>
        <w:t> </w:t>
      </w:r>
      <w:hyperlink r:id="rId20" w:history="1">
        <w:r w:rsidR="00CB16B4" w:rsidRPr="001815DF">
          <w:rPr>
            <w:rStyle w:val="Hyperlink"/>
            <w:rFonts w:eastAsiaTheme="majorEastAsia" w:cs="Tahoma"/>
            <w:color w:val="000000" w:themeColor="text1"/>
            <w:szCs w:val="16"/>
          </w:rPr>
          <w:t>adjusted Work Programme for 2020</w:t>
        </w:r>
      </w:hyperlink>
      <w:r w:rsidR="00CB16B4" w:rsidRPr="001815DF">
        <w:rPr>
          <w:rFonts w:cs="Tahoma"/>
          <w:sz w:val="16"/>
          <w:szCs w:val="16"/>
        </w:rPr>
        <w:t xml:space="preserve">. https://www.europeansources.info/record/europes-moment-repair-and-prepare-for-the-next-generation/ . </w:t>
      </w:r>
    </w:p>
  </w:endnote>
  <w:endnote w:id="20">
    <w:p w14:paraId="0EBAFCDB" w14:textId="77777777" w:rsidR="00083C19" w:rsidRPr="001815DF" w:rsidRDefault="00083C19" w:rsidP="00CB16B4">
      <w:pPr>
        <w:pStyle w:val="EndnoteText"/>
        <w:spacing w:after="160" w:line="276" w:lineRule="auto"/>
        <w:jc w:val="left"/>
        <w:rPr>
          <w:rStyle w:val="EndnoteReference"/>
          <w:rFonts w:cs="Tahoma"/>
          <w:color w:val="000000" w:themeColor="text1"/>
          <w:szCs w:val="16"/>
          <w:vertAlign w:val="baseline"/>
          <w:lang w:val="en-GB"/>
        </w:rPr>
      </w:pPr>
      <w:r w:rsidRPr="001815DF">
        <w:rPr>
          <w:rStyle w:val="EndnoteReference"/>
          <w:rFonts w:cs="Tahoma"/>
          <w:color w:val="000000" w:themeColor="text1"/>
          <w:szCs w:val="16"/>
          <w:vertAlign w:val="baseline"/>
          <w:lang w:val="en-GB"/>
        </w:rPr>
        <w:endnoteRef/>
      </w:r>
      <w:r w:rsidRPr="001815DF">
        <w:rPr>
          <w:rStyle w:val="EndnoteReference"/>
          <w:rFonts w:cs="Tahoma"/>
          <w:color w:val="000000" w:themeColor="text1"/>
          <w:szCs w:val="16"/>
          <w:vertAlign w:val="baseline"/>
          <w:lang w:val="en-GB"/>
        </w:rPr>
        <w:t xml:space="preserve"> The OSKE programme created a network of 15 centres of expertise. The direct number of expected jobs by 2006 is 1.000 and ten project yearly will be operational, of which 3 with ERDF funding (10 % share) it corporate incubator activities and R&amp;D operation of. The centres of expertise have focused on one to a maximum of three core technologies which they are developing.</w:t>
      </w:r>
    </w:p>
  </w:endnote>
  <w:endnote w:id="21">
    <w:p w14:paraId="36830891" w14:textId="77777777" w:rsidR="00083C19" w:rsidRPr="001815DF" w:rsidRDefault="00083C19" w:rsidP="005815E7">
      <w:pPr>
        <w:pStyle w:val="EndnoteText"/>
        <w:spacing w:after="160" w:line="276" w:lineRule="auto"/>
        <w:jc w:val="left"/>
        <w:rPr>
          <w:rStyle w:val="EndnoteReference"/>
          <w:rFonts w:cs="Tahoma"/>
          <w:color w:val="000000" w:themeColor="text1"/>
          <w:szCs w:val="16"/>
          <w:vertAlign w:val="baseline"/>
          <w:lang w:val="en-GB"/>
        </w:rPr>
      </w:pPr>
      <w:r w:rsidRPr="001815DF">
        <w:rPr>
          <w:rStyle w:val="EndnoteReference"/>
          <w:rFonts w:cs="Tahoma"/>
          <w:color w:val="000000" w:themeColor="text1"/>
          <w:szCs w:val="16"/>
          <w:vertAlign w:val="baseline"/>
          <w:lang w:val="en-GB"/>
        </w:rPr>
        <w:endnoteRef/>
      </w:r>
      <w:r w:rsidRPr="001815DF">
        <w:rPr>
          <w:rStyle w:val="EndnoteReference"/>
          <w:rFonts w:cs="Tahoma"/>
          <w:color w:val="000000" w:themeColor="text1"/>
          <w:szCs w:val="16"/>
          <w:vertAlign w:val="baseline"/>
          <w:lang w:val="en-GB"/>
        </w:rPr>
        <w:t xml:space="preserve"> Page 24: …Increasing growth equity by spreading knowledge spillovers. </w:t>
      </w:r>
    </w:p>
    <w:p w14:paraId="5BEC868E" w14:textId="77777777" w:rsidR="00083C19" w:rsidRPr="001815DF" w:rsidRDefault="00083C19" w:rsidP="005815E7">
      <w:pPr>
        <w:pStyle w:val="EndnoteText"/>
        <w:spacing w:after="160" w:line="276" w:lineRule="auto"/>
        <w:jc w:val="left"/>
        <w:rPr>
          <w:rStyle w:val="EndnoteReference"/>
          <w:rFonts w:cs="Tahoma"/>
          <w:color w:val="000000" w:themeColor="text1"/>
          <w:szCs w:val="16"/>
          <w:vertAlign w:val="baseline"/>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Symbol Tiger">
    <w:altName w:val="Times New Roman"/>
    <w:panose1 w:val="020B0604020202020204"/>
    <w:charset w:val="4D"/>
    <w:family w:val="decorative"/>
    <w:pitch w:val="variable"/>
    <w:sig w:usb0="00000003" w:usb1="00000000" w:usb2="00000000" w:usb3="00000000" w:csb0="80000001" w:csb1="00000000"/>
  </w:font>
  <w:font w:name="HGPMinchoE">
    <w:panose1 w:val="02020900000000000000"/>
    <w:charset w:val="80"/>
    <w:family w:val="roman"/>
    <w:pitch w:val="variable"/>
    <w:sig w:usb0="E00002FF" w:usb1="6AC7FDFF"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mil MN">
    <w:altName w:val="Tamil MN"/>
    <w:panose1 w:val="00000500000000000000"/>
    <w:charset w:val="00"/>
    <w:family w:val="auto"/>
    <w:pitch w:val="variable"/>
    <w:sig w:usb0="001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panose1 w:val="020B0600040502020204"/>
    <w:charset w:val="00"/>
    <w:family w:val="swiss"/>
    <w:pitch w:val="variable"/>
    <w:sig w:usb0="E1000AEF" w:usb1="5000A1FF" w:usb2="00000000" w:usb3="00000000" w:csb0="000001B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Verdana Bold Italic">
    <w:altName w:val="Verdana"/>
    <w:panose1 w:val="020B060402020202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NewRomanPS">
    <w:altName w:val="Times New Roman"/>
    <w:panose1 w:val="020B0604020202020204"/>
    <w:charset w:val="00"/>
    <w:family w:val="roman"/>
    <w:pitch w:val="default"/>
  </w:font>
  <w:font w:name="Roboto">
    <w:panose1 w:val="020B0604020202020204"/>
    <w:charset w:val="00"/>
    <w:family w:val="auto"/>
    <w:pitch w:val="variable"/>
    <w:sig w:usb0="E00002FF" w:usb1="5000205B" w:usb2="00000020" w:usb3="00000000" w:csb0="0000019F" w:csb1="00000000"/>
  </w:font>
  <w:font w:name="ArialMT">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DD449" w14:textId="77777777" w:rsidR="00160A6D" w:rsidRDefault="003B1F62" w:rsidP="00817E9E">
    <w:pPr>
      <w:pStyle w:val="Footer"/>
      <w:framePr w:wrap="around" w:vAnchor="text" w:hAnchor="margin" w:xAlign="right" w:y="1"/>
      <w:rPr>
        <w:rStyle w:val="PageNumber"/>
      </w:rPr>
    </w:pPr>
    <w:r>
      <w:rPr>
        <w:rStyle w:val="PageNumber"/>
      </w:rPr>
      <w:fldChar w:fldCharType="begin"/>
    </w:r>
    <w:r w:rsidR="00160A6D">
      <w:rPr>
        <w:rStyle w:val="PageNumber"/>
      </w:rPr>
      <w:instrText xml:space="preserve">PAGE  </w:instrText>
    </w:r>
    <w:r>
      <w:rPr>
        <w:rStyle w:val="PageNumber"/>
      </w:rPr>
      <w:fldChar w:fldCharType="end"/>
    </w:r>
  </w:p>
  <w:p w14:paraId="79B5FD09" w14:textId="77777777" w:rsidR="00160A6D" w:rsidRDefault="00160A6D" w:rsidP="00817E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4" w:space="0" w:color="A6A6A6" w:themeColor="background1" w:themeShade="A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322"/>
      <w:gridCol w:w="1498"/>
    </w:tblGrid>
    <w:tr w:rsidR="00196F64" w:rsidRPr="006D420F" w14:paraId="1CC56248" w14:textId="77777777" w:rsidTr="00CD442D">
      <w:tc>
        <w:tcPr>
          <w:tcW w:w="2405" w:type="dxa"/>
        </w:tcPr>
        <w:p w14:paraId="3EF2F0CF" w14:textId="5320B2AA" w:rsidR="00196F64" w:rsidRPr="00196F64" w:rsidRDefault="00196F64" w:rsidP="00196F64">
          <w:pPr>
            <w:pStyle w:val="Header"/>
            <w:tabs>
              <w:tab w:val="left" w:pos="5216"/>
              <w:tab w:val="left" w:pos="9639"/>
            </w:tabs>
            <w:spacing w:after="0" w:line="240" w:lineRule="auto"/>
            <w:ind w:left="0" w:right="33"/>
            <w:rPr>
              <w:rFonts w:cs="Tahoma"/>
              <w:color w:val="808080" w:themeColor="background1" w:themeShade="80"/>
              <w:sz w:val="16"/>
              <w:szCs w:val="16"/>
            </w:rPr>
          </w:pPr>
          <w:r w:rsidRPr="00196F64">
            <w:rPr>
              <w:rFonts w:cs="Tahoma"/>
              <w:color w:val="808080" w:themeColor="background1" w:themeShade="80"/>
              <w:sz w:val="16"/>
              <w:szCs w:val="16"/>
            </w:rPr>
            <w:t xml:space="preserve">BERRY+ </w:t>
          </w:r>
        </w:p>
        <w:p w14:paraId="5E15D12A" w14:textId="68ADB3E6" w:rsidR="00196F64" w:rsidRPr="00196F64" w:rsidRDefault="00196F64" w:rsidP="00196F64">
          <w:pPr>
            <w:pStyle w:val="Header"/>
            <w:tabs>
              <w:tab w:val="left" w:pos="5216"/>
              <w:tab w:val="left" w:pos="9639"/>
            </w:tabs>
            <w:spacing w:after="0" w:line="240" w:lineRule="auto"/>
            <w:ind w:left="0" w:right="33"/>
            <w:rPr>
              <w:rFonts w:cs="Tahoma"/>
              <w:color w:val="808080" w:themeColor="background1" w:themeShade="80"/>
              <w:sz w:val="16"/>
              <w:szCs w:val="16"/>
            </w:rPr>
          </w:pPr>
          <w:r w:rsidRPr="00196F64">
            <w:rPr>
              <w:rFonts w:cs="Tahoma"/>
              <w:color w:val="808080" w:themeColor="background1" w:themeShade="80"/>
              <w:sz w:val="16"/>
              <w:szCs w:val="16"/>
            </w:rPr>
            <w:t>BRIDGES project</w:t>
          </w:r>
        </w:p>
        <w:p w14:paraId="090D0560" w14:textId="50580507" w:rsidR="00196F64" w:rsidRPr="00196F64" w:rsidRDefault="00196F64" w:rsidP="00196F64">
          <w:pPr>
            <w:pStyle w:val="Header"/>
            <w:tabs>
              <w:tab w:val="left" w:pos="5216"/>
              <w:tab w:val="left" w:pos="9639"/>
            </w:tabs>
            <w:spacing w:after="0" w:line="240" w:lineRule="auto"/>
            <w:ind w:left="0" w:right="33"/>
            <w:rPr>
              <w:rFonts w:cs="Tahoma"/>
              <w:color w:val="808080" w:themeColor="background1" w:themeShade="80"/>
              <w:sz w:val="16"/>
              <w:szCs w:val="16"/>
            </w:rPr>
          </w:pPr>
          <w:r w:rsidRPr="00196F64">
            <w:rPr>
              <w:rFonts w:cs="Tahoma"/>
              <w:color w:val="808080" w:themeColor="background1" w:themeShade="80"/>
              <w:sz w:val="16"/>
              <w:szCs w:val="16"/>
            </w:rPr>
            <w:fldChar w:fldCharType="begin"/>
          </w:r>
          <w:r w:rsidRPr="00196F64">
            <w:rPr>
              <w:rFonts w:cs="Tahoma"/>
              <w:color w:val="808080" w:themeColor="background1" w:themeShade="80"/>
              <w:sz w:val="16"/>
              <w:szCs w:val="16"/>
            </w:rPr>
            <w:instrText xml:space="preserve"> DATE \@ "dd/MM/yyyy" </w:instrText>
          </w:r>
          <w:r w:rsidRPr="00196F64">
            <w:rPr>
              <w:rFonts w:cs="Tahoma"/>
              <w:color w:val="808080" w:themeColor="background1" w:themeShade="80"/>
              <w:sz w:val="16"/>
              <w:szCs w:val="16"/>
            </w:rPr>
            <w:fldChar w:fldCharType="separate"/>
          </w:r>
          <w:r w:rsidR="00D71D79">
            <w:rPr>
              <w:rFonts w:cs="Tahoma"/>
              <w:noProof/>
              <w:color w:val="808080" w:themeColor="background1" w:themeShade="80"/>
              <w:sz w:val="16"/>
              <w:szCs w:val="16"/>
            </w:rPr>
            <w:t>02/02/2022</w:t>
          </w:r>
          <w:r w:rsidRPr="00196F64">
            <w:rPr>
              <w:rFonts w:cs="Tahoma"/>
              <w:color w:val="808080" w:themeColor="background1" w:themeShade="80"/>
              <w:sz w:val="16"/>
              <w:szCs w:val="16"/>
            </w:rPr>
            <w:fldChar w:fldCharType="end"/>
          </w:r>
        </w:p>
      </w:tc>
      <w:tc>
        <w:tcPr>
          <w:tcW w:w="5322" w:type="dxa"/>
        </w:tcPr>
        <w:p w14:paraId="2ABFF37F" w14:textId="77777777" w:rsidR="00196F64" w:rsidRPr="006D420F" w:rsidRDefault="00196F64" w:rsidP="00196F64">
          <w:pPr>
            <w:pStyle w:val="Header"/>
            <w:tabs>
              <w:tab w:val="left" w:pos="5216"/>
              <w:tab w:val="left" w:pos="9639"/>
            </w:tabs>
            <w:spacing w:after="0" w:line="240" w:lineRule="auto"/>
            <w:ind w:left="0" w:right="33"/>
            <w:rPr>
              <w:rFonts w:cs="Tahoma"/>
              <w:color w:val="808080" w:themeColor="background1" w:themeShade="80"/>
              <w:sz w:val="16"/>
              <w:szCs w:val="16"/>
            </w:rPr>
          </w:pPr>
          <w:r>
            <w:rPr>
              <w:rFonts w:cs="Tahoma"/>
              <w:color w:val="808080" w:themeColor="background1" w:themeShade="80"/>
              <w:sz w:val="16"/>
              <w:szCs w:val="16"/>
            </w:rPr>
            <w:t>Redefining the place-based approach; practice-based insights</w:t>
          </w:r>
        </w:p>
        <w:p w14:paraId="6AF7ECA3" w14:textId="32561066" w:rsidR="00196F64" w:rsidRPr="006D420F" w:rsidRDefault="00196F64" w:rsidP="006D420F">
          <w:pPr>
            <w:pStyle w:val="Header"/>
            <w:tabs>
              <w:tab w:val="left" w:pos="5216"/>
              <w:tab w:val="left" w:pos="9639"/>
            </w:tabs>
            <w:spacing w:after="0" w:line="240" w:lineRule="auto"/>
            <w:ind w:left="0" w:right="33"/>
            <w:rPr>
              <w:rFonts w:cs="Tahoma"/>
              <w:color w:val="808080" w:themeColor="background1" w:themeShade="80"/>
              <w:sz w:val="16"/>
              <w:szCs w:val="16"/>
            </w:rPr>
          </w:pPr>
          <w:r w:rsidRPr="006D420F">
            <w:rPr>
              <w:rFonts w:cs="Tahoma"/>
              <w:color w:val="808080" w:themeColor="background1" w:themeShade="80"/>
              <w:sz w:val="16"/>
              <w:szCs w:val="16"/>
            </w:rPr>
            <w:t xml:space="preserve"> </w:t>
          </w:r>
        </w:p>
      </w:tc>
      <w:tc>
        <w:tcPr>
          <w:tcW w:w="1498" w:type="dxa"/>
        </w:tcPr>
        <w:p w14:paraId="443E1556" w14:textId="77777777" w:rsidR="00196F64" w:rsidRPr="006D420F" w:rsidRDefault="00196F64" w:rsidP="006D420F">
          <w:pPr>
            <w:pStyle w:val="Header"/>
            <w:tabs>
              <w:tab w:val="left" w:pos="5216"/>
              <w:tab w:val="left" w:pos="9639"/>
            </w:tabs>
            <w:spacing w:after="0" w:line="240" w:lineRule="auto"/>
            <w:ind w:left="0" w:right="33"/>
            <w:rPr>
              <w:rFonts w:cs="Tahoma"/>
              <w:color w:val="808080" w:themeColor="background1" w:themeShade="80"/>
              <w:sz w:val="16"/>
              <w:szCs w:val="16"/>
            </w:rPr>
          </w:pPr>
          <w:r w:rsidRPr="006D420F">
            <w:rPr>
              <w:rFonts w:cs="Tahoma"/>
              <w:color w:val="808080" w:themeColor="background1" w:themeShade="80"/>
              <w:sz w:val="16"/>
              <w:szCs w:val="16"/>
            </w:rPr>
            <w:t xml:space="preserve">Page </w:t>
          </w:r>
          <w:r w:rsidRPr="006D420F">
            <w:rPr>
              <w:rFonts w:cs="Tahoma"/>
              <w:color w:val="808080" w:themeColor="background1" w:themeShade="80"/>
              <w:sz w:val="16"/>
              <w:szCs w:val="16"/>
            </w:rPr>
            <w:fldChar w:fldCharType="begin"/>
          </w:r>
          <w:r w:rsidRPr="006D420F">
            <w:rPr>
              <w:rFonts w:cs="Tahoma"/>
              <w:color w:val="808080" w:themeColor="background1" w:themeShade="80"/>
              <w:sz w:val="16"/>
              <w:szCs w:val="16"/>
            </w:rPr>
            <w:instrText xml:space="preserve"> PAGE </w:instrText>
          </w:r>
          <w:r w:rsidRPr="006D420F">
            <w:rPr>
              <w:rFonts w:cs="Tahoma"/>
              <w:color w:val="808080" w:themeColor="background1" w:themeShade="80"/>
              <w:sz w:val="16"/>
              <w:szCs w:val="16"/>
            </w:rPr>
            <w:fldChar w:fldCharType="separate"/>
          </w:r>
          <w:r w:rsidRPr="006D420F">
            <w:rPr>
              <w:rFonts w:cs="Tahoma"/>
              <w:color w:val="808080" w:themeColor="background1" w:themeShade="80"/>
              <w:sz w:val="16"/>
              <w:szCs w:val="16"/>
            </w:rPr>
            <w:t>1</w:t>
          </w:r>
          <w:r w:rsidRPr="006D420F">
            <w:rPr>
              <w:rFonts w:cs="Tahoma"/>
              <w:color w:val="808080" w:themeColor="background1" w:themeShade="80"/>
              <w:sz w:val="16"/>
              <w:szCs w:val="16"/>
            </w:rPr>
            <w:fldChar w:fldCharType="end"/>
          </w:r>
          <w:r w:rsidRPr="006D420F">
            <w:rPr>
              <w:rFonts w:cs="Tahoma"/>
              <w:color w:val="808080" w:themeColor="background1" w:themeShade="80"/>
              <w:sz w:val="16"/>
              <w:szCs w:val="16"/>
            </w:rPr>
            <w:t xml:space="preserve"> of </w:t>
          </w:r>
          <w:r w:rsidRPr="006D420F">
            <w:rPr>
              <w:rFonts w:cs="Tahoma"/>
              <w:color w:val="808080" w:themeColor="background1" w:themeShade="80"/>
              <w:sz w:val="16"/>
              <w:szCs w:val="16"/>
            </w:rPr>
            <w:fldChar w:fldCharType="begin"/>
          </w:r>
          <w:r w:rsidRPr="006D420F">
            <w:rPr>
              <w:rFonts w:cs="Tahoma"/>
              <w:color w:val="808080" w:themeColor="background1" w:themeShade="80"/>
              <w:sz w:val="16"/>
              <w:szCs w:val="16"/>
            </w:rPr>
            <w:instrText xml:space="preserve"> NUMPAGES </w:instrText>
          </w:r>
          <w:r w:rsidRPr="006D420F">
            <w:rPr>
              <w:rFonts w:cs="Tahoma"/>
              <w:color w:val="808080" w:themeColor="background1" w:themeShade="80"/>
              <w:sz w:val="16"/>
              <w:szCs w:val="16"/>
            </w:rPr>
            <w:fldChar w:fldCharType="separate"/>
          </w:r>
          <w:r w:rsidRPr="006D420F">
            <w:rPr>
              <w:rFonts w:cs="Tahoma"/>
              <w:color w:val="808080" w:themeColor="background1" w:themeShade="80"/>
              <w:sz w:val="16"/>
              <w:szCs w:val="16"/>
            </w:rPr>
            <w:t>4</w:t>
          </w:r>
          <w:r w:rsidRPr="006D420F">
            <w:rPr>
              <w:rFonts w:cs="Tahoma"/>
              <w:color w:val="808080" w:themeColor="background1" w:themeShade="80"/>
              <w:sz w:val="16"/>
              <w:szCs w:val="16"/>
            </w:rPr>
            <w:fldChar w:fldCharType="end"/>
          </w:r>
        </w:p>
      </w:tc>
    </w:tr>
  </w:tbl>
  <w:p w14:paraId="5B58160F" w14:textId="77777777" w:rsidR="00187DE6" w:rsidRPr="00C40FA6" w:rsidRDefault="00187DE6" w:rsidP="00187DE6">
    <w:pPr>
      <w:pStyle w:val="Header"/>
      <w:tabs>
        <w:tab w:val="left" w:pos="5216"/>
        <w:tab w:val="left" w:pos="9639"/>
      </w:tabs>
      <w:rPr>
        <w:rFonts w:cs="Tahom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EAA95" w14:textId="77777777" w:rsidR="002C196E" w:rsidRDefault="002C196E" w:rsidP="00817E9E">
      <w:r>
        <w:separator/>
      </w:r>
    </w:p>
  </w:footnote>
  <w:footnote w:type="continuationSeparator" w:id="0">
    <w:p w14:paraId="637A7BD3" w14:textId="77777777" w:rsidR="002C196E" w:rsidRDefault="002C196E" w:rsidP="00817E9E">
      <w:r>
        <w:continuationSeparator/>
      </w:r>
    </w:p>
  </w:footnote>
  <w:footnote w:id="1">
    <w:p w14:paraId="7F86F4F9" w14:textId="0861D3DE" w:rsidR="00AF64BE" w:rsidRPr="00B804A7" w:rsidRDefault="00AF64BE" w:rsidP="003D663F">
      <w:pPr>
        <w:pStyle w:val="Heading6"/>
        <w:rPr>
          <w:color w:val="000000" w:themeColor="text1"/>
        </w:rPr>
      </w:pPr>
      <w:r w:rsidRPr="00B804A7">
        <w:rPr>
          <w:rStyle w:val="FootnoteReference"/>
        </w:rPr>
        <w:footnoteRef/>
      </w:r>
      <w:r w:rsidRPr="00B804A7">
        <w:t xml:space="preserve"> </w:t>
      </w:r>
      <w:r w:rsidR="003D663F" w:rsidRPr="00B804A7">
        <w:rPr>
          <w:rFonts w:eastAsiaTheme="minorEastAsia" w:cs="Tahoma"/>
          <w:bCs w:val="0"/>
          <w:color w:val="000000" w:themeColor="text1"/>
          <w:spacing w:val="0"/>
          <w:sz w:val="16"/>
          <w:szCs w:val="40"/>
          <w:shd w:val="clear" w:color="auto" w:fill="FFFFFF"/>
          <w:lang w:eastAsia="sl-SI"/>
        </w:rPr>
        <w:t>Authors</w:t>
      </w:r>
      <w:r w:rsidR="00EA4C0D" w:rsidRPr="00B804A7">
        <w:rPr>
          <w:rFonts w:eastAsiaTheme="minorEastAsia" w:cs="Tahoma"/>
          <w:bCs w:val="0"/>
          <w:color w:val="000000" w:themeColor="text1"/>
          <w:spacing w:val="0"/>
          <w:sz w:val="16"/>
          <w:szCs w:val="40"/>
          <w:shd w:val="clear" w:color="auto" w:fill="FFFFFF"/>
          <w:lang w:eastAsia="sl-SI"/>
        </w:rPr>
        <w:t>: Chaniotou N. (Regional Council of Kainuu)</w:t>
      </w:r>
      <w:r w:rsidR="00C37DDE" w:rsidRPr="00B804A7">
        <w:rPr>
          <w:rFonts w:eastAsiaTheme="minorEastAsia" w:cs="Tahoma"/>
          <w:bCs w:val="0"/>
          <w:color w:val="000000" w:themeColor="text1"/>
          <w:spacing w:val="0"/>
          <w:sz w:val="16"/>
          <w:szCs w:val="40"/>
          <w:shd w:val="clear" w:color="auto" w:fill="FFFFFF"/>
          <w:lang w:eastAsia="sl-SI"/>
        </w:rPr>
        <w:t>, Lainevuo A. (Regional Council of Helsinki-Uusimaa),</w:t>
      </w:r>
      <w:r w:rsidR="00D71D79" w:rsidRPr="00B804A7">
        <w:rPr>
          <w:rFonts w:eastAsiaTheme="minorEastAsia" w:cs="Tahoma"/>
          <w:bCs w:val="0"/>
          <w:color w:val="000000" w:themeColor="text1"/>
          <w:spacing w:val="0"/>
          <w:sz w:val="16"/>
          <w:szCs w:val="40"/>
          <w:shd w:val="clear" w:color="auto" w:fill="FFFFFF"/>
          <w:lang w:eastAsia="sl-SI"/>
        </w:rPr>
        <w:t xml:space="preserve"> </w:t>
      </w:r>
      <w:r w:rsidR="00C37DDE" w:rsidRPr="00B804A7">
        <w:rPr>
          <w:rFonts w:eastAsiaTheme="minorEastAsia" w:cs="Tahoma"/>
          <w:bCs w:val="0"/>
          <w:color w:val="000000" w:themeColor="text1"/>
          <w:spacing w:val="0"/>
          <w:sz w:val="16"/>
          <w:szCs w:val="40"/>
          <w:shd w:val="clear" w:color="auto" w:fill="FFFFFF"/>
          <w:lang w:eastAsia="sl-SI"/>
        </w:rPr>
        <w:t>Virkamäki V. (Regional Council of Helsinki-Uusimaa).</w:t>
      </w:r>
    </w:p>
  </w:footnote>
  <w:footnote w:id="2">
    <w:p w14:paraId="11003412" w14:textId="1A7DD4A2" w:rsidR="00C37DDE" w:rsidRPr="00B804A7" w:rsidRDefault="00715063" w:rsidP="004B7195">
      <w:pPr>
        <w:pStyle w:val="FootnoteText"/>
        <w:rPr>
          <w:color w:val="000000" w:themeColor="text1"/>
        </w:rPr>
      </w:pPr>
      <w:r w:rsidRPr="00B804A7">
        <w:rPr>
          <w:rStyle w:val="FootnoteReference"/>
        </w:rPr>
        <w:footnoteRef/>
      </w:r>
      <w:r w:rsidRPr="00B804A7">
        <w:rPr>
          <w:rStyle w:val="FootnoteReference"/>
        </w:rPr>
        <w:t xml:space="preserve"> </w:t>
      </w:r>
      <w:r w:rsidR="00297E2A" w:rsidRPr="00B804A7">
        <w:rPr>
          <w:rStyle w:val="FootnoteReference"/>
        </w:rPr>
        <w:t xml:space="preserve"> </w:t>
      </w:r>
      <w:r w:rsidR="00297E2A" w:rsidRPr="00B804A7">
        <w:t xml:space="preserve"> </w:t>
      </w:r>
      <w:r w:rsidR="003D663F" w:rsidRPr="00B804A7">
        <w:rPr>
          <w:color w:val="000000" w:themeColor="text1"/>
        </w:rPr>
        <w:t>Acknowledgements:</w:t>
      </w:r>
      <w:r w:rsidR="00297E2A" w:rsidRPr="00B804A7">
        <w:rPr>
          <w:color w:val="000000" w:themeColor="text1"/>
        </w:rPr>
        <w:t xml:space="preserve"> </w:t>
      </w:r>
      <w:r w:rsidRPr="00B804A7">
        <w:rPr>
          <w:color w:val="000000" w:themeColor="text1"/>
        </w:rPr>
        <w:t>The author</w:t>
      </w:r>
      <w:r w:rsidR="003173D0" w:rsidRPr="00B804A7">
        <w:rPr>
          <w:color w:val="000000" w:themeColor="text1"/>
        </w:rPr>
        <w:t>s</w:t>
      </w:r>
      <w:r w:rsidRPr="00B804A7">
        <w:rPr>
          <w:color w:val="000000" w:themeColor="text1"/>
        </w:rPr>
        <w:t xml:space="preserve"> </w:t>
      </w:r>
      <w:r w:rsidR="003173D0" w:rsidRPr="00B804A7">
        <w:rPr>
          <w:color w:val="000000" w:themeColor="text1"/>
        </w:rPr>
        <w:t>are</w:t>
      </w:r>
      <w:r w:rsidRPr="00B804A7">
        <w:rPr>
          <w:color w:val="000000" w:themeColor="text1"/>
        </w:rPr>
        <w:t xml:space="preserve"> </w:t>
      </w:r>
      <w:r w:rsidR="002F6AAC" w:rsidRPr="00B804A7">
        <w:rPr>
          <w:color w:val="000000" w:themeColor="text1"/>
        </w:rPr>
        <w:t>thankfully</w:t>
      </w:r>
      <w:r w:rsidRPr="00B804A7">
        <w:rPr>
          <w:color w:val="000000" w:themeColor="text1"/>
        </w:rPr>
        <w:t xml:space="preserve"> acknowledging the </w:t>
      </w:r>
      <w:r w:rsidR="00EE22F1" w:rsidRPr="00B804A7">
        <w:rPr>
          <w:color w:val="000000" w:themeColor="text1"/>
        </w:rPr>
        <w:t>encouragement</w:t>
      </w:r>
      <w:r w:rsidR="009207D6" w:rsidRPr="00B804A7">
        <w:rPr>
          <w:color w:val="000000" w:themeColor="text1"/>
        </w:rPr>
        <w:t xml:space="preserve"> </w:t>
      </w:r>
      <w:r w:rsidRPr="00B804A7">
        <w:rPr>
          <w:color w:val="000000" w:themeColor="text1"/>
        </w:rPr>
        <w:t xml:space="preserve">and knowledgeable support </w:t>
      </w:r>
      <w:r w:rsidR="00D71D79" w:rsidRPr="00B804A7">
        <w:rPr>
          <w:color w:val="000000" w:themeColor="text1"/>
        </w:rPr>
        <w:t>by</w:t>
      </w:r>
      <w:r w:rsidRPr="00B804A7">
        <w:rPr>
          <w:color w:val="000000" w:themeColor="text1"/>
        </w:rPr>
        <w:t xml:space="preserve"> Dr. Dimitri Corpakis (Friends of Smart Specialisation)</w:t>
      </w:r>
      <w:r w:rsidR="00E4696D" w:rsidRPr="00B804A7">
        <w:rPr>
          <w:color w:val="000000" w:themeColor="text1"/>
        </w:rPr>
        <w:t>.</w:t>
      </w:r>
      <w:r w:rsidR="004A37C2" w:rsidRPr="00B804A7">
        <w:rPr>
          <w:color w:val="000000" w:themeColor="text1"/>
        </w:rPr>
        <w:t xml:space="preserve"> </w:t>
      </w:r>
      <w:r w:rsidR="00C37DDE" w:rsidRPr="00B804A7">
        <w:rPr>
          <w:color w:val="000000" w:themeColor="text1"/>
        </w:rPr>
        <w:t>Moreover, the authors wish to ac</w:t>
      </w:r>
      <w:r w:rsidR="00D71D79" w:rsidRPr="00B804A7">
        <w:rPr>
          <w:color w:val="000000" w:themeColor="text1"/>
        </w:rPr>
        <w:t>k</w:t>
      </w:r>
      <w:r w:rsidR="00C37DDE" w:rsidRPr="00B804A7">
        <w:rPr>
          <w:color w:val="000000" w:themeColor="text1"/>
        </w:rPr>
        <w:t>nowledge the commitment</w:t>
      </w:r>
      <w:r w:rsidR="00D71D79" w:rsidRPr="00B804A7">
        <w:rPr>
          <w:color w:val="000000" w:themeColor="text1"/>
        </w:rPr>
        <w:t xml:space="preserve"> </w:t>
      </w:r>
      <w:r w:rsidR="00C37DDE" w:rsidRPr="00B804A7">
        <w:rPr>
          <w:color w:val="000000" w:themeColor="text1"/>
        </w:rPr>
        <w:t>and constructive inputs by Mr. Juha Eskelinen (Regional Development Director, Council of Helsinki-Uusimaa) and Dr. Jouni Ponnikas (Regional Development Director, Regional Council of Kainuu).</w:t>
      </w:r>
    </w:p>
  </w:footnote>
  <w:footnote w:id="3">
    <w:p w14:paraId="33BC47E9" w14:textId="77777777" w:rsidR="009D5AD7" w:rsidRPr="00B804A7" w:rsidRDefault="00BD3261" w:rsidP="004B7195">
      <w:pPr>
        <w:pStyle w:val="FootnoteText"/>
      </w:pPr>
      <w:r w:rsidRPr="00B804A7">
        <w:rPr>
          <w:rStyle w:val="FootnoteReference"/>
        </w:rPr>
        <w:footnoteRef/>
      </w:r>
      <w:r w:rsidRPr="00B804A7">
        <w:t xml:space="preserve"> </w:t>
      </w:r>
      <w:r w:rsidR="00493880" w:rsidRPr="00B804A7">
        <w:t>Interreg IV C FRESH project (</w:t>
      </w:r>
      <w:hyperlink r:id="rId1" w:history="1">
        <w:r w:rsidR="00493880" w:rsidRPr="00B804A7">
          <w:t>https://www.interregeurope.eu/fileadmin/user_upload/events/Sofia/11_IVC_results.pdf</w:t>
        </w:r>
      </w:hyperlink>
      <w:r w:rsidR="00C72896" w:rsidRPr="00B804A7">
        <w:t xml:space="preserve"> </w:t>
      </w:r>
      <w:r w:rsidR="00493880" w:rsidRPr="00B804A7">
        <w:t xml:space="preserve"> and </w:t>
      </w:r>
      <w:hyperlink r:id="rId2" w:history="1">
        <w:r w:rsidR="00493880" w:rsidRPr="00B804A7">
          <w:t>https://www.interregeurope.eu/fileadmin/user_upload/documents/Report_on_INTERREG_IVC_project_study.pdf</w:t>
        </w:r>
      </w:hyperlink>
      <w:r w:rsidR="00493880" w:rsidRPr="00B804A7">
        <w:t>)</w:t>
      </w:r>
      <w:r w:rsidR="009D5AD7" w:rsidRPr="00B804A7">
        <w:t>.</w:t>
      </w:r>
      <w:r w:rsidR="00493880" w:rsidRPr="00B804A7">
        <w:t xml:space="preserve"> </w:t>
      </w:r>
    </w:p>
    <w:p w14:paraId="29240CFD" w14:textId="56E3EDFD" w:rsidR="009D5AD7" w:rsidRPr="00B804A7" w:rsidRDefault="00BD3261" w:rsidP="004B7195">
      <w:pPr>
        <w:pStyle w:val="FootnoteText"/>
      </w:pPr>
      <w:r w:rsidRPr="00B804A7">
        <w:t>Interreg Europe BRIDGES project “Bridging competence infrastructure gaps and speeding up growth and jobs delivery in regions” (</w:t>
      </w:r>
      <w:hyperlink r:id="rId3" w:history="1">
        <w:r w:rsidRPr="00B804A7">
          <w:rPr>
            <w:rStyle w:val="Hyperlink"/>
            <w:i/>
            <w:iCs/>
            <w:szCs w:val="16"/>
          </w:rPr>
          <w:t>https://www.interregeurope.eu/bridges/</w:t>
        </w:r>
      </w:hyperlink>
      <w:r w:rsidRPr="00B804A7">
        <w:t>)</w:t>
      </w:r>
      <w:r w:rsidR="009D5AD7" w:rsidRPr="00B804A7">
        <w:t xml:space="preserve"> </w:t>
      </w:r>
      <w:r w:rsidR="00493880" w:rsidRPr="00B804A7">
        <w:t xml:space="preserve">and </w:t>
      </w:r>
      <w:r w:rsidRPr="00B804A7">
        <w:t>two Baltic Sea Region (BSR) projects</w:t>
      </w:r>
      <w:r w:rsidR="009D5AD7" w:rsidRPr="00B804A7">
        <w:t>,</w:t>
      </w:r>
    </w:p>
    <w:p w14:paraId="63AD3ACF" w14:textId="6A54DB23" w:rsidR="009D5AD7" w:rsidRPr="00B804A7" w:rsidRDefault="00BD3261" w:rsidP="004B7195">
      <w:pPr>
        <w:pStyle w:val="FootnoteText"/>
      </w:pPr>
      <w:r w:rsidRPr="00B804A7">
        <w:t>Science Link</w:t>
      </w:r>
      <w:r w:rsidR="00442E9B" w:rsidRPr="00B804A7">
        <w:t xml:space="preserve"> approved 2011, </w:t>
      </w:r>
      <w:r w:rsidRPr="00B804A7">
        <w:t>(</w:t>
      </w:r>
      <w:hyperlink r:id="rId4" w:history="1">
        <w:r w:rsidRPr="00B804A7">
          <w:rPr>
            <w:rStyle w:val="Hyperlink"/>
            <w:szCs w:val="16"/>
          </w:rPr>
          <w:t>https://www.science-link.eu</w:t>
        </w:r>
      </w:hyperlink>
      <w:r w:rsidRPr="00B804A7">
        <w:t xml:space="preserve">) </w:t>
      </w:r>
    </w:p>
    <w:p w14:paraId="672879DA" w14:textId="1AC4CF65" w:rsidR="00BD3261" w:rsidRPr="00B804A7" w:rsidRDefault="00BD3261" w:rsidP="004B7195">
      <w:pPr>
        <w:pStyle w:val="FootnoteText"/>
      </w:pPr>
      <w:r w:rsidRPr="00B804A7">
        <w:t>Baltic TRAM</w:t>
      </w:r>
      <w:r w:rsidR="00442E9B" w:rsidRPr="00B804A7">
        <w:t xml:space="preserve"> approved 2015,</w:t>
      </w:r>
      <w:r w:rsidRPr="00B804A7">
        <w:t xml:space="preserve"> (</w:t>
      </w:r>
      <w:hyperlink r:id="rId5" w:history="1">
        <w:r w:rsidRPr="00B804A7">
          <w:rPr>
            <w:rStyle w:val="Hyperlink"/>
            <w:szCs w:val="16"/>
          </w:rPr>
          <w:t>https://www.baltic-tram.eu/about/index_eng.html</w:t>
        </w:r>
      </w:hyperlink>
      <w:r w:rsidRPr="00B804A7">
        <w:t>).</w:t>
      </w:r>
    </w:p>
  </w:footnote>
  <w:footnote w:id="4">
    <w:p w14:paraId="1296275E" w14:textId="0DBEAF64" w:rsidR="002D3ABD" w:rsidRPr="00B804A7" w:rsidRDefault="002D3ABD" w:rsidP="00E93364">
      <w:pPr>
        <w:pStyle w:val="FootnoteText"/>
        <w:jc w:val="left"/>
      </w:pPr>
      <w:r w:rsidRPr="00B804A7">
        <w:rPr>
          <w:rStyle w:val="FootnoteReference"/>
        </w:rPr>
        <w:footnoteRef/>
      </w:r>
      <w:hyperlink r:id="rId6" w:history="1">
        <w:r w:rsidR="00E93364" w:rsidRPr="00B804A7">
          <w:rPr>
            <w:rStyle w:val="Hyperlink"/>
            <w:szCs w:val="40"/>
          </w:rPr>
          <w:t>https://www.uudenmaanliitto.fi/files/24776/Big_five_Partnership.pdf</w:t>
        </w:r>
      </w:hyperlink>
      <w:r w:rsidR="00E93364" w:rsidRPr="00B804A7">
        <w:t xml:space="preserve"> and </w:t>
      </w:r>
      <w:hyperlink r:id="rId7" w:history="1">
        <w:r w:rsidR="00E93364" w:rsidRPr="00B804A7">
          <w:rPr>
            <w:rStyle w:val="Hyperlink"/>
            <w:szCs w:val="40"/>
          </w:rPr>
          <w:t>https://www.uudenmaanliitto.fi/tietopalvelut/julkaisut/big_five_partnership_-_analysis_of_the_regional_research_and_innovation_strategy_for_the_helsinki-uusimaa_region_and_its_cooperation_with_the_peer_regions.9057.xhtml</w:t>
        </w:r>
      </w:hyperlink>
      <w:r w:rsidR="00E93364" w:rsidRPr="00B804A7">
        <w:t xml:space="preserve"> .</w:t>
      </w:r>
    </w:p>
  </w:footnote>
  <w:footnote w:id="5">
    <w:p w14:paraId="0CDAD60D" w14:textId="6AEB1E2C" w:rsidR="002D3ABD" w:rsidRPr="00B804A7" w:rsidRDefault="002D3ABD">
      <w:pPr>
        <w:pStyle w:val="FootnoteText"/>
      </w:pPr>
      <w:r w:rsidRPr="00B804A7">
        <w:rPr>
          <w:rStyle w:val="FootnoteReference"/>
        </w:rPr>
        <w:footnoteRef/>
      </w:r>
      <w:r w:rsidR="009C40B5" w:rsidRPr="00B804A7">
        <w:t xml:space="preserve"> </w:t>
      </w:r>
      <w:r w:rsidR="00500AA4">
        <w:t>CAPREX</w:t>
      </w:r>
      <w:r w:rsidR="009C40B5" w:rsidRPr="00B804A7">
        <w:t xml:space="preserve">= Capital Regions Exchange </w:t>
      </w:r>
      <w:r w:rsidRPr="00B804A7">
        <w:t xml:space="preserve"> </w:t>
      </w:r>
      <w:hyperlink r:id="rId8" w:history="1">
        <w:r w:rsidR="00E93364" w:rsidRPr="00B804A7">
          <w:rPr>
            <w:rStyle w:val="Hyperlink"/>
            <w:szCs w:val="40"/>
          </w:rPr>
          <w:t>https://digitalesbb.de/2019/09/12/hauptstadtregionen-vernetzen-sich/</w:t>
        </w:r>
      </w:hyperlink>
      <w:r w:rsidR="00E93364" w:rsidRPr="00B804A7">
        <w:t xml:space="preserve"> .</w:t>
      </w:r>
    </w:p>
  </w:footnote>
  <w:footnote w:id="6">
    <w:p w14:paraId="34139262" w14:textId="581F8A5C" w:rsidR="004C2EE5" w:rsidRPr="00B804A7" w:rsidRDefault="00493880" w:rsidP="004B7195">
      <w:pPr>
        <w:pStyle w:val="FootnoteText"/>
      </w:pPr>
      <w:r w:rsidRPr="00B804A7">
        <w:rPr>
          <w:rStyle w:val="FootnoteReference"/>
        </w:rPr>
        <w:footnoteRef/>
      </w:r>
      <w:r w:rsidR="004C2EE5" w:rsidRPr="00B804A7">
        <w:t xml:space="preserve"> </w:t>
      </w:r>
      <w:r w:rsidR="004C2EE5" w:rsidRPr="00B804A7">
        <w:rPr>
          <w:rStyle w:val="FootnoteTextChar"/>
          <w:noProof w:val="0"/>
        </w:rPr>
        <w:t xml:space="preserve">ClusSport, approved 2017, </w:t>
      </w:r>
      <w:hyperlink r:id="rId9" w:history="1">
        <w:r w:rsidR="004C2EE5" w:rsidRPr="00B804A7">
          <w:rPr>
            <w:rStyle w:val="FootnoteTextChar"/>
            <w:noProof w:val="0"/>
          </w:rPr>
          <w:t>http://s3platform.jrc.ec.europa.eu/sports</w:t>
        </w:r>
      </w:hyperlink>
      <w:r w:rsidR="00442E9B" w:rsidRPr="00B804A7">
        <w:rPr>
          <w:rStyle w:val="FootnoteTextChar"/>
          <w:noProof w:val="0"/>
        </w:rPr>
        <w:t xml:space="preserve">. </w:t>
      </w:r>
      <w:r w:rsidRPr="00B804A7">
        <w:t xml:space="preserve"> </w:t>
      </w:r>
    </w:p>
    <w:p w14:paraId="40D40035" w14:textId="66958440" w:rsidR="004C2EE5" w:rsidRPr="00B804A7" w:rsidRDefault="00493880" w:rsidP="004B7195">
      <w:pPr>
        <w:pStyle w:val="FootnoteText"/>
        <w:rPr>
          <w:rStyle w:val="FootnoteTextChar"/>
          <w:noProof w:val="0"/>
        </w:rPr>
      </w:pPr>
      <w:r w:rsidRPr="00B804A7">
        <w:rPr>
          <w:rStyle w:val="FootnoteTextChar"/>
          <w:noProof w:val="0"/>
        </w:rPr>
        <w:t xml:space="preserve">Mining </w:t>
      </w:r>
      <w:r w:rsidR="00A8296A" w:rsidRPr="00B804A7">
        <w:rPr>
          <w:rStyle w:val="FootnoteTextChar"/>
          <w:noProof w:val="0"/>
        </w:rPr>
        <w:t xml:space="preserve">industries, </w:t>
      </w:r>
      <w:r w:rsidR="004C2EE5" w:rsidRPr="00B804A7">
        <w:rPr>
          <w:rStyle w:val="FootnoteTextChar"/>
          <w:noProof w:val="0"/>
        </w:rPr>
        <w:t xml:space="preserve">approved </w:t>
      </w:r>
      <w:r w:rsidR="00A8296A" w:rsidRPr="00B804A7">
        <w:rPr>
          <w:rStyle w:val="FootnoteTextChar"/>
          <w:noProof w:val="0"/>
        </w:rPr>
        <w:t xml:space="preserve">2018, </w:t>
      </w:r>
      <w:hyperlink r:id="rId10" w:history="1">
        <w:r w:rsidR="00A8296A" w:rsidRPr="00B804A7">
          <w:rPr>
            <w:rStyle w:val="FootnoteTextChar"/>
            <w:noProof w:val="0"/>
          </w:rPr>
          <w:t>https://s3platform.jrc.ec.europa.eu/mining-industry</w:t>
        </w:r>
      </w:hyperlink>
    </w:p>
    <w:p w14:paraId="05259CCF" w14:textId="12FEB9BC" w:rsidR="00493880" w:rsidRPr="00B804A7" w:rsidRDefault="00493880" w:rsidP="004B7195">
      <w:pPr>
        <w:pStyle w:val="FootnoteText"/>
        <w:rPr>
          <w:rStyle w:val="FootnoteTextChar"/>
          <w:noProof w:val="0"/>
        </w:rPr>
      </w:pPr>
      <w:r w:rsidRPr="00B804A7">
        <w:rPr>
          <w:rStyle w:val="FootnoteTextChar"/>
          <w:noProof w:val="0"/>
        </w:rPr>
        <w:t xml:space="preserve">BERRY+ </w:t>
      </w:r>
      <w:r w:rsidR="004C2EE5" w:rsidRPr="00B804A7">
        <w:rPr>
          <w:rStyle w:val="FootnoteTextChar"/>
          <w:noProof w:val="0"/>
        </w:rPr>
        <w:t xml:space="preserve">approved 2020, </w:t>
      </w:r>
      <w:hyperlink r:id="rId11" w:history="1">
        <w:r w:rsidR="004C2EE5" w:rsidRPr="00B804A7">
          <w:rPr>
            <w:rStyle w:val="Hyperlink"/>
            <w:szCs w:val="40"/>
          </w:rPr>
          <w:t>https://s3platform.jrc.ec.europa.eu/berry</w:t>
        </w:r>
      </w:hyperlink>
      <w:r w:rsidRPr="00B804A7">
        <w:rPr>
          <w:rStyle w:val="FootnoteTextChar"/>
          <w:noProof w:val="0"/>
        </w:rPr>
        <w:t xml:space="preserve">; </w:t>
      </w:r>
      <w:hyperlink r:id="rId12" w:history="1">
        <w:r w:rsidRPr="00B804A7">
          <w:rPr>
            <w:rStyle w:val="FootnoteTextChar"/>
            <w:noProof w:val="0"/>
          </w:rPr>
          <w:t>https://s3platform.jrc.ec.europa.eu/thematic-areas</w:t>
        </w:r>
      </w:hyperlink>
      <w:r w:rsidRPr="00B804A7">
        <w:rPr>
          <w:rStyle w:val="FootnoteTextChar"/>
          <w:noProof w:val="0"/>
        </w:rPr>
        <w:t>.</w:t>
      </w:r>
    </w:p>
  </w:footnote>
  <w:footnote w:id="7">
    <w:p w14:paraId="391A8BEC" w14:textId="2E294A4A" w:rsidR="00CE2AC2" w:rsidRPr="00B804A7" w:rsidRDefault="00CE2AC2" w:rsidP="004B7195">
      <w:pPr>
        <w:pStyle w:val="FootnoteText"/>
      </w:pPr>
      <w:r w:rsidRPr="00B804A7">
        <w:rPr>
          <w:rStyle w:val="FootnoteReference"/>
        </w:rPr>
        <w:footnoteRef/>
      </w:r>
      <w:r w:rsidRPr="00B804A7">
        <w:t xml:space="preserve"> </w:t>
      </w:r>
      <w:r w:rsidR="00835EE1" w:rsidRPr="00B804A7">
        <w:t>ELMO</w:t>
      </w:r>
      <w:r w:rsidR="009B06B8" w:rsidRPr="00B804A7">
        <w:t>, approved 2018</w:t>
      </w:r>
      <w:r w:rsidR="00835EE1" w:rsidRPr="00B804A7">
        <w:t>: ELMO is one of the twelve (12) industrial transition pilots that were selected following the EC calls on 29.9.2017 and 14.12.2017. ELMO represents the whole North-East Finland NUTS2 area</w:t>
      </w:r>
      <w:r w:rsidR="00835EE1" w:rsidRPr="00B804A7">
        <w:rPr>
          <w:lang w:eastAsia="en-GB"/>
        </w:rPr>
        <w:t xml:space="preserve"> </w:t>
      </w:r>
      <w:r w:rsidRPr="00B804A7">
        <w:rPr>
          <w:lang w:eastAsia="en-GB"/>
        </w:rPr>
        <w:t xml:space="preserve">8.5.2019 - 7.5.2021, </w:t>
      </w:r>
      <w:r w:rsidRPr="00B804A7">
        <w:t>Budget 499 620 €, w</w:t>
      </w:r>
      <w:r w:rsidRPr="00B804A7">
        <w:rPr>
          <w:color w:val="0260BF"/>
        </w:rPr>
        <w:t>ww.elmoenf.eu .</w:t>
      </w:r>
    </w:p>
  </w:footnote>
  <w:footnote w:id="8">
    <w:p w14:paraId="59EAEDD1" w14:textId="63C19A7B" w:rsidR="00CA35E7" w:rsidRPr="00B804A7" w:rsidRDefault="00CA35E7" w:rsidP="004B7195">
      <w:pPr>
        <w:pStyle w:val="FootnoteText"/>
      </w:pPr>
      <w:r w:rsidRPr="00B804A7">
        <w:rPr>
          <w:rStyle w:val="FootnoteReference"/>
        </w:rPr>
        <w:footnoteRef/>
      </w:r>
      <w:r w:rsidRPr="00B804A7">
        <w:t xml:space="preserve"> SCIENCE LINK includes the large-scale RI in the </w:t>
      </w:r>
      <w:r w:rsidR="00CF6333" w:rsidRPr="00B804A7">
        <w:t>fields</w:t>
      </w:r>
      <w:r w:rsidRPr="00B804A7">
        <w:t xml:space="preserve"> of neutron and photon science (planned DESY, HZG, HZB, MAX-lab) in the Baltic Sea Region. They offer measurement opportunities, training and consultation. Universities (Lund and Hamburg) and chambers of commerce or their business development units (currently Dansk-Tysk</w:t>
      </w:r>
      <w:r w:rsidRPr="00B804A7">
        <w:rPr>
          <w:rFonts w:ascii="Times New Roman" w:eastAsia="Times New Roman" w:hAnsi="Times New Roman" w:cs="Times New Roman"/>
          <w:sz w:val="24"/>
          <w:szCs w:val="24"/>
          <w:lang w:eastAsia="pl-PL"/>
        </w:rPr>
        <w:t xml:space="preserve"> </w:t>
      </w:r>
      <w:r w:rsidRPr="00B804A7">
        <w:t>Handelskammer (DK), Skane (S), Kainuun Etu (Fi), Tarptautinių mokslo ir technologijų plėtros programų agentūra (LT), Business Incubator Grodno (BY),</w:t>
      </w:r>
      <w:r w:rsidRPr="00B804A7">
        <w:rPr>
          <w:rFonts w:ascii="Times New Roman" w:eastAsia="Times New Roman" w:hAnsi="Times New Roman" w:cs="Times New Roman"/>
          <w:sz w:val="24"/>
          <w:szCs w:val="24"/>
          <w:lang w:eastAsia="pl-PL"/>
        </w:rPr>
        <w:t xml:space="preserve"> </w:t>
      </w:r>
      <w:r w:rsidRPr="00B804A7">
        <w:t>Fundacja Inicjatyw Innowacyjnych (PL) act as regional contact points offering consultation and information.</w:t>
      </w:r>
    </w:p>
  </w:footnote>
  <w:footnote w:id="9">
    <w:p w14:paraId="35D04A61" w14:textId="3B861885" w:rsidR="00E53092" w:rsidRPr="00B804A7" w:rsidRDefault="00E53092" w:rsidP="004B7195">
      <w:pPr>
        <w:pStyle w:val="FootnoteText"/>
      </w:pPr>
      <w:r w:rsidRPr="00B804A7">
        <w:rPr>
          <w:rStyle w:val="FootnoteReference"/>
        </w:rPr>
        <w:footnoteRef/>
      </w:r>
      <w:r w:rsidRPr="00B804A7">
        <w:t xml:space="preserve"> </w:t>
      </w:r>
      <w:r w:rsidR="00C65FA2" w:rsidRPr="00B804A7">
        <w:t>Presentation to TEM 20.11.2018, East and North Finland in Industrial Transition.</w:t>
      </w:r>
    </w:p>
  </w:footnote>
  <w:footnote w:id="10">
    <w:p w14:paraId="551F422F" w14:textId="77777777" w:rsidR="00530E47" w:rsidRPr="00B804A7" w:rsidRDefault="00530E47" w:rsidP="004B7195">
      <w:pPr>
        <w:pStyle w:val="FootnoteText"/>
      </w:pPr>
      <w:r w:rsidRPr="00B804A7">
        <w:rPr>
          <w:rStyle w:val="FootnoteReference"/>
        </w:rPr>
        <w:footnoteRef/>
      </w:r>
      <w:r w:rsidRPr="00B804A7">
        <w:t xml:space="preserve"> EUROPEAN COMMISSION (2018). EOCIC - Regional assessment report EastNorth Finland – Final. </w:t>
      </w:r>
    </w:p>
  </w:footnote>
  <w:footnote w:id="11">
    <w:p w14:paraId="09C06E02" w14:textId="7F54FF7B" w:rsidR="00FD222D" w:rsidRPr="00B804A7" w:rsidRDefault="00FD222D" w:rsidP="004B7195">
      <w:pPr>
        <w:pStyle w:val="FootnoteText"/>
      </w:pPr>
      <w:r w:rsidRPr="00B804A7">
        <w:rPr>
          <w:rStyle w:val="FootnoteReference"/>
        </w:rPr>
        <w:footnoteRef/>
      </w:r>
      <w:r w:rsidRPr="00B804A7">
        <w:t xml:space="preserve"> Ibid. Above, pages 18-20.</w:t>
      </w:r>
    </w:p>
  </w:footnote>
  <w:footnote w:id="12">
    <w:p w14:paraId="41C1DE38" w14:textId="280BB11D" w:rsidR="004A29D5" w:rsidRPr="00B804A7" w:rsidRDefault="004A29D5">
      <w:pPr>
        <w:pStyle w:val="FootnoteText"/>
      </w:pPr>
      <w:r w:rsidRPr="00B804A7">
        <w:rPr>
          <w:rStyle w:val="FootnoteReference"/>
        </w:rPr>
        <w:footnoteRef/>
      </w:r>
      <w:r w:rsidRPr="00B804A7">
        <w:t xml:space="preserve"> </w:t>
      </w:r>
      <w:hyperlink r:id="rId13" w:history="1">
        <w:r w:rsidRPr="00B804A7">
          <w:rPr>
            <w:rStyle w:val="Hyperlink"/>
            <w:szCs w:val="40"/>
          </w:rPr>
          <w:t>https://ec.europa.eu/commission/presscorner/detail/en/IP_21_3048</w:t>
        </w:r>
      </w:hyperlink>
      <w:r w:rsidRPr="00B804A7">
        <w:t xml:space="preserve"> .</w:t>
      </w:r>
    </w:p>
  </w:footnote>
  <w:footnote w:id="13">
    <w:p w14:paraId="321FC04D" w14:textId="77777777" w:rsidR="00776C65" w:rsidRPr="00B804A7" w:rsidRDefault="00776C65" w:rsidP="004B7195">
      <w:pPr>
        <w:pStyle w:val="FootnoteText"/>
      </w:pPr>
      <w:r w:rsidRPr="00B804A7">
        <w:rPr>
          <w:rStyle w:val="FootnoteReference"/>
        </w:rPr>
        <w:footnoteRef/>
      </w:r>
      <w:r w:rsidRPr="00B804A7">
        <w:t xml:space="preserve"> </w:t>
      </w:r>
      <w:hyperlink r:id="rId14" w:history="1">
        <w:r w:rsidRPr="00B804A7">
          <w:t>https://s3platform.jrc.ec.europa.eu/berry</w:t>
        </w:r>
      </w:hyperlink>
      <w:r w:rsidRPr="00B804A7">
        <w:t xml:space="preserve">; </w:t>
      </w:r>
      <w:hyperlink r:id="rId15" w:history="1">
        <w:r w:rsidRPr="00B804A7">
          <w:rPr>
            <w:rStyle w:val="Hyperlink"/>
            <w:i/>
            <w:iCs/>
            <w:szCs w:val="16"/>
          </w:rPr>
          <w:t>https://s3platform.jrc.ec.europa.eu/thematic-areas</w:t>
        </w:r>
      </w:hyperlink>
      <w:r w:rsidRPr="00B804A7">
        <w:rPr>
          <w:rStyle w:val="Hyperlink"/>
          <w:i/>
          <w:iCs/>
          <w:szCs w:val="16"/>
        </w:rPr>
        <w:t xml:space="preserve">. </w:t>
      </w:r>
    </w:p>
  </w:footnote>
  <w:footnote w:id="14">
    <w:p w14:paraId="1C92FDCF" w14:textId="77777777" w:rsidR="00776C65" w:rsidRPr="00B804A7" w:rsidRDefault="00776C65" w:rsidP="004B7195">
      <w:pPr>
        <w:pStyle w:val="FootnoteText"/>
      </w:pPr>
      <w:r w:rsidRPr="00B804A7">
        <w:rPr>
          <w:rStyle w:val="FootnoteReference"/>
        </w:rPr>
        <w:footnoteRef/>
      </w:r>
      <w:r w:rsidRPr="00B804A7">
        <w:t xml:space="preserve"> Rabellotti R. (2017). Clusters, Global Value Chains and Innovation Systems: How are they linked? Università di Pavia, Italy, 28th February 2017. https://robertarabellotti.it/wp-content/uploads/2017/03/Lima-UNU-Merit-Rabellotti.pdf  .</w:t>
      </w:r>
    </w:p>
    <w:p w14:paraId="4E1F9F47" w14:textId="77777777" w:rsidR="00776C65" w:rsidRPr="00B804A7" w:rsidRDefault="00776C65" w:rsidP="004B7195">
      <w:pPr>
        <w:pStyle w:val="FootnoteText"/>
      </w:pPr>
      <w:r w:rsidRPr="00B804A7">
        <w:t xml:space="preserve">De Marchi V., Giuliani E., Rabellotti R. (2010). Local innovation and global value chains in developing countries. UNIDO. RESEARCH, STATISTICS AND INDUSTRIAL POLICY BRANCH WORKING PAPER 5/2015.  </w:t>
      </w:r>
    </w:p>
  </w:footnote>
  <w:footnote w:id="15">
    <w:p w14:paraId="384376EB" w14:textId="70DB4C40" w:rsidR="004B7510" w:rsidRPr="00B804A7" w:rsidRDefault="004B7510" w:rsidP="004B7195">
      <w:pPr>
        <w:pStyle w:val="FootnoteText"/>
      </w:pPr>
      <w:r w:rsidRPr="00B804A7">
        <w:rPr>
          <w:rStyle w:val="FootnoteReference"/>
        </w:rPr>
        <w:footnoteRef/>
      </w:r>
      <w:r w:rsidRPr="00B804A7">
        <w:t xml:space="preserve"> Source: the ClusSport application, in which the Regional Council of Kainuu is partner.</w:t>
      </w:r>
    </w:p>
  </w:footnote>
  <w:footnote w:id="16">
    <w:p w14:paraId="76AE5F0F" w14:textId="6D345B47" w:rsidR="0081311A" w:rsidRPr="00B804A7" w:rsidRDefault="0081311A" w:rsidP="004B7195">
      <w:pPr>
        <w:pStyle w:val="FootnoteText"/>
      </w:pPr>
      <w:r w:rsidRPr="00B804A7">
        <w:rPr>
          <w:rStyle w:val="FootnoteReference"/>
        </w:rPr>
        <w:footnoteRef/>
      </w:r>
      <w:r w:rsidRPr="00B804A7">
        <w:t xml:space="preserve"> </w:t>
      </w:r>
      <w:r w:rsidR="001516C6" w:rsidRPr="00B804A7">
        <w:t xml:space="preserve">OECD (2019). </w:t>
      </w:r>
      <w:r w:rsidRPr="00B804A7">
        <w:t xml:space="preserve">OECD Mining Regions and Cities Case Study; OUTOKUMPU and North Karelia, Finland. OECD </w:t>
      </w:r>
      <w:r w:rsidR="001516C6" w:rsidRPr="00B804A7">
        <w:t>Rural Policy Reviews.</w:t>
      </w:r>
    </w:p>
  </w:footnote>
  <w:footnote w:id="17">
    <w:p w14:paraId="6949F75D" w14:textId="310841BF" w:rsidR="00094C22" w:rsidRPr="00B804A7" w:rsidRDefault="00094C22" w:rsidP="004B7195">
      <w:pPr>
        <w:pStyle w:val="FootnoteText"/>
      </w:pPr>
      <w:r w:rsidRPr="00B804A7">
        <w:rPr>
          <w:rStyle w:val="FootnoteReference"/>
        </w:rPr>
        <w:footnoteRef/>
      </w:r>
      <w:r w:rsidRPr="00B804A7">
        <w:t xml:space="preserve"> Source: Mining Industries kick off meeting template and Kainuu contribution to the same event.</w:t>
      </w:r>
    </w:p>
  </w:footnote>
  <w:footnote w:id="18">
    <w:p w14:paraId="478B0E82" w14:textId="68CE7C8E" w:rsidR="00D00F4A" w:rsidRPr="00B804A7" w:rsidRDefault="00D00F4A">
      <w:pPr>
        <w:pStyle w:val="FootnoteText"/>
      </w:pPr>
      <w:r w:rsidRPr="00B804A7">
        <w:rPr>
          <w:rStyle w:val="FootnoteReference"/>
        </w:rPr>
        <w:footnoteRef/>
      </w:r>
      <w:r w:rsidRPr="00B804A7">
        <w:t xml:space="preserve"> Component III of the BERRY+ governance plan. For example, this issue was brought up and agreed at regional level, by one of the BERRY+ partners, Regional Council of Helsinki-Uusimaa, on 28.1.2022, during the RDI gorup meeting of the respective S3. </w:t>
      </w:r>
    </w:p>
  </w:footnote>
  <w:footnote w:id="19">
    <w:p w14:paraId="4977DC90" w14:textId="5A8C0EF2" w:rsidR="00D86705" w:rsidRPr="00B804A7" w:rsidRDefault="00D86705" w:rsidP="004B7195">
      <w:pPr>
        <w:pStyle w:val="FootnoteText"/>
      </w:pPr>
      <w:r w:rsidRPr="00B804A7">
        <w:rPr>
          <w:rStyle w:val="FootnoteReference"/>
        </w:rPr>
        <w:footnoteRef/>
      </w:r>
      <w:r w:rsidRPr="00B804A7">
        <w:t xml:space="preserve"> </w:t>
      </w:r>
      <w:r w:rsidRPr="00B804A7">
        <w:rPr>
          <w:rStyle w:val="FootnoteTextChar"/>
          <w:noProof w:val="0"/>
          <w:szCs w:val="16"/>
        </w:rPr>
        <w:t xml:space="preserve">EUROPEAN UNION, COMMITTEE OF THE REGIONS (2019). Implementing a place-based approach to EU industrial policy strategy. doi:10.2863/713416. Page 16. </w:t>
      </w:r>
    </w:p>
  </w:footnote>
  <w:footnote w:id="20">
    <w:p w14:paraId="19F35C2C" w14:textId="3D000C9D" w:rsidR="003D08CD" w:rsidRPr="00B804A7" w:rsidRDefault="003D08CD" w:rsidP="004B7195">
      <w:pPr>
        <w:pStyle w:val="FootnoteText"/>
      </w:pPr>
      <w:r w:rsidRPr="00B804A7">
        <w:rPr>
          <w:rStyle w:val="FootnoteReference"/>
        </w:rPr>
        <w:footnoteRef/>
      </w:r>
      <w:r w:rsidRPr="00B804A7">
        <w:t xml:space="preserve"> </w:t>
      </w:r>
      <w:r w:rsidR="004B7195" w:rsidRPr="00B804A7">
        <w:t>OECD (2020).</w:t>
      </w:r>
      <w:r w:rsidR="004B7195" w:rsidRPr="00B804A7">
        <w:rPr>
          <w:rStyle w:val="apple-converted-space"/>
          <w:rFonts w:ascii="Roboto" w:hAnsi="Roboto"/>
          <w:i/>
          <w:iCs/>
          <w:color w:val="7F7F7F"/>
          <w:sz w:val="21"/>
          <w:szCs w:val="21"/>
        </w:rPr>
        <w:t> </w:t>
      </w:r>
      <w:r w:rsidR="004B7195" w:rsidRPr="00B804A7">
        <w:t xml:space="preserve">Broad-based Innovation Policy for All Regions and Cities. OECD Regional Development Studies, OECD Publishing, Paris. Chapter 4 Chapter 4 Supporting innovations in all types of regions. </w:t>
      </w:r>
      <w:hyperlink r:id="rId16" w:tgtFrame="_blank" w:history="1">
        <w:r w:rsidR="004B7195" w:rsidRPr="00B804A7">
          <w:rPr>
            <w:rStyle w:val="Hyperlink"/>
            <w:szCs w:val="16"/>
          </w:rPr>
          <w:t>https://doi.org/10.1787/299731d2-en</w:t>
        </w:r>
      </w:hyperlink>
      <w:r w:rsidR="004B7195" w:rsidRPr="00B804A7">
        <w:rPr>
          <w:rStyle w:val="Hyperlink"/>
          <w:szCs w:val="16"/>
        </w:rPr>
        <w:t xml:space="preserve"> . </w:t>
      </w:r>
      <w:hyperlink r:id="rId17" w:anchor="chapter-d1e11888" w:history="1">
        <w:r w:rsidR="004B7195" w:rsidRPr="00B804A7">
          <w:rPr>
            <w:rStyle w:val="Hyperlink"/>
            <w:szCs w:val="40"/>
          </w:rPr>
          <w:t>https://www.oecd-ilibrary.org/sites/2246251c-en/index.html?itemId=/content/component/2246251c-en#chapter-d1e11888</w:t>
        </w:r>
      </w:hyperlink>
      <w:r w:rsidR="004B7195" w:rsidRPr="00B804A7">
        <w:t xml:space="preserve"> . </w:t>
      </w:r>
    </w:p>
  </w:footnote>
  <w:footnote w:id="21">
    <w:p w14:paraId="65826D0E" w14:textId="77777777" w:rsidR="00AC0686" w:rsidRPr="00B804A7" w:rsidRDefault="00AC0686" w:rsidP="004B7195">
      <w:pPr>
        <w:pStyle w:val="FootnoteText"/>
        <w:rPr>
          <w:rStyle w:val="authors"/>
          <w:color w:val="245439"/>
        </w:rPr>
      </w:pPr>
      <w:r w:rsidRPr="00B804A7">
        <w:rPr>
          <w:rStyle w:val="FootnoteReference"/>
        </w:rPr>
        <w:footnoteRef/>
      </w:r>
      <w:r w:rsidRPr="00B804A7">
        <w:t xml:space="preserve"> </w:t>
      </w:r>
      <w:r w:rsidRPr="00B804A7">
        <w:rPr>
          <w:rStyle w:val="authors"/>
          <w:color w:val="245439"/>
        </w:rPr>
        <w:t xml:space="preserve">EUROPEAN UNION, COMMITTEE OF THE REGIONS (2019). Implementing a place-based approach to EU industrial policy strategy. doi:10.2863/713416. </w:t>
      </w:r>
    </w:p>
    <w:p w14:paraId="7DB24F05" w14:textId="53FE1F8B" w:rsidR="00AC0686" w:rsidRPr="00B804A7" w:rsidRDefault="00AC0686" w:rsidP="004B7195">
      <w:pPr>
        <w:pStyle w:val="FootnoteText"/>
      </w:pPr>
      <w:r w:rsidRPr="00B804A7">
        <w:rPr>
          <w:rStyle w:val="authors"/>
          <w:color w:val="245439"/>
        </w:rPr>
        <w:t>Related: Asheim, B. (2012). The changing role of learning regions in the globalizing knowledge economy: A theoretical re-examination, Regional Studies, http://dx.doi.org/10.1080/00343404.2011.60780.  Asheim, B. (1996). “Industrial districts as ’learning regions’: A condition for prosperity”, European Planning Studies, Vol. 4/4, pp. 379-400. Asheim, B. and M. Gertler (2009). The geography of innovation: Regional innovation systems, in The Oxford Handbook of Innovation, Oxford University Pr</w:t>
      </w:r>
      <w:r w:rsidRPr="00B804A7">
        <w:rPr>
          <w:rStyle w:val="authors"/>
        </w:rPr>
        <w:t>ess.</w:t>
      </w:r>
      <w:r w:rsidRPr="00B804A7">
        <w:rPr>
          <w:rFonts w:ascii="ArialMT" w:hAnsi="ArialMT"/>
          <w:szCs w:val="20"/>
        </w:rPr>
        <w:t xml:space="preserve"> </w:t>
      </w:r>
    </w:p>
  </w:footnote>
  <w:footnote w:id="22">
    <w:p w14:paraId="325F23DA" w14:textId="77777777" w:rsidR="00FE484D" w:rsidRPr="00B804A7" w:rsidRDefault="00FE484D" w:rsidP="004B7195">
      <w:pPr>
        <w:pStyle w:val="FootnoteText"/>
      </w:pPr>
      <w:r w:rsidRPr="00B804A7">
        <w:rPr>
          <w:rStyle w:val="FootnoteReference"/>
        </w:rPr>
        <w:footnoteRef/>
      </w:r>
      <w:r w:rsidRPr="00B804A7">
        <w:t xml:space="preserve"> Nicola Bellini, Ulrich Hilpert (editors), (2013). The Impact of Inter-regional Networks; chapter in Europe's Changing Geography. Routledge 21.8.2013. p198-200.</w:t>
      </w:r>
    </w:p>
  </w:footnote>
  <w:footnote w:id="23">
    <w:p w14:paraId="06EF378B" w14:textId="6E32E5C2" w:rsidR="00FE484D" w:rsidRPr="00B804A7" w:rsidRDefault="00FE484D" w:rsidP="004B7195">
      <w:pPr>
        <w:pStyle w:val="FootnoteText"/>
      </w:pPr>
      <w:r w:rsidRPr="00B804A7">
        <w:rPr>
          <w:rStyle w:val="FootnoteReference"/>
        </w:rPr>
        <w:footnoteRef/>
      </w:r>
      <w:r w:rsidRPr="00B804A7">
        <w:t xml:space="preserve"> </w:t>
      </w:r>
      <w:r w:rsidR="00496141" w:rsidRPr="00B804A7">
        <w:t xml:space="preserve">Ibid. above, </w:t>
      </w:r>
      <w:r w:rsidRPr="00B804A7">
        <w:t>p197.</w:t>
      </w:r>
    </w:p>
  </w:footnote>
  <w:footnote w:id="24">
    <w:p w14:paraId="4AE247C2" w14:textId="066F5736" w:rsidR="002526F0" w:rsidRPr="00B804A7" w:rsidRDefault="002526F0" w:rsidP="00B54265">
      <w:pPr>
        <w:spacing w:after="0" w:line="240" w:lineRule="auto"/>
        <w:ind w:left="0" w:right="0"/>
        <w:jc w:val="left"/>
      </w:pPr>
      <w:r w:rsidRPr="00B804A7">
        <w:rPr>
          <w:rStyle w:val="FootnoteReference"/>
        </w:rPr>
        <w:footnoteRef/>
      </w:r>
      <w:r w:rsidRPr="00B804A7">
        <w:t xml:space="preserve"> </w:t>
      </w:r>
      <w:r w:rsidR="00B54265" w:rsidRPr="00B804A7">
        <w:rPr>
          <w:rStyle w:val="FootnoteTextChar"/>
          <w:noProof w:val="0"/>
        </w:rPr>
        <w:t>Regulation (EU) 2021/1058 - formally adopted by the European Union on 24 June 2021 - identifying the specific objectives and scope of support of the </w:t>
      </w:r>
      <w:r w:rsidR="00B54265" w:rsidRPr="00B804A7">
        <w:rPr>
          <w:rStyle w:val="FootnoteTextChar"/>
          <w:rFonts w:eastAsia="HGPMinchoE"/>
          <w:noProof w:val="0"/>
        </w:rPr>
        <w:t>European Regional Development Fund (ERDF) </w:t>
      </w:r>
      <w:r w:rsidR="00B54265" w:rsidRPr="00B804A7">
        <w:rPr>
          <w:rStyle w:val="FootnoteTextChar"/>
          <w:noProof w:val="0"/>
        </w:rPr>
        <w:t>and on the </w:t>
      </w:r>
      <w:r w:rsidR="00B54265" w:rsidRPr="00B804A7">
        <w:rPr>
          <w:rStyle w:val="FootnoteTextChar"/>
          <w:rFonts w:eastAsia="HGPMinchoE"/>
          <w:noProof w:val="0"/>
        </w:rPr>
        <w:t>Cohesion Fund (CF) </w:t>
      </w:r>
      <w:r w:rsidR="00B54265" w:rsidRPr="00B804A7">
        <w:rPr>
          <w:rStyle w:val="FootnoteTextChar"/>
          <w:noProof w:val="0"/>
        </w:rPr>
        <w:t>for the period between 2021 and 2027.</w:t>
      </w:r>
    </w:p>
  </w:footnote>
  <w:footnote w:id="25">
    <w:p w14:paraId="3488C2A4" w14:textId="5AF6031E" w:rsidR="002526F0" w:rsidRPr="00B804A7" w:rsidRDefault="002526F0" w:rsidP="004B7195">
      <w:pPr>
        <w:pStyle w:val="FootnoteText"/>
      </w:pPr>
      <w:r w:rsidRPr="00B804A7">
        <w:rPr>
          <w:rStyle w:val="FootnoteReference"/>
        </w:rPr>
        <w:footnoteRef/>
      </w:r>
      <w:r w:rsidRPr="00B804A7">
        <w:t xml:space="preserve">COUNCIL REGULATION (EC) No 1260/1999 of 21 June 1999laying down general provisions on the Structural Funds, L 161/1. </w:t>
      </w:r>
    </w:p>
  </w:footnote>
  <w:footnote w:id="26">
    <w:p w14:paraId="03401957" w14:textId="16516547" w:rsidR="00CA2D38" w:rsidRPr="00B804A7" w:rsidRDefault="00CA2D38" w:rsidP="004B7195">
      <w:pPr>
        <w:pStyle w:val="FootnoteText"/>
      </w:pPr>
      <w:r w:rsidRPr="00B804A7">
        <w:rPr>
          <w:rStyle w:val="FootnoteReference"/>
        </w:rPr>
        <w:footnoteRef/>
      </w:r>
      <w:r w:rsidRPr="00B804A7">
        <w:t xml:space="preserve"> R</w:t>
      </w:r>
      <w:r w:rsidR="00033EA9" w:rsidRPr="00B804A7">
        <w:t xml:space="preserve">egulation </w:t>
      </w:r>
      <w:r w:rsidRPr="00B804A7">
        <w:t xml:space="preserve">(EC) No 1080/2006 OF THE EUROPEAN PARLIAMENT AND OF THE COUNCIL of 5 July 2006 on the European Regional Development Fund and repealing Regulation (EC) No 1783/1999. </w:t>
      </w:r>
    </w:p>
  </w:footnote>
  <w:footnote w:id="27">
    <w:p w14:paraId="6B9CAE4C" w14:textId="0DBD26EA" w:rsidR="000C3F5F" w:rsidRPr="00B804A7" w:rsidRDefault="000C3F5F" w:rsidP="004B7195">
      <w:pPr>
        <w:pStyle w:val="FootnoteText"/>
      </w:pPr>
      <w:r w:rsidRPr="00B804A7">
        <w:rPr>
          <w:rStyle w:val="FootnoteReference"/>
        </w:rPr>
        <w:footnoteRef/>
      </w:r>
      <w:r w:rsidRPr="00B804A7">
        <w:t xml:space="preserve"> </w:t>
      </w:r>
      <w:r w:rsidR="00E6398E" w:rsidRPr="00B804A7">
        <w:t>Regulation (EU) N°1304/2013 of the EP and of the Council of 17/12/2013- OJ L 347/470 of 20.12.2013.</w:t>
      </w:r>
    </w:p>
  </w:footnote>
  <w:footnote w:id="28">
    <w:p w14:paraId="34CBB8F1" w14:textId="77777777" w:rsidR="000A7877" w:rsidRPr="00B804A7" w:rsidRDefault="000A7877" w:rsidP="004B7195">
      <w:pPr>
        <w:pStyle w:val="FootnoteText"/>
        <w:rPr>
          <w:rFonts w:ascii="Verdana" w:hAnsi="Verdana"/>
          <w:color w:val="auto"/>
          <w:szCs w:val="16"/>
        </w:rPr>
      </w:pPr>
      <w:r w:rsidRPr="00B804A7">
        <w:rPr>
          <w:rStyle w:val="FootnoteReference"/>
        </w:rPr>
        <w:footnoteRef/>
      </w:r>
      <w:r w:rsidRPr="00B804A7">
        <w:t xml:space="preserve"> Regulation (EU) N°1304/2013 of the EP and of the Council of 17/12/2013- OJ L 347/470 of 20.12.2013.</w:t>
      </w:r>
      <w:r w:rsidRPr="00B804A7">
        <w:rPr>
          <w:rFonts w:ascii="Verdana" w:hAnsi="Verdana"/>
          <w:color w:val="auto"/>
          <w:szCs w:val="16"/>
        </w:rPr>
        <w:t xml:space="preserve"> Relevant article:</w:t>
      </w:r>
    </w:p>
    <w:p w14:paraId="0682B325" w14:textId="77777777" w:rsidR="000A7877" w:rsidRPr="00B804A7" w:rsidRDefault="000A7877" w:rsidP="004B7195">
      <w:pPr>
        <w:pStyle w:val="FootnoteText"/>
      </w:pPr>
      <w:r w:rsidRPr="00B804A7">
        <w:t xml:space="preserve">Article 15(1)b(i): Partnership Agreements (PAs) are to contain arrangements, in line with the institutional framework of the Member States that ensure coordination between ESIF and other EU and national funding instruments and with the European Investment Bank (EIB). </w:t>
      </w:r>
    </w:p>
    <w:p w14:paraId="5F1F51C1" w14:textId="77777777" w:rsidR="000A7877" w:rsidRPr="00B804A7" w:rsidRDefault="000A7877" w:rsidP="004B7195">
      <w:pPr>
        <w:pStyle w:val="FootnoteText"/>
      </w:pPr>
      <w:r w:rsidRPr="00B804A7">
        <w:t xml:space="preserve">Article 65(11) provides for a possibility of cumulating grants from different EU funding instruments (or from one or more ESI Fund through one or more programmes and other Union instruments) for the same beneficiary or the same project, provided that the same expenditure/cost item does not receive support also from another EU fund (from the same Fund under different programmes, from another Fund or from other Union instruments). </w:t>
      </w:r>
    </w:p>
    <w:p w14:paraId="4F90459C" w14:textId="77777777" w:rsidR="000A7877" w:rsidRPr="00B804A7" w:rsidRDefault="000A7877" w:rsidP="004B7195">
      <w:pPr>
        <w:pStyle w:val="FootnoteText"/>
      </w:pPr>
      <w:r w:rsidRPr="00B804A7">
        <w:t xml:space="preserve">Article 67(5)b and 68(1)c allows for an alignment of cost models (scales of unit costs, lump sums and flat rates) for corresponding costs and similar types of operations and beneficiaries in Horizon 2020 and other EU programmes. </w:t>
      </w:r>
    </w:p>
    <w:p w14:paraId="6CCB4C1C" w14:textId="77777777" w:rsidR="000A7877" w:rsidRPr="00B804A7" w:rsidRDefault="000A7877" w:rsidP="004B7195">
      <w:pPr>
        <w:pStyle w:val="FootnoteText"/>
      </w:pPr>
      <w:r w:rsidRPr="00B804A7">
        <w:t xml:space="preserve">Article 70(2) stipulates a possibility of up to 15% of the support from the ERDF, Cohesion Fund and EMFF at the level of the priority (up to 5% of the support from the EAFRD at the level of the programme), and up to 3% of the budget of a ESF operational programme (Article 13(3) ESF) to be allocated to operations located outside the programme area. </w:t>
      </w:r>
    </w:p>
  </w:footnote>
  <w:footnote w:id="29">
    <w:p w14:paraId="4E33B13A" w14:textId="77777777" w:rsidR="000A7877" w:rsidRPr="00B804A7" w:rsidRDefault="000A7877" w:rsidP="004B7195">
      <w:pPr>
        <w:pStyle w:val="FootnoteText"/>
      </w:pPr>
      <w:r w:rsidRPr="00B804A7">
        <w:rPr>
          <w:rStyle w:val="FootnoteReference"/>
        </w:rPr>
        <w:footnoteRef/>
      </w:r>
      <w:r w:rsidRPr="00B804A7">
        <w:t xml:space="preserve"> </w:t>
      </w:r>
      <w:hyperlink r:id="rId18" w:history="1">
        <w:r w:rsidRPr="00B804A7">
          <w:rPr>
            <w:rStyle w:val="Hyperlink"/>
          </w:rPr>
          <w:t>http://ec.europa.eu/regional_policy/cooperate/cooperation/index_en.cfm</w:t>
        </w:r>
      </w:hyperlink>
      <w:r w:rsidRPr="00B804A7">
        <w:t xml:space="preserve">, in: </w:t>
      </w:r>
      <w:r w:rsidRPr="00B804A7">
        <w:rPr>
          <w:rFonts w:cstheme="minorBidi"/>
          <w:color w:val="222D4F"/>
          <w:lang w:eastAsia="zh-CN"/>
        </w:rPr>
        <w:t xml:space="preserve">Enabling synergies between European Structural and Investment Funds, Horizon 2020 and other research, innovation and competitiveness-related Union programme. </w:t>
      </w:r>
    </w:p>
  </w:footnote>
  <w:footnote w:id="30">
    <w:p w14:paraId="3022DD01" w14:textId="77777777" w:rsidR="000A7877" w:rsidRPr="00B804A7" w:rsidRDefault="000A7877" w:rsidP="004B7195">
      <w:pPr>
        <w:pStyle w:val="FootnoteText"/>
      </w:pPr>
      <w:r w:rsidRPr="00B804A7">
        <w:rPr>
          <w:rStyle w:val="FootnoteReference"/>
        </w:rPr>
        <w:footnoteRef/>
      </w:r>
      <w:r w:rsidRPr="00B804A7">
        <w:t xml:space="preserve"> </w:t>
      </w:r>
      <w:hyperlink r:id="rId19" w:history="1">
        <w:r w:rsidRPr="00B804A7">
          <w:rPr>
            <w:rStyle w:val="Hyperlink"/>
            <w:szCs w:val="16"/>
          </w:rPr>
          <w:t>http://ec.europa.eu/regional_policy/cooperate/macro_region_strategy/index_en.cfm</w:t>
        </w:r>
      </w:hyperlink>
      <w:r w:rsidRPr="00B804A7">
        <w:rPr>
          <w:rFonts w:cstheme="minorBidi"/>
          <w:color w:val="222D4F"/>
          <w:szCs w:val="20"/>
          <w:lang w:eastAsia="zh-CN"/>
        </w:rPr>
        <w:t xml:space="preserve">, in: Enabling synergies between European Structural and Investment Funds, Horizon 2020 and other research, innovation and competitiveness-related Union programme. </w:t>
      </w:r>
      <w:r w:rsidRPr="00B804A7">
        <w:rPr>
          <w:color w:val="0000FF"/>
          <w:szCs w:val="16"/>
        </w:rPr>
        <w:t xml:space="preserve">  </w:t>
      </w:r>
    </w:p>
  </w:footnote>
  <w:footnote w:id="31">
    <w:p w14:paraId="392F5209" w14:textId="02D2B740" w:rsidR="0012661C" w:rsidRPr="00B804A7" w:rsidRDefault="0012661C" w:rsidP="004B7195">
      <w:pPr>
        <w:pStyle w:val="FootnoteText"/>
      </w:pPr>
      <w:r w:rsidRPr="00B804A7">
        <w:rPr>
          <w:rStyle w:val="FootnoteReference"/>
        </w:rPr>
        <w:footnoteRef/>
      </w:r>
      <w:r w:rsidR="00A05FFA" w:rsidRPr="00B804A7">
        <w:t xml:space="preserve">       </w:t>
      </w:r>
      <w:r w:rsidRPr="00B804A7">
        <w:t xml:space="preserve"> </w:t>
      </w:r>
      <w:hyperlink r:id="rId20" w:history="1">
        <w:r w:rsidRPr="00B804A7">
          <w:rPr>
            <w:rStyle w:val="Hyperlink"/>
          </w:rPr>
          <w:t>https://ec.europa.eu/regional_policy/en/policy/how/priorities/2014-2020/</w:t>
        </w:r>
      </w:hyperlink>
      <w:r w:rsidRPr="00B804A7">
        <w:t xml:space="preserve"> </w:t>
      </w:r>
    </w:p>
  </w:footnote>
  <w:footnote w:id="32">
    <w:p w14:paraId="10123A9D" w14:textId="77777777" w:rsidR="0012661C" w:rsidRPr="00B804A7" w:rsidRDefault="0012661C" w:rsidP="004B7195">
      <w:pPr>
        <w:pStyle w:val="FootnoteText"/>
      </w:pPr>
      <w:r w:rsidRPr="00B804A7">
        <w:rPr>
          <w:rStyle w:val="FootnoteReference"/>
        </w:rPr>
        <w:footnoteRef/>
      </w:r>
      <w:r w:rsidRPr="00B804A7">
        <w:t xml:space="preserve"> </w:t>
      </w:r>
      <w:hyperlink r:id="rId21" w:history="1">
        <w:r w:rsidRPr="00B804A7">
          <w:rPr>
            <w:rStyle w:val="Hyperlink"/>
          </w:rPr>
          <w:t>https://gosmartbsr.eu/news-posts/towards-s4-and-interregional-innovation-investments-in-the-baltic-sea-region/</w:t>
        </w:r>
      </w:hyperlink>
      <w:r w:rsidRPr="00B804A7">
        <w:t xml:space="preserve"> . </w:t>
      </w:r>
      <w:hyperlink r:id="rId22" w:history="1">
        <w:r w:rsidRPr="00B804A7">
          <w:rPr>
            <w:rStyle w:val="Hyperlink"/>
          </w:rPr>
          <w:t>https://www.alpine-space.eu/_directuploads/news/pinna_s3-and-interregional-innovation-investment_2021_eusalp.pdf</w:t>
        </w:r>
      </w:hyperlink>
      <w:r w:rsidRPr="00B804A7">
        <w:t xml:space="preserve"> </w:t>
      </w:r>
    </w:p>
  </w:footnote>
  <w:footnote w:id="33">
    <w:p w14:paraId="265F4672" w14:textId="77777777" w:rsidR="0012661C" w:rsidRPr="00B804A7" w:rsidRDefault="0012661C" w:rsidP="004B7195">
      <w:pPr>
        <w:pStyle w:val="FootnoteText"/>
      </w:pPr>
      <w:r w:rsidRPr="00B804A7">
        <w:rPr>
          <w:rStyle w:val="FootnoteReference"/>
        </w:rPr>
        <w:footnoteRef/>
      </w:r>
      <w:r w:rsidRPr="00B804A7">
        <w:t xml:space="preserve"> </w:t>
      </w:r>
      <w:hyperlink r:id="rId23" w:history="1">
        <w:r w:rsidRPr="00B804A7">
          <w:rPr>
            <w:rStyle w:val="Hyperlink"/>
          </w:rPr>
          <w:t>https://www.bsssc.com/3rdcp</w:t>
        </w:r>
      </w:hyperlink>
      <w:r w:rsidRPr="00B804A7">
        <w:t xml:space="preserve"> .</w:t>
      </w:r>
    </w:p>
  </w:footnote>
  <w:footnote w:id="34">
    <w:p w14:paraId="301E39BD" w14:textId="77777777" w:rsidR="0012661C" w:rsidRPr="00B804A7" w:rsidRDefault="0012661C" w:rsidP="004B7195">
      <w:pPr>
        <w:pStyle w:val="FootnoteText"/>
      </w:pPr>
      <w:r w:rsidRPr="00B804A7">
        <w:rPr>
          <w:rStyle w:val="FootnoteReference"/>
        </w:rPr>
        <w:footnoteRef/>
      </w:r>
      <w:r w:rsidRPr="00B804A7">
        <w:t xml:space="preserve"> EC, PILOT ACTION ON INTERREGIONAL INNOVATION CALL FOR EXPRESSION OF INTEREST FOR COVID -19 RESPONSE AND RECOVERY PARTNERSHIPS, </w:t>
      </w:r>
      <w:hyperlink r:id="rId24" w:history="1">
        <w:r w:rsidRPr="00B804A7">
          <w:rPr>
            <w:rStyle w:val="Hyperlink"/>
          </w:rPr>
          <w:t>https://ec.europa.eu/regional_policy/sources/tender/pdf/interregional_innovation/call.pdf</w:t>
        </w:r>
      </w:hyperlink>
      <w:r w:rsidRPr="00B804A7">
        <w:rPr>
          <w:rStyle w:val="Hyperlink"/>
        </w:rPr>
        <w:t xml:space="preserve"> .</w:t>
      </w:r>
    </w:p>
  </w:footnote>
  <w:footnote w:id="35">
    <w:p w14:paraId="1299D597" w14:textId="77777777" w:rsidR="0012661C" w:rsidRPr="00B804A7" w:rsidRDefault="0012661C" w:rsidP="004B7195">
      <w:pPr>
        <w:pStyle w:val="FootnoteText"/>
      </w:pPr>
      <w:r w:rsidRPr="00B804A7">
        <w:rPr>
          <w:rStyle w:val="FootnoteReference"/>
        </w:rPr>
        <w:footnoteRef/>
      </w:r>
      <w:r w:rsidRPr="00B804A7">
        <w:t xml:space="preserve"> European Commission (2020). EU support for regional development in 2021-2027. </w:t>
      </w:r>
      <w:hyperlink r:id="rId25" w:history="1">
        <w:r w:rsidRPr="00B804A7">
          <w:rPr>
            <w:rStyle w:val="Hyperlink"/>
          </w:rPr>
          <w:t>https://tem.fi/documents/1410877/10387910/Romanska+MFF+and+cohesion+policy+post+2020.pdf/2b77997e-42a9-41a0-92f5-b32f5140975e/Romanska+MFF+and+cohesion+policy+post+2020.pdf.pdf</w:t>
        </w:r>
      </w:hyperlink>
      <w:r w:rsidRPr="00B804A7">
        <w:t xml:space="preserve"> </w:t>
      </w:r>
    </w:p>
  </w:footnote>
  <w:footnote w:id="36">
    <w:p w14:paraId="6CBBF2E8" w14:textId="1913AC25" w:rsidR="006115D7" w:rsidRPr="00B804A7" w:rsidRDefault="006115D7" w:rsidP="004B7195">
      <w:pPr>
        <w:pStyle w:val="FootnoteText"/>
      </w:pPr>
      <w:r w:rsidRPr="00B804A7">
        <w:rPr>
          <w:rStyle w:val="FootnoteReference"/>
        </w:rPr>
        <w:footnoteRef/>
      </w:r>
      <w:r w:rsidRPr="00B804A7">
        <w:t xml:space="preserve"> COMMUNICATION FROM THE COMMISSION TO THE EUROPEAN PARLIAMENT, THE EUROPEAN COUNCIL, THE COUNCIL, THE EUROPEAN ECONOMIC AND SOCIAL COMMITTEE AND THE COMMITTEE OF THE REGIONS </w:t>
      </w:r>
      <w:r w:rsidRPr="00B804A7">
        <w:rPr>
          <w:color w:val="1A5441"/>
        </w:rPr>
        <w:t>A New Industrial Strategy for Europe</w:t>
      </w:r>
      <w:r w:rsidRPr="00B804A7">
        <w:t xml:space="preserve">. </w:t>
      </w:r>
      <w:r w:rsidRPr="00B804A7">
        <w:rPr>
          <w:color w:val="1A5441"/>
        </w:rPr>
        <w:t>COM(2020) 102 final</w:t>
      </w:r>
      <w:r w:rsidR="000C7C9B" w:rsidRPr="00B804A7">
        <w:t xml:space="preserve">. </w:t>
      </w:r>
      <w:r w:rsidRPr="00B804A7">
        <w:rPr>
          <w:color w:val="1A5441"/>
        </w:rPr>
        <w:t>Brussels, 10.3.2020</w:t>
      </w:r>
      <w:r w:rsidR="000C7C9B" w:rsidRPr="00B804A7">
        <w:t xml:space="preserve">. </w:t>
      </w:r>
    </w:p>
  </w:footnote>
  <w:footnote w:id="37">
    <w:p w14:paraId="66763196" w14:textId="77777777" w:rsidR="00C23C0C" w:rsidRPr="00B804A7" w:rsidRDefault="00C23C0C" w:rsidP="004B7195">
      <w:pPr>
        <w:pStyle w:val="FootnoteText"/>
      </w:pPr>
      <w:r w:rsidRPr="00B804A7">
        <w:rPr>
          <w:rStyle w:val="FootnoteReference"/>
        </w:rPr>
        <w:footnoteRef/>
      </w:r>
      <w:r w:rsidRPr="00B804A7">
        <w:t xml:space="preserve"> Ron Boschma (2017). Relatedness as driver of regional diversification: a research agenda. Regional Studies 2017, vol. 51, issue 3, 351-364. DOI: </w:t>
      </w:r>
      <w:hyperlink r:id="rId26" w:history="1">
        <w:r w:rsidRPr="00B804A7">
          <w:t>10.1080/00343404.2016.1254767</w:t>
        </w:r>
      </w:hyperlink>
      <w:r w:rsidRPr="00B804A7">
        <w:t xml:space="preserve"> . </w:t>
      </w:r>
    </w:p>
  </w:footnote>
  <w:footnote w:id="38">
    <w:p w14:paraId="5F593DBA" w14:textId="77777777" w:rsidR="00C23C0C" w:rsidRPr="00B804A7" w:rsidRDefault="00C23C0C" w:rsidP="004B7195">
      <w:pPr>
        <w:pStyle w:val="FootnoteText"/>
      </w:pPr>
      <w:r w:rsidRPr="00B804A7">
        <w:rPr>
          <w:rStyle w:val="FootnoteReference"/>
        </w:rPr>
        <w:footnoteRef/>
      </w:r>
      <w:r w:rsidRPr="00B804A7">
        <w:t xml:space="preserve"> Adam Whittle (2020) Operationalizing the knowledge space: theory, methods and insights for Smart Specialisation, Regional Studies, Regional Science, 7:1, 27-34, DOI: </w:t>
      </w:r>
      <w:hyperlink r:id="rId27" w:history="1">
        <w:r w:rsidRPr="00B804A7">
          <w:t>10.1080/21681376.2019.1703795</w:t>
        </w:r>
      </w:hyperlink>
      <w:r w:rsidRPr="00B804A7">
        <w:t xml:space="preserve">. </w:t>
      </w:r>
    </w:p>
  </w:footnote>
  <w:footnote w:id="39">
    <w:p w14:paraId="7DA1FA88" w14:textId="77777777" w:rsidR="00C23C0C" w:rsidRPr="00B804A7" w:rsidRDefault="00C23C0C" w:rsidP="004B7195">
      <w:pPr>
        <w:pStyle w:val="FootnoteText"/>
      </w:pPr>
      <w:r w:rsidRPr="00B804A7">
        <w:rPr>
          <w:rStyle w:val="FootnoteReference"/>
        </w:rPr>
        <w:footnoteRef/>
      </w:r>
      <w:r w:rsidRPr="00B804A7">
        <w:t xml:space="preserve"> Trippl M., Grillitsch A., Isaksen (2018). Exogenous sources of regional industrial change: Attraction and absorption of non-local knowledge for new path development. Progress in human geography 42 (5), 687-705. </w:t>
      </w:r>
    </w:p>
  </w:footnote>
  <w:footnote w:id="40">
    <w:p w14:paraId="0044C0E9" w14:textId="0F0575B9" w:rsidR="00080DF7" w:rsidRPr="00B804A7" w:rsidRDefault="00080DF7" w:rsidP="004B7195">
      <w:pPr>
        <w:pStyle w:val="FootnoteText"/>
      </w:pPr>
      <w:r w:rsidRPr="00B804A7">
        <w:rPr>
          <w:rStyle w:val="FootnoteReference"/>
        </w:rPr>
        <w:footnoteRef/>
      </w:r>
      <w:r w:rsidRPr="00B804A7">
        <w:t xml:space="preserve"> Increasing economies of scope (</w:t>
      </w:r>
      <w:hyperlink r:id="rId28" w:history="1">
        <w:r w:rsidRPr="00B804A7">
          <w:rPr>
            <w:rStyle w:val="Hyperlink"/>
            <w:szCs w:val="24"/>
          </w:rPr>
          <w:t>https://www.investopedia.com/ask/answers/042215/what-difference-between-economies-scope-and-economies-scale.asp</w:t>
        </w:r>
      </w:hyperlink>
      <w:r w:rsidRPr="00B804A7">
        <w:t xml:space="preserve">).The theory of an economy of scope states that the average total cost of a company's production decreases when there is an increasing variety of goods produced. </w:t>
      </w:r>
      <w:r w:rsidRPr="00B804A7">
        <w:rPr>
          <w:i/>
          <w:iCs/>
          <w:color w:val="388256" w:themeColor="accent3" w:themeShade="BF"/>
        </w:rPr>
        <w:t>Economies of scope give a cost advantage to a company when it makes a complementary range of products while focusing on its core competencies</w:t>
      </w:r>
      <w:r w:rsidRPr="00B804A7">
        <w:rPr>
          <w:i/>
          <w:iCs/>
        </w:rPr>
        <w:t>.</w:t>
      </w:r>
      <w:r w:rsidRPr="00B804A7">
        <w:t xml:space="preserve"> Considered cumulatively, i.e. aggregate of economies of scope at regional level, leads to the related variety, technological relatedness, proximities theories. It also leads to reinforcing </w:t>
      </w:r>
      <w:r w:rsidRPr="00B804A7">
        <w:rPr>
          <w:i/>
          <w:iCs/>
        </w:rPr>
        <w:t>product space, a</w:t>
      </w:r>
      <w:r w:rsidRPr="00B804A7">
        <w:t xml:space="preserve"> concept introduced by Hidalgo in 2007. Real-world examples of economies of scope can be seen in mergers and acquisitions (M&amp;A), newly discovered uses of resource by-products, and when two producers agree to share the same factors of production.</w:t>
      </w:r>
      <w:r w:rsidR="006A4BB0" w:rsidRPr="00B804A7">
        <w:t xml:space="preserve"> </w:t>
      </w:r>
    </w:p>
  </w:footnote>
  <w:footnote w:id="41">
    <w:p w14:paraId="41FF7399" w14:textId="6EC85C10" w:rsidR="006A4BB0" w:rsidRPr="00B804A7" w:rsidRDefault="006A4BB0" w:rsidP="004B7195">
      <w:pPr>
        <w:pStyle w:val="FootnoteText"/>
      </w:pPr>
      <w:r w:rsidRPr="00B804A7">
        <w:rPr>
          <w:rStyle w:val="FootnoteReference"/>
        </w:rPr>
        <w:footnoteRef/>
      </w:r>
      <w:r w:rsidRPr="00B804A7">
        <w:t xml:space="preserve"> An economy of scale (</w:t>
      </w:r>
      <w:hyperlink r:id="rId29" w:history="1">
        <w:r w:rsidRPr="00B804A7">
          <w:rPr>
            <w:rStyle w:val="Hyperlink"/>
            <w:szCs w:val="24"/>
          </w:rPr>
          <w:t>https://www.investopedia.com/ask/answers/042215/what-difference-between-economies-scope-and-economies-scale.asp</w:t>
        </w:r>
      </w:hyperlink>
      <w:r w:rsidRPr="00B804A7">
        <w:t xml:space="preserve">), </w:t>
      </w:r>
      <w:r w:rsidRPr="00B804A7">
        <w:rPr>
          <w:i/>
          <w:iCs/>
        </w:rPr>
        <w:t>is the cost advantage a company has with the increased output of a good or service, when production becomes more efficient.</w:t>
      </w:r>
      <w:r w:rsidRPr="00B804A7">
        <w:t xml:space="preserve"> In general, companies can achieve economies of scale by increasing production and lowering costs (decreasing marginal cost of production). This happens because costs are spread over a larger number of goods.</w:t>
      </w:r>
    </w:p>
  </w:footnote>
  <w:footnote w:id="42">
    <w:p w14:paraId="7CB4797B" w14:textId="041833C3" w:rsidR="00831433" w:rsidRPr="00B804A7" w:rsidRDefault="00536203" w:rsidP="004B7195">
      <w:pPr>
        <w:pStyle w:val="FootnoteText"/>
        <w:rPr>
          <w:rStyle w:val="FootnoteTextChar"/>
          <w:noProof w:val="0"/>
          <w:lang w:eastAsia="en-GB"/>
        </w:rPr>
      </w:pPr>
      <w:r w:rsidRPr="00B804A7">
        <w:rPr>
          <w:rStyle w:val="FootnoteTextChar"/>
          <w:b/>
          <w:noProof w:val="0"/>
          <w:color w:val="FF0000"/>
          <w:vertAlign w:val="superscript"/>
          <w:lang w:eastAsia="en-GB"/>
        </w:rPr>
        <w:footnoteRef/>
      </w:r>
      <w:r w:rsidR="00831433" w:rsidRPr="00B804A7">
        <w:rPr>
          <w:rStyle w:val="FootnoteTextChar"/>
          <w:noProof w:val="0"/>
          <w:lang w:eastAsia="en-GB"/>
        </w:rPr>
        <w:t xml:space="preserve">https://eur-lex.europa.eu/legal-content/EN/TXT/? qid=1593086905382&amp;uri=CELEX%3A52020DC0102 </w:t>
      </w:r>
    </w:p>
    <w:p w14:paraId="486A5E5A" w14:textId="4A3FBD2E" w:rsidR="00536203" w:rsidRPr="00B804A7" w:rsidRDefault="00536203" w:rsidP="004B7195">
      <w:pPr>
        <w:pStyle w:val="FootnoteText"/>
        <w:rPr>
          <w:rStyle w:val="FootnoteTextChar"/>
          <w:b/>
          <w:noProof w:val="0"/>
          <w:color w:val="FF0000"/>
          <w:vertAlign w:val="superscript"/>
          <w:lang w:eastAsia="en-GB"/>
        </w:rPr>
      </w:pPr>
      <w:r w:rsidRPr="00B804A7">
        <w:rPr>
          <w:rStyle w:val="FootnoteTextChar"/>
          <w:noProof w:val="0"/>
          <w:lang w:eastAsia="en-GB"/>
        </w:rPr>
        <w:t>https://ec.europa.eu/info/strategy/priorities-2019-2024/europe-fit-...an-industrial-strategy_en#strengthening-eus-open-strategic-autonomy Page 4 of 11</w:t>
      </w:r>
      <w:r w:rsidR="00831433" w:rsidRPr="00B804A7">
        <w:rPr>
          <w:rStyle w:val="FootnoteTextChar"/>
          <w:noProof w:val="0"/>
          <w:lang w:eastAsia="en-GB"/>
        </w:rPr>
        <w:t xml:space="preserve">. </w:t>
      </w:r>
    </w:p>
  </w:footnote>
  <w:footnote w:id="43">
    <w:p w14:paraId="38068143" w14:textId="5D81D57D" w:rsidR="00D00B0C" w:rsidRPr="00B804A7" w:rsidRDefault="00D00B0C" w:rsidP="004B7195">
      <w:pPr>
        <w:pStyle w:val="FootnoteText"/>
      </w:pPr>
      <w:r w:rsidRPr="00B804A7">
        <w:rPr>
          <w:rStyle w:val="FootnoteReference"/>
        </w:rPr>
        <w:footnoteRef/>
      </w:r>
      <w:r w:rsidRPr="00B804A7">
        <w:t xml:space="preserve"> Balland &amp; Boschma 2019 tested this methodology in the hydrogen sector</w:t>
      </w:r>
      <w:r w:rsidR="002C1AD7" w:rsidRPr="00B804A7">
        <w:t xml:space="preserve"> across 219 EU regions. </w:t>
      </w:r>
    </w:p>
  </w:footnote>
  <w:footnote w:id="44">
    <w:p w14:paraId="34956FB9" w14:textId="6ED90937" w:rsidR="00393431" w:rsidRPr="00B804A7" w:rsidRDefault="00C87F5A" w:rsidP="004B7195">
      <w:pPr>
        <w:pStyle w:val="FootnoteText"/>
      </w:pPr>
      <w:r w:rsidRPr="00B804A7">
        <w:rPr>
          <w:rStyle w:val="FootnoteReference"/>
        </w:rPr>
        <w:footnoteRef/>
      </w:r>
      <w:r w:rsidRPr="00B804A7">
        <w:t xml:space="preserve"> BERRY+ </w:t>
      </w:r>
      <w:r w:rsidR="00393431" w:rsidRPr="00B804A7">
        <w:t>working document</w:t>
      </w:r>
      <w:r w:rsidR="00860DCB" w:rsidRPr="00B804A7">
        <w:t xml:space="preserve"> ”</w:t>
      </w:r>
      <w:r w:rsidR="00393431" w:rsidRPr="00B804A7">
        <w:t>National funding options supporting interregional collaboration; network &amp; innovation intermediary targeted EU calls</w:t>
      </w:r>
      <w:r w:rsidR="00860DCB" w:rsidRPr="00B804A7">
        <w:t>” (2021)</w:t>
      </w:r>
      <w:r w:rsidR="00393431" w:rsidRPr="00B804A7">
        <w:t>.</w:t>
      </w:r>
      <w:r w:rsidR="00860DCB" w:rsidRPr="00B804A7">
        <w:t xml:space="preserve"> Joint work by Finland (Business Finland), Greece (General Secretariat for Research &amp; Innovation), Poland. </w:t>
      </w:r>
      <w:r w:rsidR="004D200B" w:rsidRPr="00B804A7">
        <w:t>The document is evolving as national arrangements are modified.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300" w:type="pct"/>
      <w:tblInd w:w="-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3994"/>
      <w:gridCol w:w="1114"/>
    </w:tblGrid>
    <w:tr w:rsidR="00FD0CD4" w:rsidRPr="003006CF" w14:paraId="65EB7DF0" w14:textId="77777777" w:rsidTr="006D420F">
      <w:tc>
        <w:tcPr>
          <w:tcW w:w="2391" w:type="pct"/>
        </w:tcPr>
        <w:p w14:paraId="578F56EB" w14:textId="08EE0504" w:rsidR="003006CF" w:rsidRPr="003006CF" w:rsidRDefault="003006CF" w:rsidP="006D420F">
          <w:pPr>
            <w:pStyle w:val="Header"/>
            <w:tabs>
              <w:tab w:val="left" w:pos="5216"/>
              <w:tab w:val="left" w:pos="9639"/>
            </w:tabs>
            <w:spacing w:after="0" w:line="240" w:lineRule="auto"/>
            <w:ind w:left="0" w:right="33"/>
            <w:rPr>
              <w:rStyle w:val="Hyperlink"/>
              <w:rFonts w:cs="Tahoma"/>
              <w:color w:val="7F7F7F" w:themeColor="text1" w:themeTint="80"/>
              <w:szCs w:val="16"/>
            </w:rPr>
          </w:pPr>
          <w:r w:rsidRPr="003006CF">
            <w:rPr>
              <w:rFonts w:cs="Tahoma"/>
              <w:color w:val="9D360E" w:themeColor="text2"/>
              <w:sz w:val="16"/>
              <w:szCs w:val="16"/>
            </w:rPr>
            <w:t xml:space="preserve">S3 BERRY+ industrial modernisation partnership                                                                    </w:t>
          </w:r>
        </w:p>
      </w:tc>
      <w:tc>
        <w:tcPr>
          <w:tcW w:w="2040" w:type="pct"/>
        </w:tcPr>
        <w:p w14:paraId="310666BD" w14:textId="79E72750" w:rsidR="003006CF" w:rsidRPr="003006CF" w:rsidRDefault="003006CF" w:rsidP="006D420F">
          <w:pPr>
            <w:pStyle w:val="Header"/>
            <w:tabs>
              <w:tab w:val="left" w:pos="5216"/>
              <w:tab w:val="left" w:pos="9639"/>
            </w:tabs>
            <w:spacing w:after="0" w:line="240" w:lineRule="auto"/>
            <w:ind w:left="40" w:right="0"/>
            <w:rPr>
              <w:rStyle w:val="Hyperlink"/>
              <w:rFonts w:cs="Tahoma"/>
              <w:color w:val="7F7F7F" w:themeColor="text1" w:themeTint="80"/>
              <w:szCs w:val="16"/>
            </w:rPr>
          </w:pPr>
          <w:r w:rsidRPr="003006CF">
            <w:rPr>
              <w:rFonts w:cs="Tahoma"/>
              <w:color w:val="FFC000"/>
              <w:sz w:val="16"/>
              <w:szCs w:val="16"/>
            </w:rPr>
            <w:t>PGI 00040 BRIDGES</w:t>
          </w:r>
          <w:r w:rsidRPr="003006CF">
            <w:rPr>
              <w:rFonts w:cs="Tahoma"/>
              <w:sz w:val="16"/>
              <w:szCs w:val="16"/>
            </w:rPr>
            <w:t xml:space="preserve">                                                                                                               </w:t>
          </w:r>
        </w:p>
      </w:tc>
      <w:tc>
        <w:tcPr>
          <w:tcW w:w="569" w:type="pct"/>
        </w:tcPr>
        <w:p w14:paraId="5DA033AE" w14:textId="3E27AE1C" w:rsidR="003006CF" w:rsidRPr="006D420F" w:rsidRDefault="003006CF" w:rsidP="006D420F">
          <w:pPr>
            <w:pStyle w:val="Header"/>
            <w:tabs>
              <w:tab w:val="left" w:pos="5216"/>
              <w:tab w:val="left" w:pos="9639"/>
            </w:tabs>
            <w:spacing w:after="0" w:line="240" w:lineRule="auto"/>
            <w:ind w:left="0" w:right="33"/>
            <w:rPr>
              <w:color w:val="9D360E" w:themeColor="text2"/>
            </w:rPr>
          </w:pPr>
          <w:r w:rsidRPr="003006CF">
            <w:rPr>
              <w:rFonts w:cs="Tahoma"/>
              <w:color w:val="9D360E" w:themeColor="text2"/>
              <w:sz w:val="16"/>
              <w:szCs w:val="16"/>
            </w:rPr>
            <w:fldChar w:fldCharType="begin"/>
          </w:r>
          <w:r w:rsidRPr="003006CF">
            <w:rPr>
              <w:rFonts w:cs="Tahoma"/>
              <w:color w:val="9D360E" w:themeColor="text2"/>
              <w:sz w:val="16"/>
              <w:szCs w:val="16"/>
            </w:rPr>
            <w:instrText xml:space="preserve"> PAGE   \* MERGEFORMAT </w:instrText>
          </w:r>
          <w:r w:rsidRPr="003006CF">
            <w:rPr>
              <w:rFonts w:cs="Tahoma"/>
              <w:color w:val="9D360E" w:themeColor="text2"/>
              <w:sz w:val="16"/>
              <w:szCs w:val="16"/>
            </w:rPr>
            <w:fldChar w:fldCharType="separate"/>
          </w:r>
          <w:r w:rsidRPr="003006CF">
            <w:rPr>
              <w:rFonts w:cs="Tahoma"/>
              <w:color w:val="9D360E" w:themeColor="text2"/>
              <w:sz w:val="16"/>
              <w:szCs w:val="16"/>
            </w:rPr>
            <w:t>1</w:t>
          </w:r>
          <w:r w:rsidRPr="003006CF">
            <w:rPr>
              <w:rFonts w:cs="Tahoma"/>
              <w:color w:val="9D360E" w:themeColor="text2"/>
              <w:sz w:val="16"/>
              <w:szCs w:val="16"/>
            </w:rPr>
            <w:fldChar w:fldCharType="end"/>
          </w:r>
          <w:r w:rsidRPr="003006CF">
            <w:rPr>
              <w:rFonts w:cs="Tahoma"/>
              <w:color w:val="9D360E" w:themeColor="text2"/>
              <w:sz w:val="16"/>
              <w:szCs w:val="16"/>
            </w:rPr>
            <w:t xml:space="preserve"> (</w:t>
          </w:r>
          <w:r w:rsidRPr="003006CF">
            <w:rPr>
              <w:rFonts w:cs="Tahoma"/>
              <w:color w:val="9D360E" w:themeColor="text2"/>
              <w:sz w:val="16"/>
              <w:szCs w:val="16"/>
            </w:rPr>
            <w:fldChar w:fldCharType="begin"/>
          </w:r>
          <w:r w:rsidRPr="006D420F">
            <w:rPr>
              <w:rFonts w:cs="Tahoma"/>
              <w:color w:val="9D360E" w:themeColor="text2"/>
              <w:sz w:val="16"/>
              <w:szCs w:val="16"/>
            </w:rPr>
            <w:instrText xml:space="preserve"> NUMPAGES   \* MERGEFORMAT </w:instrText>
          </w:r>
          <w:r w:rsidRPr="003006CF">
            <w:rPr>
              <w:rFonts w:cs="Tahoma"/>
              <w:color w:val="9D360E" w:themeColor="text2"/>
              <w:sz w:val="16"/>
              <w:szCs w:val="16"/>
            </w:rPr>
            <w:fldChar w:fldCharType="separate"/>
          </w:r>
          <w:r w:rsidRPr="006D420F">
            <w:rPr>
              <w:rFonts w:cs="Tahoma"/>
              <w:color w:val="9D360E" w:themeColor="text2"/>
              <w:sz w:val="16"/>
              <w:szCs w:val="16"/>
            </w:rPr>
            <w:t>4</w:t>
          </w:r>
          <w:r w:rsidRPr="003006CF">
            <w:rPr>
              <w:rFonts w:cs="Tahoma"/>
              <w:color w:val="9D360E" w:themeColor="text2"/>
              <w:sz w:val="16"/>
              <w:szCs w:val="16"/>
            </w:rPr>
            <w:fldChar w:fldCharType="end"/>
          </w:r>
          <w:r w:rsidRPr="003006CF">
            <w:rPr>
              <w:rFonts w:cs="Tahoma"/>
              <w:color w:val="9D360E" w:themeColor="text2"/>
              <w:sz w:val="16"/>
              <w:szCs w:val="16"/>
            </w:rPr>
            <w:t>)</w:t>
          </w:r>
        </w:p>
      </w:tc>
    </w:tr>
    <w:tr w:rsidR="00FD0CD4" w:rsidRPr="003006CF" w14:paraId="3C4E5505" w14:textId="77777777" w:rsidTr="006D420F">
      <w:tc>
        <w:tcPr>
          <w:tcW w:w="2391" w:type="pct"/>
        </w:tcPr>
        <w:p w14:paraId="6F59F884" w14:textId="77777777" w:rsidR="003006CF" w:rsidRPr="003006CF" w:rsidRDefault="002C196E" w:rsidP="006D420F">
          <w:pPr>
            <w:pStyle w:val="Header"/>
            <w:pBdr>
              <w:top w:val="single" w:sz="2" w:space="0" w:color="D9D9D9" w:themeColor="background1" w:themeShade="D9"/>
            </w:pBdr>
            <w:tabs>
              <w:tab w:val="left" w:pos="5216"/>
              <w:tab w:val="left" w:pos="9639"/>
            </w:tabs>
            <w:spacing w:after="0" w:line="240" w:lineRule="auto"/>
            <w:ind w:left="35" w:right="33"/>
            <w:rPr>
              <w:rFonts w:cs="Tahoma"/>
              <w:color w:val="7F7F7F" w:themeColor="text1" w:themeTint="80"/>
              <w:sz w:val="16"/>
              <w:szCs w:val="16"/>
            </w:rPr>
          </w:pPr>
          <w:hyperlink r:id="rId1" w:history="1">
            <w:r w:rsidR="003006CF" w:rsidRPr="003006CF">
              <w:rPr>
                <w:rFonts w:cs="Tahoma"/>
                <w:color w:val="7F7F7F" w:themeColor="text1" w:themeTint="80"/>
                <w:sz w:val="16"/>
                <w:szCs w:val="16"/>
              </w:rPr>
              <w:t>https://s3platform.jrc.ec.europa.eu/berry</w:t>
            </w:r>
          </w:hyperlink>
          <w:r w:rsidR="003006CF" w:rsidRPr="003006CF">
            <w:rPr>
              <w:rFonts w:cs="Tahoma"/>
              <w:color w:val="7F7F7F" w:themeColor="text1" w:themeTint="80"/>
              <w:sz w:val="16"/>
              <w:szCs w:val="16"/>
            </w:rPr>
            <w:t xml:space="preserve">    </w:t>
          </w:r>
        </w:p>
        <w:p w14:paraId="164B5754" w14:textId="40D31AE9" w:rsidR="003006CF" w:rsidRPr="003006CF" w:rsidRDefault="002C196E" w:rsidP="006D420F">
          <w:pPr>
            <w:pStyle w:val="Header"/>
            <w:pBdr>
              <w:top w:val="single" w:sz="2" w:space="0" w:color="D9D9D9" w:themeColor="background1" w:themeShade="D9"/>
            </w:pBdr>
            <w:tabs>
              <w:tab w:val="left" w:pos="5216"/>
              <w:tab w:val="left" w:pos="9639"/>
            </w:tabs>
            <w:spacing w:after="0" w:line="240" w:lineRule="auto"/>
            <w:ind w:left="35" w:right="33"/>
            <w:rPr>
              <w:rStyle w:val="Hyperlink"/>
              <w:rFonts w:cs="Tahoma"/>
              <w:color w:val="7F7F7F" w:themeColor="text1" w:themeTint="80"/>
              <w:szCs w:val="16"/>
            </w:rPr>
          </w:pPr>
          <w:hyperlink r:id="rId2" w:history="1">
            <w:r w:rsidR="003006CF" w:rsidRPr="003006CF">
              <w:rPr>
                <w:rStyle w:val="Hyperlink"/>
                <w:rFonts w:cs="Tahoma"/>
                <w:szCs w:val="16"/>
              </w:rPr>
              <w:t>https://s3platform.jrc.ec.europa.eu/thematic-areas</w:t>
            </w:r>
          </w:hyperlink>
        </w:p>
      </w:tc>
      <w:tc>
        <w:tcPr>
          <w:tcW w:w="2040" w:type="pct"/>
        </w:tcPr>
        <w:p w14:paraId="781B1376" w14:textId="77777777" w:rsidR="003006CF" w:rsidRPr="003006CF" w:rsidRDefault="002C196E" w:rsidP="006D420F">
          <w:pPr>
            <w:pStyle w:val="Header"/>
            <w:pBdr>
              <w:top w:val="single" w:sz="2" w:space="0" w:color="D9D9D9" w:themeColor="background1" w:themeShade="D9"/>
            </w:pBdr>
            <w:tabs>
              <w:tab w:val="left" w:pos="5216"/>
              <w:tab w:val="left" w:pos="9639"/>
            </w:tabs>
            <w:spacing w:after="0" w:line="240" w:lineRule="auto"/>
            <w:ind w:left="40" w:right="52"/>
            <w:rPr>
              <w:rStyle w:val="Hyperlink"/>
              <w:rFonts w:cs="Tahoma"/>
              <w:color w:val="FFC000"/>
              <w:szCs w:val="16"/>
            </w:rPr>
          </w:pPr>
          <w:hyperlink r:id="rId3" w:history="1">
            <w:r w:rsidR="003006CF" w:rsidRPr="003006CF">
              <w:rPr>
                <w:rStyle w:val="Hyperlink"/>
                <w:rFonts w:cs="Tahoma"/>
                <w:color w:val="FFC000"/>
                <w:szCs w:val="16"/>
              </w:rPr>
              <w:t>http://www.interregeurope.eu/bridges/</w:t>
            </w:r>
          </w:hyperlink>
        </w:p>
        <w:p w14:paraId="6361DDA6" w14:textId="77777777" w:rsidR="003006CF" w:rsidRPr="003006CF" w:rsidRDefault="003006CF" w:rsidP="006D420F">
          <w:pPr>
            <w:pStyle w:val="Header"/>
            <w:tabs>
              <w:tab w:val="left" w:pos="5216"/>
              <w:tab w:val="left" w:pos="9639"/>
            </w:tabs>
            <w:spacing w:after="0" w:line="240" w:lineRule="auto"/>
            <w:ind w:left="40" w:right="52"/>
            <w:rPr>
              <w:rStyle w:val="Hyperlink"/>
              <w:rFonts w:cs="Tahoma"/>
              <w:color w:val="7F7F7F" w:themeColor="text1" w:themeTint="80"/>
              <w:szCs w:val="16"/>
            </w:rPr>
          </w:pPr>
        </w:p>
      </w:tc>
      <w:tc>
        <w:tcPr>
          <w:tcW w:w="569" w:type="pct"/>
        </w:tcPr>
        <w:p w14:paraId="3C81029F" w14:textId="77777777" w:rsidR="003006CF" w:rsidRPr="006D420F" w:rsidRDefault="003006CF" w:rsidP="006D420F">
          <w:pPr>
            <w:pStyle w:val="Header"/>
            <w:tabs>
              <w:tab w:val="left" w:pos="5216"/>
              <w:tab w:val="left" w:pos="9639"/>
            </w:tabs>
            <w:spacing w:after="0" w:line="240" w:lineRule="auto"/>
            <w:ind w:left="0" w:right="33"/>
            <w:rPr>
              <w:color w:val="9D360E" w:themeColor="text2"/>
            </w:rPr>
          </w:pPr>
        </w:p>
      </w:tc>
    </w:tr>
  </w:tbl>
  <w:p w14:paraId="70699416" w14:textId="77777777" w:rsidR="00160A6D" w:rsidRPr="00AD1881" w:rsidRDefault="00160A6D" w:rsidP="00FD0CD4">
    <w:pPr>
      <w:pStyle w:val="Header"/>
      <w:tabs>
        <w:tab w:val="left" w:pos="5216"/>
        <w:tab w:val="left" w:pos="9639"/>
      </w:tabs>
      <w:spacing w:after="0" w:line="240" w:lineRule="auto"/>
      <w:rPr>
        <w:rStyle w:val="Hyperlink"/>
        <w:rFonts w:cs="Tahoma"/>
        <w:color w:val="FFCC6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1A885D6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CDF6F42A"/>
    <w:lvl w:ilvl="0">
      <w:start w:val="1"/>
      <w:numFmt w:val="bullet"/>
      <w:pStyle w:val="ListBullet4"/>
      <w:lvlText w:val=""/>
      <w:lvlJc w:val="left"/>
      <w:pPr>
        <w:ind w:left="1416" w:hanging="567"/>
      </w:pPr>
      <w:rPr>
        <w:rFonts w:ascii="Symbol" w:hAnsi="Symbol" w:hint="default"/>
        <w:color w:val="FFD579"/>
      </w:rPr>
    </w:lvl>
  </w:abstractNum>
  <w:abstractNum w:abstractNumId="2" w15:restartNumberingAfterBreak="0">
    <w:nsid w:val="FFFFFF82"/>
    <w:multiLevelType w:val="singleLevel"/>
    <w:tmpl w:val="A9EAF0A4"/>
    <w:lvl w:ilvl="0">
      <w:start w:val="1"/>
      <w:numFmt w:val="bullet"/>
      <w:pStyle w:val="ListBullet3"/>
      <w:lvlText w:val=""/>
      <w:lvlJc w:val="left"/>
      <w:pPr>
        <w:tabs>
          <w:tab w:val="num" w:pos="927"/>
        </w:tabs>
        <w:ind w:left="851" w:hanging="397"/>
      </w:pPr>
      <w:rPr>
        <w:rFonts w:ascii="Symbol" w:hAnsi="Symbol" w:hint="default"/>
        <w:b w:val="0"/>
        <w:i w:val="0"/>
        <w:color w:val="4BAF73" w:themeColor="accent3"/>
        <w:sz w:val="18"/>
      </w:rPr>
    </w:lvl>
  </w:abstractNum>
  <w:abstractNum w:abstractNumId="3" w15:restartNumberingAfterBreak="0">
    <w:nsid w:val="01F37B8E"/>
    <w:multiLevelType w:val="multilevel"/>
    <w:tmpl w:val="8BAE2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65108D"/>
    <w:multiLevelType w:val="hybridMultilevel"/>
    <w:tmpl w:val="2BC44990"/>
    <w:lvl w:ilvl="0" w:tplc="591E312A">
      <w:start w:val="1"/>
      <w:numFmt w:val="decimal"/>
      <w:pStyle w:val="List2"/>
      <w:lvlText w:val="(%1)"/>
      <w:lvlJc w:val="left"/>
      <w:pPr>
        <w:ind w:left="475" w:hanging="360"/>
      </w:pPr>
      <w:rPr>
        <w:rFonts w:ascii="Tahoma" w:hAnsi="Tahoma" w:hint="default"/>
        <w:b w:val="0"/>
        <w:bCs/>
        <w:i w:val="0"/>
        <w:iCs w:val="0"/>
        <w:color w:val="000000" w:themeColor="text1"/>
        <w:sz w:val="18"/>
        <w:szCs w:val="1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41420F6"/>
    <w:multiLevelType w:val="hybridMultilevel"/>
    <w:tmpl w:val="474E0B9E"/>
    <w:lvl w:ilvl="0" w:tplc="6C30D948">
      <w:start w:val="1"/>
      <w:numFmt w:val="lowerRoman"/>
      <w:lvlText w:val="(%1)"/>
      <w:lvlJc w:val="left"/>
      <w:pPr>
        <w:ind w:left="1196" w:hanging="720"/>
      </w:pPr>
      <w:rPr>
        <w:rFonts w:hint="default"/>
      </w:rPr>
    </w:lvl>
    <w:lvl w:ilvl="1" w:tplc="08090019" w:tentative="1">
      <w:start w:val="1"/>
      <w:numFmt w:val="lowerLetter"/>
      <w:lvlText w:val="%2."/>
      <w:lvlJc w:val="left"/>
      <w:pPr>
        <w:ind w:left="1556" w:hanging="360"/>
      </w:pPr>
    </w:lvl>
    <w:lvl w:ilvl="2" w:tplc="0809001B" w:tentative="1">
      <w:start w:val="1"/>
      <w:numFmt w:val="lowerRoman"/>
      <w:lvlText w:val="%3."/>
      <w:lvlJc w:val="right"/>
      <w:pPr>
        <w:ind w:left="2276" w:hanging="180"/>
      </w:pPr>
    </w:lvl>
    <w:lvl w:ilvl="3" w:tplc="0809000F" w:tentative="1">
      <w:start w:val="1"/>
      <w:numFmt w:val="decimal"/>
      <w:lvlText w:val="%4."/>
      <w:lvlJc w:val="left"/>
      <w:pPr>
        <w:ind w:left="2996" w:hanging="360"/>
      </w:pPr>
    </w:lvl>
    <w:lvl w:ilvl="4" w:tplc="08090019" w:tentative="1">
      <w:start w:val="1"/>
      <w:numFmt w:val="lowerLetter"/>
      <w:lvlText w:val="%5."/>
      <w:lvlJc w:val="left"/>
      <w:pPr>
        <w:ind w:left="3716" w:hanging="360"/>
      </w:pPr>
    </w:lvl>
    <w:lvl w:ilvl="5" w:tplc="0809001B" w:tentative="1">
      <w:start w:val="1"/>
      <w:numFmt w:val="lowerRoman"/>
      <w:lvlText w:val="%6."/>
      <w:lvlJc w:val="right"/>
      <w:pPr>
        <w:ind w:left="4436" w:hanging="180"/>
      </w:pPr>
    </w:lvl>
    <w:lvl w:ilvl="6" w:tplc="0809000F" w:tentative="1">
      <w:start w:val="1"/>
      <w:numFmt w:val="decimal"/>
      <w:lvlText w:val="%7."/>
      <w:lvlJc w:val="left"/>
      <w:pPr>
        <w:ind w:left="5156" w:hanging="360"/>
      </w:pPr>
    </w:lvl>
    <w:lvl w:ilvl="7" w:tplc="08090019" w:tentative="1">
      <w:start w:val="1"/>
      <w:numFmt w:val="lowerLetter"/>
      <w:lvlText w:val="%8."/>
      <w:lvlJc w:val="left"/>
      <w:pPr>
        <w:ind w:left="5876" w:hanging="360"/>
      </w:pPr>
    </w:lvl>
    <w:lvl w:ilvl="8" w:tplc="0809001B" w:tentative="1">
      <w:start w:val="1"/>
      <w:numFmt w:val="lowerRoman"/>
      <w:lvlText w:val="%9."/>
      <w:lvlJc w:val="right"/>
      <w:pPr>
        <w:ind w:left="6596" w:hanging="180"/>
      </w:pPr>
    </w:lvl>
  </w:abstractNum>
  <w:abstractNum w:abstractNumId="6" w15:restartNumberingAfterBreak="0">
    <w:nsid w:val="045557AF"/>
    <w:multiLevelType w:val="multilevel"/>
    <w:tmpl w:val="352C2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436F7F"/>
    <w:multiLevelType w:val="hybridMultilevel"/>
    <w:tmpl w:val="E1760292"/>
    <w:lvl w:ilvl="0" w:tplc="D83C1700">
      <w:start w:val="1"/>
      <w:numFmt w:val="decimal"/>
      <w:pStyle w:val="Heading9"/>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15212A"/>
    <w:multiLevelType w:val="multilevel"/>
    <w:tmpl w:val="DE9211C6"/>
    <w:styleLink w:val="CurrentList8"/>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 w15:restartNumberingAfterBreak="0">
    <w:nsid w:val="15D668B1"/>
    <w:multiLevelType w:val="hybridMultilevel"/>
    <w:tmpl w:val="B71E77B2"/>
    <w:lvl w:ilvl="0" w:tplc="660443EA">
      <w:start w:val="1"/>
      <w:numFmt w:val="decimal"/>
      <w:pStyle w:val="List5"/>
      <w:lvlText w:val="(%1)."/>
      <w:lvlJc w:val="left"/>
      <w:pPr>
        <w:ind w:left="1021" w:hanging="454"/>
      </w:pPr>
      <w:rPr>
        <w:rFonts w:ascii="Tahoma" w:hAnsi="Tahoma" w:hint="default"/>
        <w:b w:val="0"/>
        <w:bCs/>
        <w:i w:val="0"/>
        <w:iCs w:val="0"/>
        <w:color w:val="171717" w:themeColor="background2" w:themeShade="1A"/>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015A09"/>
    <w:multiLevelType w:val="hybridMultilevel"/>
    <w:tmpl w:val="494C3D5A"/>
    <w:lvl w:ilvl="0" w:tplc="0FEA03E4">
      <w:start w:val="1"/>
      <w:numFmt w:val="decimal"/>
      <w:pStyle w:val="Style2"/>
      <w:lvlText w:val="Figure %1"/>
      <w:lvlJc w:val="left"/>
      <w:pPr>
        <w:ind w:left="1616" w:hanging="547"/>
      </w:pPr>
      <w:rPr>
        <w:rFonts w:hint="default"/>
        <w:b/>
        <w:bCs/>
        <w:i w:val="0"/>
        <w:iCs w:val="0"/>
        <w:color w:val="3B3838" w:themeColor="background2" w:themeShade="40"/>
        <w:sz w:val="18"/>
        <w:szCs w:val="18"/>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15:restartNumberingAfterBreak="0">
    <w:nsid w:val="1CB45894"/>
    <w:multiLevelType w:val="hybridMultilevel"/>
    <w:tmpl w:val="C9DC8168"/>
    <w:lvl w:ilvl="0" w:tplc="A8266868">
      <w:start w:val="1"/>
      <w:numFmt w:val="lowerLetter"/>
      <w:pStyle w:val="ListParagraph"/>
      <w:lvlText w:val="(%1)."/>
      <w:lvlJc w:val="right"/>
      <w:pPr>
        <w:ind w:left="1004" w:hanging="360"/>
      </w:pPr>
      <w:rPr>
        <w:rFonts w:hint="default"/>
      </w:rPr>
    </w:lvl>
    <w:lvl w:ilvl="1" w:tplc="08090003">
      <w:start w:val="1"/>
      <w:numFmt w:val="bullet"/>
      <w:lvlText w:val="o"/>
      <w:lvlJc w:val="left"/>
      <w:pPr>
        <w:ind w:left="2061" w:hanging="360"/>
      </w:pPr>
      <w:rPr>
        <w:rFonts w:ascii="Courier New" w:hAnsi="Courier New" w:cs="Courier New" w:hint="default"/>
      </w:rPr>
    </w:lvl>
    <w:lvl w:ilvl="2" w:tplc="08090005" w:tentative="1">
      <w:start w:val="1"/>
      <w:numFmt w:val="bullet"/>
      <w:lvlText w:val=""/>
      <w:lvlJc w:val="left"/>
      <w:pPr>
        <w:ind w:left="2781" w:hanging="360"/>
      </w:pPr>
      <w:rPr>
        <w:rFonts w:ascii="Wingdings" w:hAnsi="Wingdings" w:hint="default"/>
      </w:rPr>
    </w:lvl>
    <w:lvl w:ilvl="3" w:tplc="08090001" w:tentative="1">
      <w:start w:val="1"/>
      <w:numFmt w:val="bullet"/>
      <w:lvlText w:val=""/>
      <w:lvlJc w:val="left"/>
      <w:pPr>
        <w:ind w:left="3501" w:hanging="360"/>
      </w:pPr>
      <w:rPr>
        <w:rFonts w:ascii="Symbol" w:hAnsi="Symbol" w:hint="default"/>
      </w:rPr>
    </w:lvl>
    <w:lvl w:ilvl="4" w:tplc="08090003" w:tentative="1">
      <w:start w:val="1"/>
      <w:numFmt w:val="bullet"/>
      <w:lvlText w:val="o"/>
      <w:lvlJc w:val="left"/>
      <w:pPr>
        <w:ind w:left="4221" w:hanging="360"/>
      </w:pPr>
      <w:rPr>
        <w:rFonts w:ascii="Courier New" w:hAnsi="Courier New" w:cs="Courier New" w:hint="default"/>
      </w:rPr>
    </w:lvl>
    <w:lvl w:ilvl="5" w:tplc="08090005" w:tentative="1">
      <w:start w:val="1"/>
      <w:numFmt w:val="bullet"/>
      <w:lvlText w:val=""/>
      <w:lvlJc w:val="left"/>
      <w:pPr>
        <w:ind w:left="4941" w:hanging="360"/>
      </w:pPr>
      <w:rPr>
        <w:rFonts w:ascii="Wingdings" w:hAnsi="Wingdings" w:hint="default"/>
      </w:rPr>
    </w:lvl>
    <w:lvl w:ilvl="6" w:tplc="08090001" w:tentative="1">
      <w:start w:val="1"/>
      <w:numFmt w:val="bullet"/>
      <w:lvlText w:val=""/>
      <w:lvlJc w:val="left"/>
      <w:pPr>
        <w:ind w:left="5661" w:hanging="360"/>
      </w:pPr>
      <w:rPr>
        <w:rFonts w:ascii="Symbol" w:hAnsi="Symbol" w:hint="default"/>
      </w:rPr>
    </w:lvl>
    <w:lvl w:ilvl="7" w:tplc="08090003" w:tentative="1">
      <w:start w:val="1"/>
      <w:numFmt w:val="bullet"/>
      <w:lvlText w:val="o"/>
      <w:lvlJc w:val="left"/>
      <w:pPr>
        <w:ind w:left="6381" w:hanging="360"/>
      </w:pPr>
      <w:rPr>
        <w:rFonts w:ascii="Courier New" w:hAnsi="Courier New" w:cs="Courier New" w:hint="default"/>
      </w:rPr>
    </w:lvl>
    <w:lvl w:ilvl="8" w:tplc="08090005" w:tentative="1">
      <w:start w:val="1"/>
      <w:numFmt w:val="bullet"/>
      <w:lvlText w:val=""/>
      <w:lvlJc w:val="left"/>
      <w:pPr>
        <w:ind w:left="7101" w:hanging="360"/>
      </w:pPr>
      <w:rPr>
        <w:rFonts w:ascii="Wingdings" w:hAnsi="Wingdings" w:hint="default"/>
      </w:rPr>
    </w:lvl>
  </w:abstractNum>
  <w:abstractNum w:abstractNumId="12" w15:restartNumberingAfterBreak="0">
    <w:nsid w:val="1E6376EF"/>
    <w:multiLevelType w:val="hybridMultilevel"/>
    <w:tmpl w:val="68A875DE"/>
    <w:lvl w:ilvl="0" w:tplc="35AEABF2">
      <w:start w:val="1"/>
      <w:numFmt w:val="decimal"/>
      <w:pStyle w:val="ListNumber2"/>
      <w:lvlText w:val="%1."/>
      <w:lvlJc w:val="left"/>
      <w:pPr>
        <w:ind w:left="360" w:hanging="360"/>
      </w:pPr>
      <w:rPr>
        <w:rFonts w:ascii="Tahoma" w:hAnsi="Tahoma" w:hint="default"/>
        <w:b/>
        <w:bCs/>
        <w:i w:val="0"/>
        <w:iCs w:val="0"/>
        <w:color w:val="FFC000"/>
        <w:sz w:val="20"/>
        <w:szCs w:val="20"/>
      </w:rPr>
    </w:lvl>
    <w:lvl w:ilvl="1" w:tplc="A866C114">
      <w:start w:val="1"/>
      <w:numFmt w:val="lowerLetter"/>
      <w:lvlText w:val="%2."/>
      <w:lvlJc w:val="left"/>
      <w:pPr>
        <w:ind w:left="907" w:hanging="340"/>
      </w:pPr>
      <w:rPr>
        <w:rFonts w:hint="default"/>
      </w:rPr>
    </w:lvl>
    <w:lvl w:ilvl="2" w:tplc="0409001B" w:tentative="1">
      <w:start w:val="1"/>
      <w:numFmt w:val="lowerRoman"/>
      <w:lvlText w:val="%3."/>
      <w:lvlJc w:val="right"/>
      <w:pPr>
        <w:ind w:left="1933" w:hanging="180"/>
      </w:pPr>
    </w:lvl>
    <w:lvl w:ilvl="3" w:tplc="0409000F" w:tentative="1">
      <w:start w:val="1"/>
      <w:numFmt w:val="decimal"/>
      <w:lvlText w:val="%4."/>
      <w:lvlJc w:val="left"/>
      <w:pPr>
        <w:ind w:left="2653" w:hanging="360"/>
      </w:pPr>
    </w:lvl>
    <w:lvl w:ilvl="4" w:tplc="04090019" w:tentative="1">
      <w:start w:val="1"/>
      <w:numFmt w:val="lowerLetter"/>
      <w:lvlText w:val="%5."/>
      <w:lvlJc w:val="left"/>
      <w:pPr>
        <w:ind w:left="3373" w:hanging="360"/>
      </w:pPr>
    </w:lvl>
    <w:lvl w:ilvl="5" w:tplc="0409001B" w:tentative="1">
      <w:start w:val="1"/>
      <w:numFmt w:val="lowerRoman"/>
      <w:lvlText w:val="%6."/>
      <w:lvlJc w:val="right"/>
      <w:pPr>
        <w:ind w:left="4093" w:hanging="180"/>
      </w:pPr>
    </w:lvl>
    <w:lvl w:ilvl="6" w:tplc="0409000F" w:tentative="1">
      <w:start w:val="1"/>
      <w:numFmt w:val="decimal"/>
      <w:lvlText w:val="%7."/>
      <w:lvlJc w:val="left"/>
      <w:pPr>
        <w:ind w:left="4813" w:hanging="360"/>
      </w:pPr>
    </w:lvl>
    <w:lvl w:ilvl="7" w:tplc="04090019" w:tentative="1">
      <w:start w:val="1"/>
      <w:numFmt w:val="lowerLetter"/>
      <w:lvlText w:val="%8."/>
      <w:lvlJc w:val="left"/>
      <w:pPr>
        <w:ind w:left="5533" w:hanging="360"/>
      </w:pPr>
    </w:lvl>
    <w:lvl w:ilvl="8" w:tplc="0409001B" w:tentative="1">
      <w:start w:val="1"/>
      <w:numFmt w:val="lowerRoman"/>
      <w:lvlText w:val="%9."/>
      <w:lvlJc w:val="right"/>
      <w:pPr>
        <w:ind w:left="6253" w:hanging="180"/>
      </w:pPr>
    </w:lvl>
  </w:abstractNum>
  <w:abstractNum w:abstractNumId="13" w15:restartNumberingAfterBreak="0">
    <w:nsid w:val="20726D0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4C850BE"/>
    <w:multiLevelType w:val="multilevel"/>
    <w:tmpl w:val="8D20A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AC4CA4"/>
    <w:multiLevelType w:val="hybridMultilevel"/>
    <w:tmpl w:val="9F980914"/>
    <w:lvl w:ilvl="0" w:tplc="88D6FA18">
      <w:start w:val="1"/>
      <w:numFmt w:val="bullet"/>
      <w:pStyle w:val="NoteLevel2"/>
      <w:lvlText w:val=""/>
      <w:lvlJc w:val="left"/>
      <w:pPr>
        <w:ind w:left="757" w:hanging="360"/>
      </w:pPr>
      <w:rPr>
        <w:rFonts w:ascii="Symbol" w:hAnsi="Symbol" w:hint="default"/>
        <w:color w:val="FF0000"/>
        <w:sz w:val="18"/>
        <w:szCs w:val="18"/>
      </w:rPr>
    </w:lvl>
    <w:lvl w:ilvl="1" w:tplc="04090003" w:tentative="1">
      <w:start w:val="1"/>
      <w:numFmt w:val="bullet"/>
      <w:lvlText w:val="o"/>
      <w:lvlJc w:val="left"/>
      <w:pPr>
        <w:ind w:left="1477" w:hanging="360"/>
      </w:pPr>
      <w:rPr>
        <w:rFonts w:ascii="Courier New" w:hAnsi="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6" w15:restartNumberingAfterBreak="0">
    <w:nsid w:val="2AB928DB"/>
    <w:multiLevelType w:val="multilevel"/>
    <w:tmpl w:val="2CE2521C"/>
    <w:styleLink w:val="CurrentList4"/>
    <w:lvl w:ilvl="0">
      <w:start w:val="1"/>
      <w:numFmt w:val="decimal"/>
      <w:lvlText w:val="(%1)"/>
      <w:lvlJc w:val="left"/>
      <w:pPr>
        <w:ind w:left="473" w:hanging="360"/>
      </w:pPr>
      <w:rPr>
        <w:rFonts w:ascii="Tahoma" w:hAnsi="Tahoma" w:hint="default"/>
        <w:b w:val="0"/>
        <w:bCs/>
        <w:i w:val="0"/>
        <w:iCs w:val="0"/>
        <w:color w:val="000000" w:themeColor="text1"/>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D403229"/>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1AF3CC0"/>
    <w:multiLevelType w:val="hybridMultilevel"/>
    <w:tmpl w:val="8482DBE0"/>
    <w:lvl w:ilvl="0" w:tplc="AE742268">
      <w:start w:val="1"/>
      <w:numFmt w:val="bullet"/>
      <w:pStyle w:val="ListBullet2"/>
      <w:lvlText w:val=""/>
      <w:lvlJc w:val="left"/>
      <w:pPr>
        <w:ind w:left="454" w:hanging="170"/>
      </w:pPr>
      <w:rPr>
        <w:rFonts w:ascii="Symbol" w:hAnsi="Symbol" w:hint="default"/>
        <w:b/>
        <w:i w:val="0"/>
        <w:color w:val="808080" w:themeColor="background1" w:themeShade="8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DD2828"/>
    <w:multiLevelType w:val="hybridMultilevel"/>
    <w:tmpl w:val="F83A4B40"/>
    <w:lvl w:ilvl="0" w:tplc="5DE0CCD4">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FB1540"/>
    <w:multiLevelType w:val="hybridMultilevel"/>
    <w:tmpl w:val="18CCB9A2"/>
    <w:lvl w:ilvl="0" w:tplc="ABD6C4DE">
      <w:start w:val="1"/>
      <w:numFmt w:val="decimal"/>
      <w:pStyle w:val="Otsikko12"/>
      <w:lvlText w:val="Table %1"/>
      <w:lvlJc w:val="left"/>
      <w:pPr>
        <w:tabs>
          <w:tab w:val="num" w:pos="964"/>
        </w:tabs>
        <w:ind w:left="907" w:hanging="623"/>
      </w:pPr>
      <w:rPr>
        <w:rFonts w:ascii="Tahoma" w:hAnsi="Tahoma" w:hint="default"/>
        <w:b/>
        <w:bCs/>
        <w:i w:val="0"/>
        <w:iCs w:val="0"/>
        <w:color w:val="3B3838" w:themeColor="background2" w:themeShade="40"/>
        <w:sz w:val="18"/>
        <w:szCs w:val="18"/>
      </w:rPr>
    </w:lvl>
    <w:lvl w:ilvl="1" w:tplc="04090019" w:tentative="1">
      <w:start w:val="1"/>
      <w:numFmt w:val="lowerLetter"/>
      <w:lvlText w:val="%2."/>
      <w:lvlJc w:val="left"/>
      <w:pPr>
        <w:ind w:left="2020" w:hanging="360"/>
      </w:pPr>
    </w:lvl>
    <w:lvl w:ilvl="2" w:tplc="0409001B" w:tentative="1">
      <w:start w:val="1"/>
      <w:numFmt w:val="lowerRoman"/>
      <w:lvlText w:val="%3."/>
      <w:lvlJc w:val="right"/>
      <w:pPr>
        <w:ind w:left="2740" w:hanging="180"/>
      </w:pPr>
    </w:lvl>
    <w:lvl w:ilvl="3" w:tplc="0409000F" w:tentative="1">
      <w:start w:val="1"/>
      <w:numFmt w:val="decimal"/>
      <w:lvlText w:val="%4."/>
      <w:lvlJc w:val="left"/>
      <w:pPr>
        <w:ind w:left="3460" w:hanging="360"/>
      </w:pPr>
    </w:lvl>
    <w:lvl w:ilvl="4" w:tplc="04090019" w:tentative="1">
      <w:start w:val="1"/>
      <w:numFmt w:val="lowerLetter"/>
      <w:lvlText w:val="%5."/>
      <w:lvlJc w:val="left"/>
      <w:pPr>
        <w:ind w:left="4180" w:hanging="360"/>
      </w:pPr>
    </w:lvl>
    <w:lvl w:ilvl="5" w:tplc="0409001B" w:tentative="1">
      <w:start w:val="1"/>
      <w:numFmt w:val="lowerRoman"/>
      <w:lvlText w:val="%6."/>
      <w:lvlJc w:val="right"/>
      <w:pPr>
        <w:ind w:left="4900" w:hanging="180"/>
      </w:pPr>
    </w:lvl>
    <w:lvl w:ilvl="6" w:tplc="0409000F" w:tentative="1">
      <w:start w:val="1"/>
      <w:numFmt w:val="decimal"/>
      <w:lvlText w:val="%7."/>
      <w:lvlJc w:val="left"/>
      <w:pPr>
        <w:ind w:left="5620" w:hanging="360"/>
      </w:pPr>
    </w:lvl>
    <w:lvl w:ilvl="7" w:tplc="04090019" w:tentative="1">
      <w:start w:val="1"/>
      <w:numFmt w:val="lowerLetter"/>
      <w:lvlText w:val="%8."/>
      <w:lvlJc w:val="left"/>
      <w:pPr>
        <w:ind w:left="6340" w:hanging="360"/>
      </w:pPr>
    </w:lvl>
    <w:lvl w:ilvl="8" w:tplc="0409001B" w:tentative="1">
      <w:start w:val="1"/>
      <w:numFmt w:val="lowerRoman"/>
      <w:lvlText w:val="%9."/>
      <w:lvlJc w:val="right"/>
      <w:pPr>
        <w:ind w:left="7060" w:hanging="180"/>
      </w:pPr>
    </w:lvl>
  </w:abstractNum>
  <w:abstractNum w:abstractNumId="21" w15:restartNumberingAfterBreak="0">
    <w:nsid w:val="34A677C9"/>
    <w:multiLevelType w:val="hybridMultilevel"/>
    <w:tmpl w:val="47281DFC"/>
    <w:lvl w:ilvl="0" w:tplc="2A7E6E8C">
      <w:start w:val="1"/>
      <w:numFmt w:val="decimal"/>
      <w:pStyle w:val="ListBulle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7A914D7"/>
    <w:multiLevelType w:val="hybridMultilevel"/>
    <w:tmpl w:val="504ABE24"/>
    <w:lvl w:ilvl="0" w:tplc="847AD09C">
      <w:start w:val="1"/>
      <w:numFmt w:val="bullet"/>
      <w:pStyle w:val="PlainText"/>
      <w:lvlText w:val="—"/>
      <w:lvlJc w:val="left"/>
      <w:pPr>
        <w:ind w:left="530" w:hanging="360"/>
      </w:pPr>
      <w:rPr>
        <w:rFonts w:ascii="Symbol" w:hAnsi="Symbol" w:hint="default"/>
      </w:rPr>
    </w:lvl>
    <w:lvl w:ilvl="1" w:tplc="08090003" w:tentative="1">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23" w15:restartNumberingAfterBreak="0">
    <w:nsid w:val="385C6D0A"/>
    <w:multiLevelType w:val="multilevel"/>
    <w:tmpl w:val="D5DCE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9721BF3"/>
    <w:multiLevelType w:val="multilevel"/>
    <w:tmpl w:val="E5023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BEF11AB"/>
    <w:multiLevelType w:val="multilevel"/>
    <w:tmpl w:val="99EC9DEE"/>
    <w:styleLink w:val="CurrentList3"/>
    <w:lvl w:ilvl="0">
      <w:start w:val="1"/>
      <w:numFmt w:val="decimal"/>
      <w:lvlText w:val="(%1)"/>
      <w:lvlJc w:val="left"/>
      <w:pPr>
        <w:ind w:left="473" w:hanging="360"/>
      </w:pPr>
      <w:rPr>
        <w:rFonts w:ascii="Tahoma" w:hAnsi="Tahoma" w:hint="default"/>
        <w:b w:val="0"/>
        <w:bCs/>
        <w:i w:val="0"/>
        <w:iCs w:val="0"/>
        <w:color w:val="000000" w:themeColor="text1"/>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E1E48AE"/>
    <w:multiLevelType w:val="hybridMultilevel"/>
    <w:tmpl w:val="146E15BC"/>
    <w:lvl w:ilvl="0" w:tplc="2CC26126">
      <w:start w:val="1"/>
      <w:numFmt w:val="bullet"/>
      <w:pStyle w:val="List"/>
      <w:lvlText w:val=""/>
      <w:lvlJc w:val="left"/>
      <w:pPr>
        <w:ind w:left="644" w:hanging="360"/>
      </w:pPr>
      <w:rPr>
        <w:rFonts w:ascii="Symbol" w:hAnsi="Symbol" w:hint="default"/>
        <w:color w:val="FFD579"/>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3F6C622A"/>
    <w:multiLevelType w:val="hybridMultilevel"/>
    <w:tmpl w:val="1242EC0E"/>
    <w:lvl w:ilvl="0" w:tplc="94D062CE">
      <w:start w:val="1"/>
      <w:numFmt w:val="bullet"/>
      <w:pStyle w:val="ListBullet5"/>
      <w:lvlText w:val="—"/>
      <w:lvlJc w:val="left"/>
      <w:pPr>
        <w:ind w:left="1042" w:hanging="567"/>
      </w:pPr>
      <w:rPr>
        <w:rFonts w:ascii="Wingdings 3" w:hAnsi="Wingdings 3" w:hint="default"/>
        <w:b w:val="0"/>
        <w:i w:val="0"/>
        <w:sz w:val="18"/>
      </w:rPr>
    </w:lvl>
    <w:lvl w:ilvl="1" w:tplc="08090003">
      <w:start w:val="1"/>
      <w:numFmt w:val="bullet"/>
      <w:lvlText w:val="o"/>
      <w:lvlJc w:val="left"/>
      <w:pPr>
        <w:ind w:left="2275" w:hanging="360"/>
      </w:pPr>
      <w:rPr>
        <w:rFonts w:ascii="Courier New" w:hAnsi="Courier New" w:cs="Courier New" w:hint="default"/>
      </w:rPr>
    </w:lvl>
    <w:lvl w:ilvl="2" w:tplc="08090005" w:tentative="1">
      <w:start w:val="1"/>
      <w:numFmt w:val="bullet"/>
      <w:lvlText w:val=""/>
      <w:lvlJc w:val="left"/>
      <w:pPr>
        <w:ind w:left="2995" w:hanging="360"/>
      </w:pPr>
      <w:rPr>
        <w:rFonts w:ascii="Wingdings" w:hAnsi="Wingdings" w:hint="default"/>
      </w:rPr>
    </w:lvl>
    <w:lvl w:ilvl="3" w:tplc="08090001" w:tentative="1">
      <w:start w:val="1"/>
      <w:numFmt w:val="bullet"/>
      <w:lvlText w:val=""/>
      <w:lvlJc w:val="left"/>
      <w:pPr>
        <w:ind w:left="3715" w:hanging="360"/>
      </w:pPr>
      <w:rPr>
        <w:rFonts w:ascii="Symbol" w:hAnsi="Symbol" w:hint="default"/>
      </w:rPr>
    </w:lvl>
    <w:lvl w:ilvl="4" w:tplc="08090003" w:tentative="1">
      <w:start w:val="1"/>
      <w:numFmt w:val="bullet"/>
      <w:lvlText w:val="o"/>
      <w:lvlJc w:val="left"/>
      <w:pPr>
        <w:ind w:left="4435" w:hanging="360"/>
      </w:pPr>
      <w:rPr>
        <w:rFonts w:ascii="Courier New" w:hAnsi="Courier New" w:cs="Courier New" w:hint="default"/>
      </w:rPr>
    </w:lvl>
    <w:lvl w:ilvl="5" w:tplc="08090005" w:tentative="1">
      <w:start w:val="1"/>
      <w:numFmt w:val="bullet"/>
      <w:lvlText w:val=""/>
      <w:lvlJc w:val="left"/>
      <w:pPr>
        <w:ind w:left="5155" w:hanging="360"/>
      </w:pPr>
      <w:rPr>
        <w:rFonts w:ascii="Wingdings" w:hAnsi="Wingdings" w:hint="default"/>
      </w:rPr>
    </w:lvl>
    <w:lvl w:ilvl="6" w:tplc="08090001" w:tentative="1">
      <w:start w:val="1"/>
      <w:numFmt w:val="bullet"/>
      <w:lvlText w:val=""/>
      <w:lvlJc w:val="left"/>
      <w:pPr>
        <w:ind w:left="5875" w:hanging="360"/>
      </w:pPr>
      <w:rPr>
        <w:rFonts w:ascii="Symbol" w:hAnsi="Symbol" w:hint="default"/>
      </w:rPr>
    </w:lvl>
    <w:lvl w:ilvl="7" w:tplc="08090003" w:tentative="1">
      <w:start w:val="1"/>
      <w:numFmt w:val="bullet"/>
      <w:lvlText w:val="o"/>
      <w:lvlJc w:val="left"/>
      <w:pPr>
        <w:ind w:left="6595" w:hanging="360"/>
      </w:pPr>
      <w:rPr>
        <w:rFonts w:ascii="Courier New" w:hAnsi="Courier New" w:cs="Courier New" w:hint="default"/>
      </w:rPr>
    </w:lvl>
    <w:lvl w:ilvl="8" w:tplc="08090005" w:tentative="1">
      <w:start w:val="1"/>
      <w:numFmt w:val="bullet"/>
      <w:lvlText w:val=""/>
      <w:lvlJc w:val="left"/>
      <w:pPr>
        <w:ind w:left="7315" w:hanging="360"/>
      </w:pPr>
      <w:rPr>
        <w:rFonts w:ascii="Wingdings" w:hAnsi="Wingdings" w:hint="default"/>
      </w:rPr>
    </w:lvl>
  </w:abstractNum>
  <w:abstractNum w:abstractNumId="28" w15:restartNumberingAfterBreak="0">
    <w:nsid w:val="407221A8"/>
    <w:multiLevelType w:val="multilevel"/>
    <w:tmpl w:val="25082F5A"/>
    <w:lvl w:ilvl="0">
      <w:start w:val="3"/>
      <w:numFmt w:val="decimal"/>
      <w:lvlText w:val="%1"/>
      <w:lvlJc w:val="left"/>
      <w:pPr>
        <w:ind w:left="360" w:hanging="360"/>
      </w:pPr>
      <w:rPr>
        <w:rFonts w:hint="default"/>
      </w:rPr>
    </w:lvl>
    <w:lvl w:ilvl="1">
      <w:start w:val="3"/>
      <w:numFmt w:val="decimal"/>
      <w:pStyle w:val="Heading5"/>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5133E83"/>
    <w:multiLevelType w:val="hybridMultilevel"/>
    <w:tmpl w:val="F1BA164E"/>
    <w:lvl w:ilvl="0" w:tplc="7A940CEE">
      <w:start w:val="1"/>
      <w:numFmt w:val="decimal"/>
      <w:pStyle w:val="ListNumber3"/>
      <w:lvlText w:val="%1."/>
      <w:lvlJc w:val="left"/>
      <w:pPr>
        <w:ind w:left="567" w:hanging="454"/>
      </w:pPr>
      <w:rPr>
        <w:rFonts w:ascii="Tahoma" w:hAnsi="Tahoma" w:cs="Times New Roman" w:hint="default"/>
        <w:b/>
        <w:bCs/>
        <w:i w:val="0"/>
        <w:iCs w:val="0"/>
        <w:color w:val="3B3838" w:themeColor="background2" w:themeShade="4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1016A4"/>
    <w:multiLevelType w:val="multilevel"/>
    <w:tmpl w:val="516295A0"/>
    <w:styleLink w:val="CurrentList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1" w15:restartNumberingAfterBreak="0">
    <w:nsid w:val="48E131B3"/>
    <w:multiLevelType w:val="hybridMultilevel"/>
    <w:tmpl w:val="BA12E900"/>
    <w:lvl w:ilvl="0" w:tplc="7F0EAF54">
      <w:start w:val="1"/>
      <w:numFmt w:val="decimal"/>
      <w:pStyle w:val="BodyText2"/>
      <w:lvlText w:val="(%1)"/>
      <w:lvlJc w:val="right"/>
      <w:pPr>
        <w:ind w:left="738" w:hanging="171"/>
      </w:pPr>
      <w:rPr>
        <w:rFonts w:ascii="Tahoma" w:hAnsi="Tahoma" w:hint="default"/>
        <w:b w:val="0"/>
        <w:bCs w:val="0"/>
        <w:i w:val="0"/>
        <w:iCs w:val="0"/>
        <w:color w:val="3B3838" w:themeColor="background2" w:themeShade="4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4E68DB"/>
    <w:multiLevelType w:val="hybridMultilevel"/>
    <w:tmpl w:val="BA141368"/>
    <w:lvl w:ilvl="0" w:tplc="790EAD52">
      <w:start w:val="1"/>
      <w:numFmt w:val="decimal"/>
      <w:pStyle w:val="List4"/>
      <w:lvlText w:val="%1."/>
      <w:lvlJc w:val="left"/>
      <w:pPr>
        <w:ind w:left="720" w:hanging="360"/>
      </w:pPr>
      <w:rPr>
        <w:rFonts w:ascii="Tahoma" w:hAnsi="Tahoma" w:cs="Times New Roman" w:hint="default"/>
        <w:b w:val="0"/>
        <w:bCs w:val="0"/>
        <w:i w:val="0"/>
        <w:iCs w:val="0"/>
        <w:color w:val="3B3838" w:themeColor="background2" w:themeShade="4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644CA7"/>
    <w:multiLevelType w:val="hybridMultilevel"/>
    <w:tmpl w:val="EE42082A"/>
    <w:lvl w:ilvl="0" w:tplc="265259F8">
      <w:start w:val="2"/>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921C03"/>
    <w:multiLevelType w:val="multilevel"/>
    <w:tmpl w:val="6F6025B0"/>
    <w:styleLink w:val="CurrentList2"/>
    <w:lvl w:ilvl="0">
      <w:start w:val="1"/>
      <w:numFmt w:val="decimal"/>
      <w:lvlText w:val="%1."/>
      <w:lvlJc w:val="left"/>
      <w:pPr>
        <w:ind w:left="473" w:hanging="360"/>
      </w:pPr>
      <w:rPr>
        <w:rFonts w:hint="default"/>
        <w:b/>
        <w:bCs/>
        <w:i w:val="0"/>
        <w:iCs w:val="0"/>
        <w:color w:val="05436B"/>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4F91699"/>
    <w:multiLevelType w:val="multilevel"/>
    <w:tmpl w:val="AD7CDDEA"/>
    <w:styleLink w:val="CurrentList7"/>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82B0ED3"/>
    <w:multiLevelType w:val="hybridMultilevel"/>
    <w:tmpl w:val="41F83798"/>
    <w:lvl w:ilvl="0" w:tplc="48B009FC">
      <w:start w:val="1"/>
      <w:numFmt w:val="bullet"/>
      <w:pStyle w:val="Lhdeluettelo1"/>
      <w:lvlText w:val=""/>
      <w:lvlJc w:val="left"/>
      <w:pPr>
        <w:ind w:left="940" w:hanging="360"/>
      </w:pPr>
      <w:rPr>
        <w:rFonts w:ascii="Symbol" w:hAnsi="Symbol" w:hint="default"/>
        <w:color w:val="FF0000"/>
        <w:sz w:val="18"/>
        <w:szCs w:val="18"/>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7" w15:restartNumberingAfterBreak="0">
    <w:nsid w:val="79EC1584"/>
    <w:multiLevelType w:val="hybridMultilevel"/>
    <w:tmpl w:val="25C663E6"/>
    <w:lvl w:ilvl="0" w:tplc="89B42F4C">
      <w:start w:val="1"/>
      <w:numFmt w:val="decimal"/>
      <w:pStyle w:val="ListContinue2"/>
      <w:lvlText w:val="(%1)"/>
      <w:lvlJc w:val="left"/>
      <w:pPr>
        <w:ind w:left="1004" w:hanging="284"/>
      </w:pPr>
      <w:rPr>
        <w:rFonts w:ascii="Tahoma" w:hAnsi="Tahoma" w:hint="default"/>
        <w:color w:val="FF0000"/>
        <w:sz w:val="20"/>
        <w:szCs w:val="20"/>
      </w:r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38" w15:restartNumberingAfterBreak="0">
    <w:nsid w:val="7EED2D25"/>
    <w:multiLevelType w:val="hybridMultilevel"/>
    <w:tmpl w:val="3AC056A6"/>
    <w:lvl w:ilvl="0" w:tplc="03ECCD2E">
      <w:start w:val="1"/>
      <w:numFmt w:val="bullet"/>
      <w:pStyle w:val="Listwithsmallreddot"/>
      <w:lvlText w:val=""/>
      <w:lvlJc w:val="left"/>
      <w:pPr>
        <w:ind w:left="907" w:hanging="623"/>
      </w:pPr>
      <w:rPr>
        <w:rFonts w:ascii="Symbol Tiger" w:hAnsi="Symbol Tiger" w:hint="default"/>
        <w:b/>
        <w:i w:val="0"/>
        <w:color w:val="FFD579"/>
        <w:sz w:val="2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AA6230"/>
    <w:multiLevelType w:val="multilevel"/>
    <w:tmpl w:val="55540B2E"/>
    <w:styleLink w:val="CurrentList1"/>
    <w:lvl w:ilvl="0">
      <w:start w:val="2"/>
      <w:numFmt w:val="bullet"/>
      <w:lvlText w:val="-"/>
      <w:lvlJc w:val="left"/>
      <w:pPr>
        <w:ind w:left="720" w:hanging="360"/>
      </w:pPr>
      <w:rPr>
        <w:rFonts w:ascii="Tahoma" w:eastAsia="HGPMinchoE" w:hAnsi="Tahoma" w:cs="Tahom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32"/>
  </w:num>
  <w:num w:numId="3">
    <w:abstractNumId w:val="9"/>
  </w:num>
  <w:num w:numId="4">
    <w:abstractNumId w:val="20"/>
  </w:num>
  <w:num w:numId="5">
    <w:abstractNumId w:val="31"/>
  </w:num>
  <w:num w:numId="6">
    <w:abstractNumId w:val="29"/>
  </w:num>
  <w:num w:numId="7">
    <w:abstractNumId w:val="15"/>
  </w:num>
  <w:num w:numId="8">
    <w:abstractNumId w:val="37"/>
  </w:num>
  <w:num w:numId="9">
    <w:abstractNumId w:val="36"/>
  </w:num>
  <w:num w:numId="10">
    <w:abstractNumId w:val="2"/>
  </w:num>
  <w:num w:numId="11">
    <w:abstractNumId w:val="1"/>
  </w:num>
  <w:num w:numId="12">
    <w:abstractNumId w:val="26"/>
  </w:num>
  <w:num w:numId="13">
    <w:abstractNumId w:val="38"/>
  </w:num>
  <w:num w:numId="14">
    <w:abstractNumId w:val="12"/>
  </w:num>
  <w:num w:numId="15">
    <w:abstractNumId w:val="39"/>
  </w:num>
  <w:num w:numId="16">
    <w:abstractNumId w:val="18"/>
  </w:num>
  <w:num w:numId="17">
    <w:abstractNumId w:val="34"/>
  </w:num>
  <w:num w:numId="18">
    <w:abstractNumId w:val="25"/>
  </w:num>
  <w:num w:numId="19">
    <w:abstractNumId w:val="4"/>
  </w:num>
  <w:num w:numId="20">
    <w:abstractNumId w:val="16"/>
  </w:num>
  <w:num w:numId="21">
    <w:abstractNumId w:val="17"/>
  </w:num>
  <w:num w:numId="22">
    <w:abstractNumId w:val="21"/>
  </w:num>
  <w:num w:numId="23">
    <w:abstractNumId w:val="11"/>
  </w:num>
  <w:num w:numId="24">
    <w:abstractNumId w:val="27"/>
  </w:num>
  <w:num w:numId="25">
    <w:abstractNumId w:val="30"/>
  </w:num>
  <w:num w:numId="26">
    <w:abstractNumId w:val="35"/>
  </w:num>
  <w:num w:numId="27">
    <w:abstractNumId w:val="28"/>
  </w:num>
  <w:num w:numId="28">
    <w:abstractNumId w:val="7"/>
  </w:num>
  <w:num w:numId="29">
    <w:abstractNumId w:val="8"/>
  </w:num>
  <w:num w:numId="30">
    <w:abstractNumId w:val="22"/>
  </w:num>
  <w:num w:numId="31">
    <w:abstractNumId w:val="5"/>
  </w:num>
  <w:num w:numId="32">
    <w:abstractNumId w:val="33"/>
  </w:num>
  <w:num w:numId="33">
    <w:abstractNumId w:val="19"/>
  </w:num>
  <w:num w:numId="34">
    <w:abstractNumId w:val="24"/>
  </w:num>
  <w:num w:numId="35">
    <w:abstractNumId w:val="6"/>
  </w:num>
  <w:num w:numId="36">
    <w:abstractNumId w:val="23"/>
  </w:num>
  <w:num w:numId="37">
    <w:abstractNumId w:val="14"/>
  </w:num>
  <w:num w:numId="38">
    <w:abstractNumId w:val="27"/>
  </w:num>
  <w:num w:numId="39">
    <w:abstractNumId w:val="13"/>
  </w:num>
  <w:num w:numId="40">
    <w:abstractNumId w:val="0"/>
  </w:num>
  <w:num w:numId="41">
    <w:abstractNumId w:val="27"/>
  </w:num>
  <w:num w:numId="42">
    <w:abstractNumId w:val="27"/>
  </w:num>
  <w:num w:numId="43">
    <w:abstractNumId w:val="27"/>
  </w:num>
  <w:num w:numId="44">
    <w:abstractNumId w:val="7"/>
  </w:num>
  <w:num w:numId="45">
    <w:abstractNumId w:val="3"/>
  </w:num>
  <w:num w:numId="46">
    <w:abstractNumId w:val="7"/>
  </w:num>
  <w:num w:numId="47">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E9E"/>
    <w:rsid w:val="000009DE"/>
    <w:rsid w:val="00003183"/>
    <w:rsid w:val="00005BAA"/>
    <w:rsid w:val="00006B11"/>
    <w:rsid w:val="00007822"/>
    <w:rsid w:val="00007A30"/>
    <w:rsid w:val="00011763"/>
    <w:rsid w:val="0001285D"/>
    <w:rsid w:val="0001288F"/>
    <w:rsid w:val="00012FAE"/>
    <w:rsid w:val="00013DAC"/>
    <w:rsid w:val="00015692"/>
    <w:rsid w:val="0001581C"/>
    <w:rsid w:val="00015D02"/>
    <w:rsid w:val="00015FA6"/>
    <w:rsid w:val="00016495"/>
    <w:rsid w:val="00020156"/>
    <w:rsid w:val="00022173"/>
    <w:rsid w:val="000229DE"/>
    <w:rsid w:val="0002346F"/>
    <w:rsid w:val="00024370"/>
    <w:rsid w:val="00025021"/>
    <w:rsid w:val="00026374"/>
    <w:rsid w:val="00026F5E"/>
    <w:rsid w:val="000302E3"/>
    <w:rsid w:val="000312C5"/>
    <w:rsid w:val="00031B10"/>
    <w:rsid w:val="00031CDC"/>
    <w:rsid w:val="00031FE5"/>
    <w:rsid w:val="00032E8E"/>
    <w:rsid w:val="00032EA7"/>
    <w:rsid w:val="00033EA9"/>
    <w:rsid w:val="00034038"/>
    <w:rsid w:val="000341B1"/>
    <w:rsid w:val="00034731"/>
    <w:rsid w:val="00035476"/>
    <w:rsid w:val="00035FE5"/>
    <w:rsid w:val="0003758E"/>
    <w:rsid w:val="00037799"/>
    <w:rsid w:val="000377E5"/>
    <w:rsid w:val="00040163"/>
    <w:rsid w:val="0004296F"/>
    <w:rsid w:val="00044784"/>
    <w:rsid w:val="00046192"/>
    <w:rsid w:val="000464CB"/>
    <w:rsid w:val="00046683"/>
    <w:rsid w:val="00047278"/>
    <w:rsid w:val="00050C69"/>
    <w:rsid w:val="00051BBF"/>
    <w:rsid w:val="00057937"/>
    <w:rsid w:val="000607BA"/>
    <w:rsid w:val="000618F5"/>
    <w:rsid w:val="0006238C"/>
    <w:rsid w:val="000625BD"/>
    <w:rsid w:val="00062AED"/>
    <w:rsid w:val="00065738"/>
    <w:rsid w:val="00065EB8"/>
    <w:rsid w:val="00066BA3"/>
    <w:rsid w:val="0007024A"/>
    <w:rsid w:val="000702BC"/>
    <w:rsid w:val="000707DB"/>
    <w:rsid w:val="00071B20"/>
    <w:rsid w:val="000748F3"/>
    <w:rsid w:val="00075FE5"/>
    <w:rsid w:val="000763A1"/>
    <w:rsid w:val="0007765D"/>
    <w:rsid w:val="00077F62"/>
    <w:rsid w:val="000805C7"/>
    <w:rsid w:val="00080DF7"/>
    <w:rsid w:val="0008245E"/>
    <w:rsid w:val="0008335B"/>
    <w:rsid w:val="00083984"/>
    <w:rsid w:val="00083C19"/>
    <w:rsid w:val="00083E4E"/>
    <w:rsid w:val="00084F4E"/>
    <w:rsid w:val="00091B1A"/>
    <w:rsid w:val="00094C22"/>
    <w:rsid w:val="000952D0"/>
    <w:rsid w:val="00095876"/>
    <w:rsid w:val="0009602C"/>
    <w:rsid w:val="0009653D"/>
    <w:rsid w:val="00097EA2"/>
    <w:rsid w:val="000A011E"/>
    <w:rsid w:val="000A07A0"/>
    <w:rsid w:val="000A2A19"/>
    <w:rsid w:val="000A3E47"/>
    <w:rsid w:val="000A4D72"/>
    <w:rsid w:val="000A5A5F"/>
    <w:rsid w:val="000A7877"/>
    <w:rsid w:val="000B098F"/>
    <w:rsid w:val="000B1FD3"/>
    <w:rsid w:val="000B1FFB"/>
    <w:rsid w:val="000B299B"/>
    <w:rsid w:val="000B3CCB"/>
    <w:rsid w:val="000B4BAD"/>
    <w:rsid w:val="000C00DD"/>
    <w:rsid w:val="000C02C9"/>
    <w:rsid w:val="000C0C15"/>
    <w:rsid w:val="000C0F1E"/>
    <w:rsid w:val="000C15E9"/>
    <w:rsid w:val="000C24BB"/>
    <w:rsid w:val="000C315C"/>
    <w:rsid w:val="000C33E2"/>
    <w:rsid w:val="000C3C36"/>
    <w:rsid w:val="000C3F5F"/>
    <w:rsid w:val="000C3F7A"/>
    <w:rsid w:val="000C5C5F"/>
    <w:rsid w:val="000C63A7"/>
    <w:rsid w:val="000C7A17"/>
    <w:rsid w:val="000C7C9B"/>
    <w:rsid w:val="000D06F7"/>
    <w:rsid w:val="000D0D48"/>
    <w:rsid w:val="000D28CA"/>
    <w:rsid w:val="000D37E2"/>
    <w:rsid w:val="000D5BD1"/>
    <w:rsid w:val="000D6247"/>
    <w:rsid w:val="000E15B2"/>
    <w:rsid w:val="000E2046"/>
    <w:rsid w:val="000E2C75"/>
    <w:rsid w:val="000E3200"/>
    <w:rsid w:val="000E407C"/>
    <w:rsid w:val="000E5625"/>
    <w:rsid w:val="000E5D53"/>
    <w:rsid w:val="000E625A"/>
    <w:rsid w:val="000E6A9F"/>
    <w:rsid w:val="000E6EB6"/>
    <w:rsid w:val="000E7226"/>
    <w:rsid w:val="000E75B6"/>
    <w:rsid w:val="000F0511"/>
    <w:rsid w:val="000F0914"/>
    <w:rsid w:val="000F259A"/>
    <w:rsid w:val="000F2A2A"/>
    <w:rsid w:val="000F39F1"/>
    <w:rsid w:val="000F43EC"/>
    <w:rsid w:val="000F53E1"/>
    <w:rsid w:val="000F5630"/>
    <w:rsid w:val="000F578C"/>
    <w:rsid w:val="000F6C08"/>
    <w:rsid w:val="000F6E1D"/>
    <w:rsid w:val="000F75BE"/>
    <w:rsid w:val="001018B9"/>
    <w:rsid w:val="00104B8D"/>
    <w:rsid w:val="00106711"/>
    <w:rsid w:val="00111AE7"/>
    <w:rsid w:val="001123AA"/>
    <w:rsid w:val="00112FC6"/>
    <w:rsid w:val="001132EA"/>
    <w:rsid w:val="00114067"/>
    <w:rsid w:val="001153CB"/>
    <w:rsid w:val="00120078"/>
    <w:rsid w:val="001200C8"/>
    <w:rsid w:val="00120C28"/>
    <w:rsid w:val="00120CB6"/>
    <w:rsid w:val="001211FD"/>
    <w:rsid w:val="001242D7"/>
    <w:rsid w:val="0012488D"/>
    <w:rsid w:val="00124CD1"/>
    <w:rsid w:val="001264F6"/>
    <w:rsid w:val="0012661C"/>
    <w:rsid w:val="001272EE"/>
    <w:rsid w:val="00131478"/>
    <w:rsid w:val="0013236F"/>
    <w:rsid w:val="00132976"/>
    <w:rsid w:val="00133A6F"/>
    <w:rsid w:val="00133C00"/>
    <w:rsid w:val="00136C83"/>
    <w:rsid w:val="0013723F"/>
    <w:rsid w:val="001401AE"/>
    <w:rsid w:val="00141B47"/>
    <w:rsid w:val="001437FC"/>
    <w:rsid w:val="00144488"/>
    <w:rsid w:val="001444BA"/>
    <w:rsid w:val="0014554B"/>
    <w:rsid w:val="00145E67"/>
    <w:rsid w:val="0014604F"/>
    <w:rsid w:val="00146E33"/>
    <w:rsid w:val="00147D74"/>
    <w:rsid w:val="0015064B"/>
    <w:rsid w:val="00151034"/>
    <w:rsid w:val="001516C6"/>
    <w:rsid w:val="0015258A"/>
    <w:rsid w:val="0015319A"/>
    <w:rsid w:val="001533E4"/>
    <w:rsid w:val="001545AD"/>
    <w:rsid w:val="001547DF"/>
    <w:rsid w:val="001549DC"/>
    <w:rsid w:val="001551E8"/>
    <w:rsid w:val="00156717"/>
    <w:rsid w:val="0016046A"/>
    <w:rsid w:val="00160A6D"/>
    <w:rsid w:val="00162F4F"/>
    <w:rsid w:val="00163088"/>
    <w:rsid w:val="00163E28"/>
    <w:rsid w:val="0016468D"/>
    <w:rsid w:val="00164E16"/>
    <w:rsid w:val="00166361"/>
    <w:rsid w:val="00166776"/>
    <w:rsid w:val="001734F1"/>
    <w:rsid w:val="00174586"/>
    <w:rsid w:val="0017475E"/>
    <w:rsid w:val="00174D39"/>
    <w:rsid w:val="0017543A"/>
    <w:rsid w:val="00175749"/>
    <w:rsid w:val="00175F37"/>
    <w:rsid w:val="00177366"/>
    <w:rsid w:val="00177A69"/>
    <w:rsid w:val="001815DF"/>
    <w:rsid w:val="00182516"/>
    <w:rsid w:val="0018370F"/>
    <w:rsid w:val="00183771"/>
    <w:rsid w:val="001847B1"/>
    <w:rsid w:val="00184EFC"/>
    <w:rsid w:val="00185383"/>
    <w:rsid w:val="00185E36"/>
    <w:rsid w:val="00186D5A"/>
    <w:rsid w:val="0018707E"/>
    <w:rsid w:val="00187907"/>
    <w:rsid w:val="00187DE6"/>
    <w:rsid w:val="00190C24"/>
    <w:rsid w:val="0019162C"/>
    <w:rsid w:val="001917E8"/>
    <w:rsid w:val="00192F64"/>
    <w:rsid w:val="0019536F"/>
    <w:rsid w:val="00195792"/>
    <w:rsid w:val="0019623A"/>
    <w:rsid w:val="00196F64"/>
    <w:rsid w:val="001977E3"/>
    <w:rsid w:val="001A0A8E"/>
    <w:rsid w:val="001A123F"/>
    <w:rsid w:val="001A193C"/>
    <w:rsid w:val="001A1C4E"/>
    <w:rsid w:val="001A222A"/>
    <w:rsid w:val="001A2E5E"/>
    <w:rsid w:val="001A30A4"/>
    <w:rsid w:val="001A67AC"/>
    <w:rsid w:val="001A7BA6"/>
    <w:rsid w:val="001A7C41"/>
    <w:rsid w:val="001A7FAD"/>
    <w:rsid w:val="001B0082"/>
    <w:rsid w:val="001B1F9D"/>
    <w:rsid w:val="001B3A70"/>
    <w:rsid w:val="001B43BF"/>
    <w:rsid w:val="001B48B5"/>
    <w:rsid w:val="001B4B7C"/>
    <w:rsid w:val="001B572F"/>
    <w:rsid w:val="001B5924"/>
    <w:rsid w:val="001B60E9"/>
    <w:rsid w:val="001B7D23"/>
    <w:rsid w:val="001B7E95"/>
    <w:rsid w:val="001C01F6"/>
    <w:rsid w:val="001C1AF0"/>
    <w:rsid w:val="001C21B1"/>
    <w:rsid w:val="001C4D4F"/>
    <w:rsid w:val="001C5835"/>
    <w:rsid w:val="001C5E7C"/>
    <w:rsid w:val="001C63C6"/>
    <w:rsid w:val="001C6517"/>
    <w:rsid w:val="001C66F8"/>
    <w:rsid w:val="001C7F10"/>
    <w:rsid w:val="001D0839"/>
    <w:rsid w:val="001D180C"/>
    <w:rsid w:val="001D1A8B"/>
    <w:rsid w:val="001D29D4"/>
    <w:rsid w:val="001D38F6"/>
    <w:rsid w:val="001D5A88"/>
    <w:rsid w:val="001D6027"/>
    <w:rsid w:val="001E05F8"/>
    <w:rsid w:val="001E1E6E"/>
    <w:rsid w:val="001E3E7F"/>
    <w:rsid w:val="001E7878"/>
    <w:rsid w:val="001E7FC8"/>
    <w:rsid w:val="001F0184"/>
    <w:rsid w:val="001F0856"/>
    <w:rsid w:val="001F2DA0"/>
    <w:rsid w:val="001F43AF"/>
    <w:rsid w:val="001F5A39"/>
    <w:rsid w:val="001F6EA4"/>
    <w:rsid w:val="001F707B"/>
    <w:rsid w:val="002002CF"/>
    <w:rsid w:val="00200812"/>
    <w:rsid w:val="00203115"/>
    <w:rsid w:val="00204CD5"/>
    <w:rsid w:val="00204DCA"/>
    <w:rsid w:val="0020624B"/>
    <w:rsid w:val="00210BAF"/>
    <w:rsid w:val="002111AD"/>
    <w:rsid w:val="00211743"/>
    <w:rsid w:val="00214743"/>
    <w:rsid w:val="00214AD3"/>
    <w:rsid w:val="00215AF2"/>
    <w:rsid w:val="002162B4"/>
    <w:rsid w:val="00216892"/>
    <w:rsid w:val="00216D24"/>
    <w:rsid w:val="00217DAC"/>
    <w:rsid w:val="00217DF7"/>
    <w:rsid w:val="00224F90"/>
    <w:rsid w:val="00225B1B"/>
    <w:rsid w:val="00226254"/>
    <w:rsid w:val="0022695D"/>
    <w:rsid w:val="00227815"/>
    <w:rsid w:val="00227AE7"/>
    <w:rsid w:val="002303AC"/>
    <w:rsid w:val="00230978"/>
    <w:rsid w:val="00230D78"/>
    <w:rsid w:val="00231206"/>
    <w:rsid w:val="00232172"/>
    <w:rsid w:val="0023514B"/>
    <w:rsid w:val="00235EBF"/>
    <w:rsid w:val="00236165"/>
    <w:rsid w:val="00237326"/>
    <w:rsid w:val="00237E4E"/>
    <w:rsid w:val="00240394"/>
    <w:rsid w:val="00240590"/>
    <w:rsid w:val="002405C7"/>
    <w:rsid w:val="00241876"/>
    <w:rsid w:val="00241B89"/>
    <w:rsid w:val="00242658"/>
    <w:rsid w:val="0024304A"/>
    <w:rsid w:val="00243196"/>
    <w:rsid w:val="00243D5E"/>
    <w:rsid w:val="00244DF0"/>
    <w:rsid w:val="0024549A"/>
    <w:rsid w:val="00245D51"/>
    <w:rsid w:val="00246416"/>
    <w:rsid w:val="002474DA"/>
    <w:rsid w:val="002526F0"/>
    <w:rsid w:val="002555FC"/>
    <w:rsid w:val="00257CF1"/>
    <w:rsid w:val="00260E6D"/>
    <w:rsid w:val="00265AE2"/>
    <w:rsid w:val="0027109E"/>
    <w:rsid w:val="00272225"/>
    <w:rsid w:val="00272431"/>
    <w:rsid w:val="002724BE"/>
    <w:rsid w:val="0027283E"/>
    <w:rsid w:val="0027299C"/>
    <w:rsid w:val="00272DB7"/>
    <w:rsid w:val="00274EF9"/>
    <w:rsid w:val="00275DB1"/>
    <w:rsid w:val="00276328"/>
    <w:rsid w:val="00276437"/>
    <w:rsid w:val="00276916"/>
    <w:rsid w:val="002769AC"/>
    <w:rsid w:val="00276B39"/>
    <w:rsid w:val="00276B99"/>
    <w:rsid w:val="00276ECA"/>
    <w:rsid w:val="00277017"/>
    <w:rsid w:val="0028289F"/>
    <w:rsid w:val="002833E9"/>
    <w:rsid w:val="002843C6"/>
    <w:rsid w:val="00285BE2"/>
    <w:rsid w:val="002872F7"/>
    <w:rsid w:val="00287757"/>
    <w:rsid w:val="00290F2E"/>
    <w:rsid w:val="002930F6"/>
    <w:rsid w:val="002961B3"/>
    <w:rsid w:val="00296BBE"/>
    <w:rsid w:val="00297E2A"/>
    <w:rsid w:val="00297EBC"/>
    <w:rsid w:val="002A0539"/>
    <w:rsid w:val="002A067D"/>
    <w:rsid w:val="002A0ABB"/>
    <w:rsid w:val="002A1A41"/>
    <w:rsid w:val="002A201E"/>
    <w:rsid w:val="002A224E"/>
    <w:rsid w:val="002A2967"/>
    <w:rsid w:val="002A2C32"/>
    <w:rsid w:val="002A2FA8"/>
    <w:rsid w:val="002A3A6E"/>
    <w:rsid w:val="002A4CFD"/>
    <w:rsid w:val="002A550F"/>
    <w:rsid w:val="002A612A"/>
    <w:rsid w:val="002A6561"/>
    <w:rsid w:val="002A78F3"/>
    <w:rsid w:val="002A7DE1"/>
    <w:rsid w:val="002A7DF6"/>
    <w:rsid w:val="002B0CCB"/>
    <w:rsid w:val="002B265F"/>
    <w:rsid w:val="002B396B"/>
    <w:rsid w:val="002B4019"/>
    <w:rsid w:val="002B4502"/>
    <w:rsid w:val="002B454E"/>
    <w:rsid w:val="002B6671"/>
    <w:rsid w:val="002B6FB6"/>
    <w:rsid w:val="002B763C"/>
    <w:rsid w:val="002B796D"/>
    <w:rsid w:val="002B7CD5"/>
    <w:rsid w:val="002C09FC"/>
    <w:rsid w:val="002C196E"/>
    <w:rsid w:val="002C1ACF"/>
    <w:rsid w:val="002C1AD7"/>
    <w:rsid w:val="002C2134"/>
    <w:rsid w:val="002C2B7B"/>
    <w:rsid w:val="002C2E37"/>
    <w:rsid w:val="002C44EE"/>
    <w:rsid w:val="002C4887"/>
    <w:rsid w:val="002C5F04"/>
    <w:rsid w:val="002C64A3"/>
    <w:rsid w:val="002C7E2E"/>
    <w:rsid w:val="002D018D"/>
    <w:rsid w:val="002D1FDB"/>
    <w:rsid w:val="002D3ABD"/>
    <w:rsid w:val="002D4124"/>
    <w:rsid w:val="002D43AE"/>
    <w:rsid w:val="002D529E"/>
    <w:rsid w:val="002D60F6"/>
    <w:rsid w:val="002E0D5B"/>
    <w:rsid w:val="002E1B77"/>
    <w:rsid w:val="002E3343"/>
    <w:rsid w:val="002E486C"/>
    <w:rsid w:val="002E5A03"/>
    <w:rsid w:val="002E65EF"/>
    <w:rsid w:val="002E6F48"/>
    <w:rsid w:val="002E7B4F"/>
    <w:rsid w:val="002F0470"/>
    <w:rsid w:val="002F1834"/>
    <w:rsid w:val="002F2285"/>
    <w:rsid w:val="002F229D"/>
    <w:rsid w:val="002F33DA"/>
    <w:rsid w:val="002F3A10"/>
    <w:rsid w:val="002F428C"/>
    <w:rsid w:val="002F6AAC"/>
    <w:rsid w:val="002F7748"/>
    <w:rsid w:val="003006CF"/>
    <w:rsid w:val="00302085"/>
    <w:rsid w:val="003105DF"/>
    <w:rsid w:val="00312A9A"/>
    <w:rsid w:val="003131BA"/>
    <w:rsid w:val="00313428"/>
    <w:rsid w:val="00314EB3"/>
    <w:rsid w:val="00316044"/>
    <w:rsid w:val="00316BC0"/>
    <w:rsid w:val="003173D0"/>
    <w:rsid w:val="003178F2"/>
    <w:rsid w:val="00320C15"/>
    <w:rsid w:val="003219F5"/>
    <w:rsid w:val="00322B32"/>
    <w:rsid w:val="003234A9"/>
    <w:rsid w:val="00324456"/>
    <w:rsid w:val="00324547"/>
    <w:rsid w:val="003311B1"/>
    <w:rsid w:val="00331392"/>
    <w:rsid w:val="00333C13"/>
    <w:rsid w:val="00335804"/>
    <w:rsid w:val="003379DA"/>
    <w:rsid w:val="0034044D"/>
    <w:rsid w:val="0034055B"/>
    <w:rsid w:val="00342384"/>
    <w:rsid w:val="00343601"/>
    <w:rsid w:val="00344B17"/>
    <w:rsid w:val="0034550D"/>
    <w:rsid w:val="00345721"/>
    <w:rsid w:val="0034583C"/>
    <w:rsid w:val="0034788D"/>
    <w:rsid w:val="003530C7"/>
    <w:rsid w:val="003530D5"/>
    <w:rsid w:val="0035324D"/>
    <w:rsid w:val="00353302"/>
    <w:rsid w:val="0035378A"/>
    <w:rsid w:val="003537C1"/>
    <w:rsid w:val="00353A2C"/>
    <w:rsid w:val="003544E3"/>
    <w:rsid w:val="003546A6"/>
    <w:rsid w:val="003569E9"/>
    <w:rsid w:val="003570D0"/>
    <w:rsid w:val="00372180"/>
    <w:rsid w:val="003737A1"/>
    <w:rsid w:val="00373B35"/>
    <w:rsid w:val="003743DA"/>
    <w:rsid w:val="0037704E"/>
    <w:rsid w:val="00377512"/>
    <w:rsid w:val="00377F52"/>
    <w:rsid w:val="00382049"/>
    <w:rsid w:val="0038472A"/>
    <w:rsid w:val="0038475F"/>
    <w:rsid w:val="00384989"/>
    <w:rsid w:val="00385131"/>
    <w:rsid w:val="00386339"/>
    <w:rsid w:val="00387AFE"/>
    <w:rsid w:val="0039102F"/>
    <w:rsid w:val="00393431"/>
    <w:rsid w:val="00394333"/>
    <w:rsid w:val="00394A08"/>
    <w:rsid w:val="00395A48"/>
    <w:rsid w:val="0039697F"/>
    <w:rsid w:val="003A3B30"/>
    <w:rsid w:val="003A5744"/>
    <w:rsid w:val="003A619A"/>
    <w:rsid w:val="003A6AAC"/>
    <w:rsid w:val="003A6C19"/>
    <w:rsid w:val="003A76CD"/>
    <w:rsid w:val="003B1429"/>
    <w:rsid w:val="003B1899"/>
    <w:rsid w:val="003B1F60"/>
    <w:rsid w:val="003B1F62"/>
    <w:rsid w:val="003B217B"/>
    <w:rsid w:val="003B24FE"/>
    <w:rsid w:val="003B4EC6"/>
    <w:rsid w:val="003B4F9C"/>
    <w:rsid w:val="003C0796"/>
    <w:rsid w:val="003C0AB4"/>
    <w:rsid w:val="003C13CF"/>
    <w:rsid w:val="003C1A4A"/>
    <w:rsid w:val="003C2783"/>
    <w:rsid w:val="003C2A9E"/>
    <w:rsid w:val="003C3A52"/>
    <w:rsid w:val="003C3EC7"/>
    <w:rsid w:val="003C4829"/>
    <w:rsid w:val="003C4869"/>
    <w:rsid w:val="003C49B6"/>
    <w:rsid w:val="003C5EB2"/>
    <w:rsid w:val="003C60CC"/>
    <w:rsid w:val="003C6EA4"/>
    <w:rsid w:val="003D08CD"/>
    <w:rsid w:val="003D0BF5"/>
    <w:rsid w:val="003D305D"/>
    <w:rsid w:val="003D49F9"/>
    <w:rsid w:val="003D50AF"/>
    <w:rsid w:val="003D6467"/>
    <w:rsid w:val="003D663F"/>
    <w:rsid w:val="003D67DC"/>
    <w:rsid w:val="003E153A"/>
    <w:rsid w:val="003E26D6"/>
    <w:rsid w:val="003E4532"/>
    <w:rsid w:val="003E509E"/>
    <w:rsid w:val="003E5236"/>
    <w:rsid w:val="003E5378"/>
    <w:rsid w:val="003E5DE4"/>
    <w:rsid w:val="003E6817"/>
    <w:rsid w:val="003E6ACB"/>
    <w:rsid w:val="003E70AD"/>
    <w:rsid w:val="003E73C6"/>
    <w:rsid w:val="003E7978"/>
    <w:rsid w:val="003F1496"/>
    <w:rsid w:val="003F194B"/>
    <w:rsid w:val="003F391A"/>
    <w:rsid w:val="003F3C10"/>
    <w:rsid w:val="003F457B"/>
    <w:rsid w:val="003F4848"/>
    <w:rsid w:val="003F4C04"/>
    <w:rsid w:val="003F4C3D"/>
    <w:rsid w:val="003F4CBB"/>
    <w:rsid w:val="003F5043"/>
    <w:rsid w:val="003F5899"/>
    <w:rsid w:val="003F7A5A"/>
    <w:rsid w:val="00403528"/>
    <w:rsid w:val="004040E8"/>
    <w:rsid w:val="00405069"/>
    <w:rsid w:val="00406349"/>
    <w:rsid w:val="0040742F"/>
    <w:rsid w:val="004105EE"/>
    <w:rsid w:val="00412EBC"/>
    <w:rsid w:val="00415FFA"/>
    <w:rsid w:val="00416406"/>
    <w:rsid w:val="00416D5F"/>
    <w:rsid w:val="00417592"/>
    <w:rsid w:val="00421794"/>
    <w:rsid w:val="004236D4"/>
    <w:rsid w:val="00424F55"/>
    <w:rsid w:val="004258E8"/>
    <w:rsid w:val="0042674E"/>
    <w:rsid w:val="0042757A"/>
    <w:rsid w:val="00430D7E"/>
    <w:rsid w:val="0043400D"/>
    <w:rsid w:val="00436433"/>
    <w:rsid w:val="004377EB"/>
    <w:rsid w:val="00437F8E"/>
    <w:rsid w:val="00440452"/>
    <w:rsid w:val="00442E9B"/>
    <w:rsid w:val="00444534"/>
    <w:rsid w:val="00445392"/>
    <w:rsid w:val="0044577C"/>
    <w:rsid w:val="00446154"/>
    <w:rsid w:val="0044692F"/>
    <w:rsid w:val="00446B2A"/>
    <w:rsid w:val="00447F7E"/>
    <w:rsid w:val="00451F5E"/>
    <w:rsid w:val="00452332"/>
    <w:rsid w:val="004562F7"/>
    <w:rsid w:val="00457404"/>
    <w:rsid w:val="0045753F"/>
    <w:rsid w:val="004575CC"/>
    <w:rsid w:val="0045793C"/>
    <w:rsid w:val="0046037D"/>
    <w:rsid w:val="00460602"/>
    <w:rsid w:val="00463418"/>
    <w:rsid w:val="004643F0"/>
    <w:rsid w:val="00471EB5"/>
    <w:rsid w:val="00472B21"/>
    <w:rsid w:val="004735EC"/>
    <w:rsid w:val="004740A2"/>
    <w:rsid w:val="00474299"/>
    <w:rsid w:val="0047454B"/>
    <w:rsid w:val="004746AE"/>
    <w:rsid w:val="004756D6"/>
    <w:rsid w:val="00477310"/>
    <w:rsid w:val="00482630"/>
    <w:rsid w:val="00482F08"/>
    <w:rsid w:val="00483943"/>
    <w:rsid w:val="00483F0A"/>
    <w:rsid w:val="0048406C"/>
    <w:rsid w:val="00484269"/>
    <w:rsid w:val="00484C64"/>
    <w:rsid w:val="00485219"/>
    <w:rsid w:val="00485280"/>
    <w:rsid w:val="00485710"/>
    <w:rsid w:val="00490F90"/>
    <w:rsid w:val="00493880"/>
    <w:rsid w:val="00493DBC"/>
    <w:rsid w:val="00494344"/>
    <w:rsid w:val="00494F32"/>
    <w:rsid w:val="00496141"/>
    <w:rsid w:val="00497817"/>
    <w:rsid w:val="004A0507"/>
    <w:rsid w:val="004A227C"/>
    <w:rsid w:val="004A29D5"/>
    <w:rsid w:val="004A2B60"/>
    <w:rsid w:val="004A37C2"/>
    <w:rsid w:val="004A47F7"/>
    <w:rsid w:val="004A49F9"/>
    <w:rsid w:val="004A6127"/>
    <w:rsid w:val="004A6241"/>
    <w:rsid w:val="004A7359"/>
    <w:rsid w:val="004A7A46"/>
    <w:rsid w:val="004A7A7D"/>
    <w:rsid w:val="004B133D"/>
    <w:rsid w:val="004B1A94"/>
    <w:rsid w:val="004B1E5D"/>
    <w:rsid w:val="004B2D32"/>
    <w:rsid w:val="004B5028"/>
    <w:rsid w:val="004B63D9"/>
    <w:rsid w:val="004B7136"/>
    <w:rsid w:val="004B7195"/>
    <w:rsid w:val="004B7510"/>
    <w:rsid w:val="004B7F46"/>
    <w:rsid w:val="004C0123"/>
    <w:rsid w:val="004C0385"/>
    <w:rsid w:val="004C1970"/>
    <w:rsid w:val="004C19A5"/>
    <w:rsid w:val="004C1F26"/>
    <w:rsid w:val="004C247C"/>
    <w:rsid w:val="004C2943"/>
    <w:rsid w:val="004C2EE5"/>
    <w:rsid w:val="004C39D2"/>
    <w:rsid w:val="004C3C8A"/>
    <w:rsid w:val="004C446E"/>
    <w:rsid w:val="004C5128"/>
    <w:rsid w:val="004C571D"/>
    <w:rsid w:val="004C784C"/>
    <w:rsid w:val="004C7B17"/>
    <w:rsid w:val="004D01BA"/>
    <w:rsid w:val="004D03A5"/>
    <w:rsid w:val="004D200B"/>
    <w:rsid w:val="004D3F50"/>
    <w:rsid w:val="004D447A"/>
    <w:rsid w:val="004D5A4B"/>
    <w:rsid w:val="004D6F66"/>
    <w:rsid w:val="004D6FB9"/>
    <w:rsid w:val="004D6FCB"/>
    <w:rsid w:val="004D71F3"/>
    <w:rsid w:val="004D791D"/>
    <w:rsid w:val="004D7D77"/>
    <w:rsid w:val="004E7CB0"/>
    <w:rsid w:val="004F0C50"/>
    <w:rsid w:val="004F1380"/>
    <w:rsid w:val="004F2862"/>
    <w:rsid w:val="004F4A36"/>
    <w:rsid w:val="004F4BFD"/>
    <w:rsid w:val="004F54E9"/>
    <w:rsid w:val="004F797F"/>
    <w:rsid w:val="00500AA4"/>
    <w:rsid w:val="00501119"/>
    <w:rsid w:val="00501DDE"/>
    <w:rsid w:val="0050421E"/>
    <w:rsid w:val="00505193"/>
    <w:rsid w:val="00506C69"/>
    <w:rsid w:val="00507105"/>
    <w:rsid w:val="00507627"/>
    <w:rsid w:val="00507D25"/>
    <w:rsid w:val="00510556"/>
    <w:rsid w:val="00511510"/>
    <w:rsid w:val="00511FF6"/>
    <w:rsid w:val="005131E5"/>
    <w:rsid w:val="0051348B"/>
    <w:rsid w:val="005144D8"/>
    <w:rsid w:val="005162F2"/>
    <w:rsid w:val="00516C3C"/>
    <w:rsid w:val="0051700C"/>
    <w:rsid w:val="005175FA"/>
    <w:rsid w:val="0052203B"/>
    <w:rsid w:val="005220EC"/>
    <w:rsid w:val="00522D60"/>
    <w:rsid w:val="0052378E"/>
    <w:rsid w:val="0052429E"/>
    <w:rsid w:val="00525C84"/>
    <w:rsid w:val="00525FC4"/>
    <w:rsid w:val="00530108"/>
    <w:rsid w:val="00530E47"/>
    <w:rsid w:val="00530EE9"/>
    <w:rsid w:val="00534821"/>
    <w:rsid w:val="00535FB3"/>
    <w:rsid w:val="00536203"/>
    <w:rsid w:val="00537A3A"/>
    <w:rsid w:val="00537B5E"/>
    <w:rsid w:val="0054106B"/>
    <w:rsid w:val="005432B0"/>
    <w:rsid w:val="00544583"/>
    <w:rsid w:val="005446B8"/>
    <w:rsid w:val="00546291"/>
    <w:rsid w:val="0054665D"/>
    <w:rsid w:val="005466BB"/>
    <w:rsid w:val="0054715A"/>
    <w:rsid w:val="00547B4D"/>
    <w:rsid w:val="00551C5A"/>
    <w:rsid w:val="00551D13"/>
    <w:rsid w:val="00553BA2"/>
    <w:rsid w:val="00553C5D"/>
    <w:rsid w:val="00554002"/>
    <w:rsid w:val="00554C6F"/>
    <w:rsid w:val="005555E7"/>
    <w:rsid w:val="005556A1"/>
    <w:rsid w:val="00557772"/>
    <w:rsid w:val="005620DD"/>
    <w:rsid w:val="005642EF"/>
    <w:rsid w:val="0056447E"/>
    <w:rsid w:val="00566289"/>
    <w:rsid w:val="0056794B"/>
    <w:rsid w:val="00567A4F"/>
    <w:rsid w:val="00570572"/>
    <w:rsid w:val="00571734"/>
    <w:rsid w:val="00571D9B"/>
    <w:rsid w:val="00571F98"/>
    <w:rsid w:val="0057279B"/>
    <w:rsid w:val="00573453"/>
    <w:rsid w:val="005749F4"/>
    <w:rsid w:val="005761E2"/>
    <w:rsid w:val="00576AD3"/>
    <w:rsid w:val="00577559"/>
    <w:rsid w:val="00577B93"/>
    <w:rsid w:val="00580C1C"/>
    <w:rsid w:val="005815E7"/>
    <w:rsid w:val="00581BEC"/>
    <w:rsid w:val="00584612"/>
    <w:rsid w:val="005872D1"/>
    <w:rsid w:val="00587D50"/>
    <w:rsid w:val="00590AD3"/>
    <w:rsid w:val="0059245E"/>
    <w:rsid w:val="00592C05"/>
    <w:rsid w:val="0059370C"/>
    <w:rsid w:val="005948F3"/>
    <w:rsid w:val="00594FE0"/>
    <w:rsid w:val="0059509D"/>
    <w:rsid w:val="00595969"/>
    <w:rsid w:val="00595B15"/>
    <w:rsid w:val="00596300"/>
    <w:rsid w:val="0059795F"/>
    <w:rsid w:val="00597BCC"/>
    <w:rsid w:val="005A1F6B"/>
    <w:rsid w:val="005A2B5F"/>
    <w:rsid w:val="005A37AF"/>
    <w:rsid w:val="005A3D36"/>
    <w:rsid w:val="005A51C9"/>
    <w:rsid w:val="005A5C22"/>
    <w:rsid w:val="005A5F27"/>
    <w:rsid w:val="005A6DE5"/>
    <w:rsid w:val="005A70E6"/>
    <w:rsid w:val="005A779B"/>
    <w:rsid w:val="005B2F70"/>
    <w:rsid w:val="005B6840"/>
    <w:rsid w:val="005C0119"/>
    <w:rsid w:val="005C1579"/>
    <w:rsid w:val="005C1792"/>
    <w:rsid w:val="005C39C8"/>
    <w:rsid w:val="005C499A"/>
    <w:rsid w:val="005C4A8D"/>
    <w:rsid w:val="005D0388"/>
    <w:rsid w:val="005D26FF"/>
    <w:rsid w:val="005D2794"/>
    <w:rsid w:val="005D6A90"/>
    <w:rsid w:val="005D757B"/>
    <w:rsid w:val="005D7AA4"/>
    <w:rsid w:val="005E0EEF"/>
    <w:rsid w:val="005E1804"/>
    <w:rsid w:val="005E1AB6"/>
    <w:rsid w:val="005E25F1"/>
    <w:rsid w:val="005E2933"/>
    <w:rsid w:val="005E30EA"/>
    <w:rsid w:val="005E4FBC"/>
    <w:rsid w:val="005E5004"/>
    <w:rsid w:val="005E7FAE"/>
    <w:rsid w:val="005F1706"/>
    <w:rsid w:val="005F2D8D"/>
    <w:rsid w:val="005F43B7"/>
    <w:rsid w:val="005F714E"/>
    <w:rsid w:val="00600C69"/>
    <w:rsid w:val="00601344"/>
    <w:rsid w:val="00602434"/>
    <w:rsid w:val="00602948"/>
    <w:rsid w:val="00602E3B"/>
    <w:rsid w:val="00603CBE"/>
    <w:rsid w:val="00604F7D"/>
    <w:rsid w:val="00606FC5"/>
    <w:rsid w:val="00607C1E"/>
    <w:rsid w:val="00610636"/>
    <w:rsid w:val="0061125E"/>
    <w:rsid w:val="00611534"/>
    <w:rsid w:val="006115D7"/>
    <w:rsid w:val="00611CFE"/>
    <w:rsid w:val="00611F28"/>
    <w:rsid w:val="006139F4"/>
    <w:rsid w:val="00613A0C"/>
    <w:rsid w:val="006155D6"/>
    <w:rsid w:val="006156B0"/>
    <w:rsid w:val="0061603B"/>
    <w:rsid w:val="0061696B"/>
    <w:rsid w:val="00617FD2"/>
    <w:rsid w:val="00620822"/>
    <w:rsid w:val="006213ED"/>
    <w:rsid w:val="00622451"/>
    <w:rsid w:val="0062305D"/>
    <w:rsid w:val="006237F7"/>
    <w:rsid w:val="00624672"/>
    <w:rsid w:val="006255F3"/>
    <w:rsid w:val="00625BD5"/>
    <w:rsid w:val="00626760"/>
    <w:rsid w:val="00632310"/>
    <w:rsid w:val="00634DBF"/>
    <w:rsid w:val="00636752"/>
    <w:rsid w:val="006367DA"/>
    <w:rsid w:val="006379FC"/>
    <w:rsid w:val="00641231"/>
    <w:rsid w:val="00642B12"/>
    <w:rsid w:val="00643A23"/>
    <w:rsid w:val="00643BA5"/>
    <w:rsid w:val="006444D2"/>
    <w:rsid w:val="00645040"/>
    <w:rsid w:val="00645F18"/>
    <w:rsid w:val="00646B30"/>
    <w:rsid w:val="0065073A"/>
    <w:rsid w:val="0065079C"/>
    <w:rsid w:val="00650958"/>
    <w:rsid w:val="00650A57"/>
    <w:rsid w:val="00653BDF"/>
    <w:rsid w:val="00655983"/>
    <w:rsid w:val="006559BC"/>
    <w:rsid w:val="00655EB7"/>
    <w:rsid w:val="00656141"/>
    <w:rsid w:val="0066134A"/>
    <w:rsid w:val="00661541"/>
    <w:rsid w:val="0066174B"/>
    <w:rsid w:val="00663E6C"/>
    <w:rsid w:val="00663F0A"/>
    <w:rsid w:val="00664F9F"/>
    <w:rsid w:val="00665D3D"/>
    <w:rsid w:val="0066658E"/>
    <w:rsid w:val="00667144"/>
    <w:rsid w:val="00670F5A"/>
    <w:rsid w:val="006729D9"/>
    <w:rsid w:val="00672BB5"/>
    <w:rsid w:val="00672E40"/>
    <w:rsid w:val="00676C96"/>
    <w:rsid w:val="00676D7A"/>
    <w:rsid w:val="00680825"/>
    <w:rsid w:val="00680C9C"/>
    <w:rsid w:val="0068171A"/>
    <w:rsid w:val="0068204A"/>
    <w:rsid w:val="0068320A"/>
    <w:rsid w:val="00683AC3"/>
    <w:rsid w:val="0068498C"/>
    <w:rsid w:val="00684B09"/>
    <w:rsid w:val="00685046"/>
    <w:rsid w:val="00685A35"/>
    <w:rsid w:val="006863E0"/>
    <w:rsid w:val="00686F74"/>
    <w:rsid w:val="00687E06"/>
    <w:rsid w:val="00690936"/>
    <w:rsid w:val="00691280"/>
    <w:rsid w:val="006915BD"/>
    <w:rsid w:val="006926BC"/>
    <w:rsid w:val="0069284F"/>
    <w:rsid w:val="00693399"/>
    <w:rsid w:val="00696976"/>
    <w:rsid w:val="00696ADD"/>
    <w:rsid w:val="00697314"/>
    <w:rsid w:val="006A12CC"/>
    <w:rsid w:val="006A1CE4"/>
    <w:rsid w:val="006A24CA"/>
    <w:rsid w:val="006A4BB0"/>
    <w:rsid w:val="006A683C"/>
    <w:rsid w:val="006A7064"/>
    <w:rsid w:val="006A7C2A"/>
    <w:rsid w:val="006B1F6C"/>
    <w:rsid w:val="006B3A13"/>
    <w:rsid w:val="006B3AB4"/>
    <w:rsid w:val="006B3CFD"/>
    <w:rsid w:val="006B41DF"/>
    <w:rsid w:val="006B4952"/>
    <w:rsid w:val="006B4C85"/>
    <w:rsid w:val="006B567B"/>
    <w:rsid w:val="006B5A1E"/>
    <w:rsid w:val="006B7E8A"/>
    <w:rsid w:val="006C1B48"/>
    <w:rsid w:val="006C545C"/>
    <w:rsid w:val="006C581B"/>
    <w:rsid w:val="006C614B"/>
    <w:rsid w:val="006C652F"/>
    <w:rsid w:val="006C6A20"/>
    <w:rsid w:val="006D1DD0"/>
    <w:rsid w:val="006D285F"/>
    <w:rsid w:val="006D420F"/>
    <w:rsid w:val="006D43ED"/>
    <w:rsid w:val="006D6B83"/>
    <w:rsid w:val="006D78B8"/>
    <w:rsid w:val="006E1147"/>
    <w:rsid w:val="006E1B2C"/>
    <w:rsid w:val="006E2E33"/>
    <w:rsid w:val="006E45DA"/>
    <w:rsid w:val="006E4B08"/>
    <w:rsid w:val="006E6495"/>
    <w:rsid w:val="006E682D"/>
    <w:rsid w:val="006E6EE4"/>
    <w:rsid w:val="006E7160"/>
    <w:rsid w:val="006E7C90"/>
    <w:rsid w:val="006E7DFD"/>
    <w:rsid w:val="006E7F92"/>
    <w:rsid w:val="006F10F4"/>
    <w:rsid w:val="006F2136"/>
    <w:rsid w:val="006F2995"/>
    <w:rsid w:val="006F299C"/>
    <w:rsid w:val="006F38F1"/>
    <w:rsid w:val="006F5564"/>
    <w:rsid w:val="006F6FCA"/>
    <w:rsid w:val="006F791A"/>
    <w:rsid w:val="0070213B"/>
    <w:rsid w:val="00702F0B"/>
    <w:rsid w:val="00703F20"/>
    <w:rsid w:val="00705C93"/>
    <w:rsid w:val="00706CC2"/>
    <w:rsid w:val="00706DC5"/>
    <w:rsid w:val="0070725F"/>
    <w:rsid w:val="007121E1"/>
    <w:rsid w:val="00712C61"/>
    <w:rsid w:val="00712E60"/>
    <w:rsid w:val="00715063"/>
    <w:rsid w:val="007150D7"/>
    <w:rsid w:val="00715C58"/>
    <w:rsid w:val="007201EE"/>
    <w:rsid w:val="0072024A"/>
    <w:rsid w:val="00721626"/>
    <w:rsid w:val="00721778"/>
    <w:rsid w:val="00721D1C"/>
    <w:rsid w:val="00724AE6"/>
    <w:rsid w:val="00725E87"/>
    <w:rsid w:val="00726DCB"/>
    <w:rsid w:val="007273D2"/>
    <w:rsid w:val="00727E14"/>
    <w:rsid w:val="00730FAC"/>
    <w:rsid w:val="0073180A"/>
    <w:rsid w:val="007321E9"/>
    <w:rsid w:val="0073287F"/>
    <w:rsid w:val="00733624"/>
    <w:rsid w:val="00733F95"/>
    <w:rsid w:val="0073438A"/>
    <w:rsid w:val="00735AF0"/>
    <w:rsid w:val="0073618A"/>
    <w:rsid w:val="007364D4"/>
    <w:rsid w:val="00736E12"/>
    <w:rsid w:val="00741913"/>
    <w:rsid w:val="00742112"/>
    <w:rsid w:val="00742BB0"/>
    <w:rsid w:val="00742E9A"/>
    <w:rsid w:val="0074430B"/>
    <w:rsid w:val="00744812"/>
    <w:rsid w:val="00746017"/>
    <w:rsid w:val="00750B85"/>
    <w:rsid w:val="00750D3A"/>
    <w:rsid w:val="00752556"/>
    <w:rsid w:val="0075346E"/>
    <w:rsid w:val="007539D7"/>
    <w:rsid w:val="00755540"/>
    <w:rsid w:val="00760626"/>
    <w:rsid w:val="007618BE"/>
    <w:rsid w:val="00761A88"/>
    <w:rsid w:val="00761F6D"/>
    <w:rsid w:val="00762172"/>
    <w:rsid w:val="007627FB"/>
    <w:rsid w:val="00764A3B"/>
    <w:rsid w:val="00765F80"/>
    <w:rsid w:val="007705B8"/>
    <w:rsid w:val="00771AEB"/>
    <w:rsid w:val="00771C5D"/>
    <w:rsid w:val="00772916"/>
    <w:rsid w:val="0077311F"/>
    <w:rsid w:val="00773BF8"/>
    <w:rsid w:val="00773C62"/>
    <w:rsid w:val="00773EAC"/>
    <w:rsid w:val="00773F34"/>
    <w:rsid w:val="00774EE8"/>
    <w:rsid w:val="007751A6"/>
    <w:rsid w:val="00776175"/>
    <w:rsid w:val="00776241"/>
    <w:rsid w:val="007767B9"/>
    <w:rsid w:val="00776C65"/>
    <w:rsid w:val="00776F3A"/>
    <w:rsid w:val="00777193"/>
    <w:rsid w:val="00777663"/>
    <w:rsid w:val="00780107"/>
    <w:rsid w:val="007811B3"/>
    <w:rsid w:val="0078252A"/>
    <w:rsid w:val="007829FC"/>
    <w:rsid w:val="00783A64"/>
    <w:rsid w:val="00785B83"/>
    <w:rsid w:val="00785C00"/>
    <w:rsid w:val="00787412"/>
    <w:rsid w:val="00791B15"/>
    <w:rsid w:val="0079220B"/>
    <w:rsid w:val="007925D1"/>
    <w:rsid w:val="007934CD"/>
    <w:rsid w:val="0079624A"/>
    <w:rsid w:val="00797A23"/>
    <w:rsid w:val="00797B90"/>
    <w:rsid w:val="007A0217"/>
    <w:rsid w:val="007A145C"/>
    <w:rsid w:val="007A1C94"/>
    <w:rsid w:val="007A2B4D"/>
    <w:rsid w:val="007A2B62"/>
    <w:rsid w:val="007A334D"/>
    <w:rsid w:val="007A3A48"/>
    <w:rsid w:val="007A4FD3"/>
    <w:rsid w:val="007A5FD3"/>
    <w:rsid w:val="007A6AA9"/>
    <w:rsid w:val="007A6C3C"/>
    <w:rsid w:val="007A7158"/>
    <w:rsid w:val="007B06D3"/>
    <w:rsid w:val="007B075D"/>
    <w:rsid w:val="007B1638"/>
    <w:rsid w:val="007B1657"/>
    <w:rsid w:val="007B38D9"/>
    <w:rsid w:val="007B39BE"/>
    <w:rsid w:val="007B464F"/>
    <w:rsid w:val="007B5FC0"/>
    <w:rsid w:val="007B61DE"/>
    <w:rsid w:val="007B63D7"/>
    <w:rsid w:val="007B679E"/>
    <w:rsid w:val="007B69B4"/>
    <w:rsid w:val="007B73C0"/>
    <w:rsid w:val="007B760A"/>
    <w:rsid w:val="007B793C"/>
    <w:rsid w:val="007B7F3B"/>
    <w:rsid w:val="007C0707"/>
    <w:rsid w:val="007C1F1A"/>
    <w:rsid w:val="007C3675"/>
    <w:rsid w:val="007C456E"/>
    <w:rsid w:val="007C48A4"/>
    <w:rsid w:val="007C5402"/>
    <w:rsid w:val="007C5773"/>
    <w:rsid w:val="007C5A57"/>
    <w:rsid w:val="007C5DE4"/>
    <w:rsid w:val="007C6040"/>
    <w:rsid w:val="007C720D"/>
    <w:rsid w:val="007C73D2"/>
    <w:rsid w:val="007D02BC"/>
    <w:rsid w:val="007D0D45"/>
    <w:rsid w:val="007D2C21"/>
    <w:rsid w:val="007D3509"/>
    <w:rsid w:val="007D3A4D"/>
    <w:rsid w:val="007D4B5B"/>
    <w:rsid w:val="007D6071"/>
    <w:rsid w:val="007D6B98"/>
    <w:rsid w:val="007E0072"/>
    <w:rsid w:val="007E1612"/>
    <w:rsid w:val="007E2257"/>
    <w:rsid w:val="007E23D5"/>
    <w:rsid w:val="007E2BFD"/>
    <w:rsid w:val="007E35EB"/>
    <w:rsid w:val="007E45A2"/>
    <w:rsid w:val="007E5B26"/>
    <w:rsid w:val="007E6437"/>
    <w:rsid w:val="007E683C"/>
    <w:rsid w:val="007E68E0"/>
    <w:rsid w:val="007F0465"/>
    <w:rsid w:val="007F0EC9"/>
    <w:rsid w:val="007F1986"/>
    <w:rsid w:val="007F201F"/>
    <w:rsid w:val="007F2DF4"/>
    <w:rsid w:val="007F434F"/>
    <w:rsid w:val="007F51B3"/>
    <w:rsid w:val="007F5693"/>
    <w:rsid w:val="007F70A6"/>
    <w:rsid w:val="007F7988"/>
    <w:rsid w:val="007F7F73"/>
    <w:rsid w:val="008003DD"/>
    <w:rsid w:val="00800863"/>
    <w:rsid w:val="00801FC9"/>
    <w:rsid w:val="008028DA"/>
    <w:rsid w:val="00804194"/>
    <w:rsid w:val="008051D0"/>
    <w:rsid w:val="0080549D"/>
    <w:rsid w:val="008054BE"/>
    <w:rsid w:val="00805CE5"/>
    <w:rsid w:val="008063FF"/>
    <w:rsid w:val="0080749A"/>
    <w:rsid w:val="00807989"/>
    <w:rsid w:val="00807FE6"/>
    <w:rsid w:val="0081122A"/>
    <w:rsid w:val="00811512"/>
    <w:rsid w:val="008118EF"/>
    <w:rsid w:val="0081311A"/>
    <w:rsid w:val="00813AFE"/>
    <w:rsid w:val="008145A2"/>
    <w:rsid w:val="00815CBD"/>
    <w:rsid w:val="00817E9E"/>
    <w:rsid w:val="008222AB"/>
    <w:rsid w:val="00823EE9"/>
    <w:rsid w:val="008249D9"/>
    <w:rsid w:val="00825544"/>
    <w:rsid w:val="008271DD"/>
    <w:rsid w:val="0082747B"/>
    <w:rsid w:val="0082766F"/>
    <w:rsid w:val="008301B1"/>
    <w:rsid w:val="00831433"/>
    <w:rsid w:val="00831512"/>
    <w:rsid w:val="0083310A"/>
    <w:rsid w:val="008337E0"/>
    <w:rsid w:val="0083385B"/>
    <w:rsid w:val="00834DC0"/>
    <w:rsid w:val="008352AD"/>
    <w:rsid w:val="00835EE1"/>
    <w:rsid w:val="008368CF"/>
    <w:rsid w:val="0083738C"/>
    <w:rsid w:val="00837BC0"/>
    <w:rsid w:val="00837D54"/>
    <w:rsid w:val="0084006E"/>
    <w:rsid w:val="008424FD"/>
    <w:rsid w:val="008426D0"/>
    <w:rsid w:val="00842E41"/>
    <w:rsid w:val="008459F9"/>
    <w:rsid w:val="0084613F"/>
    <w:rsid w:val="0084630D"/>
    <w:rsid w:val="008466A4"/>
    <w:rsid w:val="00846769"/>
    <w:rsid w:val="008475D5"/>
    <w:rsid w:val="00850EA1"/>
    <w:rsid w:val="00851A80"/>
    <w:rsid w:val="0085248A"/>
    <w:rsid w:val="00853714"/>
    <w:rsid w:val="00854099"/>
    <w:rsid w:val="008546B8"/>
    <w:rsid w:val="00855940"/>
    <w:rsid w:val="00856C0A"/>
    <w:rsid w:val="00860649"/>
    <w:rsid w:val="008608E9"/>
    <w:rsid w:val="00860D0B"/>
    <w:rsid w:val="00860DCB"/>
    <w:rsid w:val="00861024"/>
    <w:rsid w:val="00861280"/>
    <w:rsid w:val="008618C9"/>
    <w:rsid w:val="008622E3"/>
    <w:rsid w:val="00862C17"/>
    <w:rsid w:val="0086330F"/>
    <w:rsid w:val="008635DC"/>
    <w:rsid w:val="00866214"/>
    <w:rsid w:val="00866404"/>
    <w:rsid w:val="00870241"/>
    <w:rsid w:val="008713AF"/>
    <w:rsid w:val="00871A56"/>
    <w:rsid w:val="008723DE"/>
    <w:rsid w:val="008730E9"/>
    <w:rsid w:val="00873612"/>
    <w:rsid w:val="008756A5"/>
    <w:rsid w:val="0087582B"/>
    <w:rsid w:val="008769AA"/>
    <w:rsid w:val="00877909"/>
    <w:rsid w:val="00883867"/>
    <w:rsid w:val="008853FE"/>
    <w:rsid w:val="008855A5"/>
    <w:rsid w:val="00885F1D"/>
    <w:rsid w:val="0088690F"/>
    <w:rsid w:val="00891890"/>
    <w:rsid w:val="00891AD7"/>
    <w:rsid w:val="0089218A"/>
    <w:rsid w:val="0089265E"/>
    <w:rsid w:val="00893296"/>
    <w:rsid w:val="00894548"/>
    <w:rsid w:val="00895403"/>
    <w:rsid w:val="00897737"/>
    <w:rsid w:val="008A01A2"/>
    <w:rsid w:val="008A07A6"/>
    <w:rsid w:val="008A0A20"/>
    <w:rsid w:val="008A0DB1"/>
    <w:rsid w:val="008A2CE5"/>
    <w:rsid w:val="008A37D3"/>
    <w:rsid w:val="008A3A3C"/>
    <w:rsid w:val="008A4567"/>
    <w:rsid w:val="008A5F5C"/>
    <w:rsid w:val="008A7A17"/>
    <w:rsid w:val="008A7EF9"/>
    <w:rsid w:val="008B06B1"/>
    <w:rsid w:val="008B0A5A"/>
    <w:rsid w:val="008B184D"/>
    <w:rsid w:val="008B27EB"/>
    <w:rsid w:val="008B3DF9"/>
    <w:rsid w:val="008B45C2"/>
    <w:rsid w:val="008B6DCA"/>
    <w:rsid w:val="008B7875"/>
    <w:rsid w:val="008C004E"/>
    <w:rsid w:val="008C1B8A"/>
    <w:rsid w:val="008C21AB"/>
    <w:rsid w:val="008C357D"/>
    <w:rsid w:val="008C35E7"/>
    <w:rsid w:val="008C3EEB"/>
    <w:rsid w:val="008C5448"/>
    <w:rsid w:val="008C5506"/>
    <w:rsid w:val="008C681F"/>
    <w:rsid w:val="008C6CA7"/>
    <w:rsid w:val="008C6FF0"/>
    <w:rsid w:val="008D06D1"/>
    <w:rsid w:val="008D1598"/>
    <w:rsid w:val="008D3764"/>
    <w:rsid w:val="008D5093"/>
    <w:rsid w:val="008D587F"/>
    <w:rsid w:val="008D5F9D"/>
    <w:rsid w:val="008D68F6"/>
    <w:rsid w:val="008D6EA8"/>
    <w:rsid w:val="008D74A3"/>
    <w:rsid w:val="008E07E3"/>
    <w:rsid w:val="008E205E"/>
    <w:rsid w:val="008E24A5"/>
    <w:rsid w:val="008E2C3C"/>
    <w:rsid w:val="008E3FE9"/>
    <w:rsid w:val="008E57B3"/>
    <w:rsid w:val="008E57D4"/>
    <w:rsid w:val="008E6D2F"/>
    <w:rsid w:val="008F00D5"/>
    <w:rsid w:val="008F025C"/>
    <w:rsid w:val="008F22E6"/>
    <w:rsid w:val="008F4581"/>
    <w:rsid w:val="008F5319"/>
    <w:rsid w:val="008F717E"/>
    <w:rsid w:val="008F7649"/>
    <w:rsid w:val="008F79C0"/>
    <w:rsid w:val="00900814"/>
    <w:rsid w:val="0090109E"/>
    <w:rsid w:val="009036B3"/>
    <w:rsid w:val="00904075"/>
    <w:rsid w:val="009051A6"/>
    <w:rsid w:val="00906445"/>
    <w:rsid w:val="00907457"/>
    <w:rsid w:val="00907742"/>
    <w:rsid w:val="00907DD3"/>
    <w:rsid w:val="009105A8"/>
    <w:rsid w:val="00911EDD"/>
    <w:rsid w:val="009122A6"/>
    <w:rsid w:val="009132E5"/>
    <w:rsid w:val="00914A42"/>
    <w:rsid w:val="009167F6"/>
    <w:rsid w:val="009170A8"/>
    <w:rsid w:val="009207D6"/>
    <w:rsid w:val="0092185C"/>
    <w:rsid w:val="00921931"/>
    <w:rsid w:val="00921D3B"/>
    <w:rsid w:val="00923A76"/>
    <w:rsid w:val="009240E1"/>
    <w:rsid w:val="00924BB4"/>
    <w:rsid w:val="0092579C"/>
    <w:rsid w:val="00925C92"/>
    <w:rsid w:val="00933937"/>
    <w:rsid w:val="009348A5"/>
    <w:rsid w:val="00935C66"/>
    <w:rsid w:val="00936D4E"/>
    <w:rsid w:val="00937348"/>
    <w:rsid w:val="00937A28"/>
    <w:rsid w:val="00937A59"/>
    <w:rsid w:val="00941772"/>
    <w:rsid w:val="00942747"/>
    <w:rsid w:val="00942F29"/>
    <w:rsid w:val="0094401F"/>
    <w:rsid w:val="009464C3"/>
    <w:rsid w:val="00946674"/>
    <w:rsid w:val="0094681E"/>
    <w:rsid w:val="00947194"/>
    <w:rsid w:val="00950479"/>
    <w:rsid w:val="00951C67"/>
    <w:rsid w:val="009531E8"/>
    <w:rsid w:val="00953358"/>
    <w:rsid w:val="00953D7B"/>
    <w:rsid w:val="00953F31"/>
    <w:rsid w:val="00953FAB"/>
    <w:rsid w:val="00954590"/>
    <w:rsid w:val="00956175"/>
    <w:rsid w:val="009601BC"/>
    <w:rsid w:val="00960A9F"/>
    <w:rsid w:val="009648A3"/>
    <w:rsid w:val="00964CBC"/>
    <w:rsid w:val="0096587D"/>
    <w:rsid w:val="009661C6"/>
    <w:rsid w:val="00967DF6"/>
    <w:rsid w:val="00970597"/>
    <w:rsid w:val="009720B1"/>
    <w:rsid w:val="0097215A"/>
    <w:rsid w:val="0097248B"/>
    <w:rsid w:val="009726C9"/>
    <w:rsid w:val="00972780"/>
    <w:rsid w:val="00973963"/>
    <w:rsid w:val="00974536"/>
    <w:rsid w:val="00976493"/>
    <w:rsid w:val="00976577"/>
    <w:rsid w:val="0097762D"/>
    <w:rsid w:val="00980B8A"/>
    <w:rsid w:val="00982596"/>
    <w:rsid w:val="009825AC"/>
    <w:rsid w:val="009830B7"/>
    <w:rsid w:val="00985A31"/>
    <w:rsid w:val="009861F9"/>
    <w:rsid w:val="0098771C"/>
    <w:rsid w:val="00992309"/>
    <w:rsid w:val="00992CDE"/>
    <w:rsid w:val="00992DEF"/>
    <w:rsid w:val="0099477B"/>
    <w:rsid w:val="00994B41"/>
    <w:rsid w:val="009962C1"/>
    <w:rsid w:val="00996981"/>
    <w:rsid w:val="0099786C"/>
    <w:rsid w:val="00997B70"/>
    <w:rsid w:val="009A0204"/>
    <w:rsid w:val="009A0526"/>
    <w:rsid w:val="009A1055"/>
    <w:rsid w:val="009A1DB7"/>
    <w:rsid w:val="009A262A"/>
    <w:rsid w:val="009A27EE"/>
    <w:rsid w:val="009A3838"/>
    <w:rsid w:val="009A3C98"/>
    <w:rsid w:val="009A4A3A"/>
    <w:rsid w:val="009A5EB6"/>
    <w:rsid w:val="009A71F3"/>
    <w:rsid w:val="009B06B8"/>
    <w:rsid w:val="009B1197"/>
    <w:rsid w:val="009B1A79"/>
    <w:rsid w:val="009B3AA3"/>
    <w:rsid w:val="009B3F5A"/>
    <w:rsid w:val="009B70C0"/>
    <w:rsid w:val="009B7281"/>
    <w:rsid w:val="009C1C24"/>
    <w:rsid w:val="009C40B5"/>
    <w:rsid w:val="009C4951"/>
    <w:rsid w:val="009C73B4"/>
    <w:rsid w:val="009C7AE7"/>
    <w:rsid w:val="009D04E0"/>
    <w:rsid w:val="009D2A71"/>
    <w:rsid w:val="009D3584"/>
    <w:rsid w:val="009D4959"/>
    <w:rsid w:val="009D567E"/>
    <w:rsid w:val="009D5AD7"/>
    <w:rsid w:val="009D65F7"/>
    <w:rsid w:val="009D72B1"/>
    <w:rsid w:val="009D73F5"/>
    <w:rsid w:val="009D7571"/>
    <w:rsid w:val="009E04DF"/>
    <w:rsid w:val="009E0E33"/>
    <w:rsid w:val="009E1BF9"/>
    <w:rsid w:val="009E1CF5"/>
    <w:rsid w:val="009E2C78"/>
    <w:rsid w:val="009E303C"/>
    <w:rsid w:val="009E3052"/>
    <w:rsid w:val="009E32D3"/>
    <w:rsid w:val="009E3573"/>
    <w:rsid w:val="009E5583"/>
    <w:rsid w:val="009E5B0A"/>
    <w:rsid w:val="009E5CF5"/>
    <w:rsid w:val="009E6692"/>
    <w:rsid w:val="009F09D9"/>
    <w:rsid w:val="009F232C"/>
    <w:rsid w:val="009F23DB"/>
    <w:rsid w:val="009F24C2"/>
    <w:rsid w:val="009F530B"/>
    <w:rsid w:val="009F7B67"/>
    <w:rsid w:val="00A00199"/>
    <w:rsid w:val="00A009EF"/>
    <w:rsid w:val="00A00EA0"/>
    <w:rsid w:val="00A015BB"/>
    <w:rsid w:val="00A03E15"/>
    <w:rsid w:val="00A04F41"/>
    <w:rsid w:val="00A05FFA"/>
    <w:rsid w:val="00A07CF1"/>
    <w:rsid w:val="00A114C0"/>
    <w:rsid w:val="00A121C5"/>
    <w:rsid w:val="00A12BA6"/>
    <w:rsid w:val="00A13BFE"/>
    <w:rsid w:val="00A14C3B"/>
    <w:rsid w:val="00A14D96"/>
    <w:rsid w:val="00A1519E"/>
    <w:rsid w:val="00A167E1"/>
    <w:rsid w:val="00A16C82"/>
    <w:rsid w:val="00A2289E"/>
    <w:rsid w:val="00A23B6F"/>
    <w:rsid w:val="00A23E87"/>
    <w:rsid w:val="00A24021"/>
    <w:rsid w:val="00A24C9F"/>
    <w:rsid w:val="00A25288"/>
    <w:rsid w:val="00A26731"/>
    <w:rsid w:val="00A27819"/>
    <w:rsid w:val="00A27D18"/>
    <w:rsid w:val="00A31112"/>
    <w:rsid w:val="00A3138A"/>
    <w:rsid w:val="00A322C1"/>
    <w:rsid w:val="00A32C57"/>
    <w:rsid w:val="00A32C65"/>
    <w:rsid w:val="00A32F8D"/>
    <w:rsid w:val="00A41789"/>
    <w:rsid w:val="00A42710"/>
    <w:rsid w:val="00A43EB9"/>
    <w:rsid w:val="00A46492"/>
    <w:rsid w:val="00A466DC"/>
    <w:rsid w:val="00A46912"/>
    <w:rsid w:val="00A471F8"/>
    <w:rsid w:val="00A475C6"/>
    <w:rsid w:val="00A4786D"/>
    <w:rsid w:val="00A50AB2"/>
    <w:rsid w:val="00A50FAF"/>
    <w:rsid w:val="00A52BEC"/>
    <w:rsid w:val="00A53B3F"/>
    <w:rsid w:val="00A53BA4"/>
    <w:rsid w:val="00A54DCF"/>
    <w:rsid w:val="00A57CD1"/>
    <w:rsid w:val="00A60258"/>
    <w:rsid w:val="00A606F7"/>
    <w:rsid w:val="00A60FDD"/>
    <w:rsid w:val="00A61479"/>
    <w:rsid w:val="00A62BFE"/>
    <w:rsid w:val="00A631B3"/>
    <w:rsid w:val="00A63A2F"/>
    <w:rsid w:val="00A65A64"/>
    <w:rsid w:val="00A7266D"/>
    <w:rsid w:val="00A7777C"/>
    <w:rsid w:val="00A777E2"/>
    <w:rsid w:val="00A779C5"/>
    <w:rsid w:val="00A81185"/>
    <w:rsid w:val="00A82054"/>
    <w:rsid w:val="00A8296A"/>
    <w:rsid w:val="00A83FFA"/>
    <w:rsid w:val="00A84DCF"/>
    <w:rsid w:val="00A865CF"/>
    <w:rsid w:val="00A876E8"/>
    <w:rsid w:val="00A87A22"/>
    <w:rsid w:val="00A9184E"/>
    <w:rsid w:val="00A91A52"/>
    <w:rsid w:val="00A94E11"/>
    <w:rsid w:val="00A9518F"/>
    <w:rsid w:val="00A9691C"/>
    <w:rsid w:val="00A97C7B"/>
    <w:rsid w:val="00A97CFF"/>
    <w:rsid w:val="00A97DF0"/>
    <w:rsid w:val="00AA005C"/>
    <w:rsid w:val="00AA09ED"/>
    <w:rsid w:val="00AA2A63"/>
    <w:rsid w:val="00AA2C85"/>
    <w:rsid w:val="00AA3D33"/>
    <w:rsid w:val="00AA55DF"/>
    <w:rsid w:val="00AA5F00"/>
    <w:rsid w:val="00AA66D8"/>
    <w:rsid w:val="00AA677B"/>
    <w:rsid w:val="00AA7900"/>
    <w:rsid w:val="00AA7923"/>
    <w:rsid w:val="00AA79E8"/>
    <w:rsid w:val="00AB094B"/>
    <w:rsid w:val="00AB12AC"/>
    <w:rsid w:val="00AB330C"/>
    <w:rsid w:val="00AB3690"/>
    <w:rsid w:val="00AB3871"/>
    <w:rsid w:val="00AB3C47"/>
    <w:rsid w:val="00AB5096"/>
    <w:rsid w:val="00AB57FE"/>
    <w:rsid w:val="00AB744A"/>
    <w:rsid w:val="00AC04B6"/>
    <w:rsid w:val="00AC0686"/>
    <w:rsid w:val="00AC0ABB"/>
    <w:rsid w:val="00AC0EAD"/>
    <w:rsid w:val="00AC4254"/>
    <w:rsid w:val="00AC4A6D"/>
    <w:rsid w:val="00AC4B18"/>
    <w:rsid w:val="00AC6EFD"/>
    <w:rsid w:val="00AD13E8"/>
    <w:rsid w:val="00AD1881"/>
    <w:rsid w:val="00AD18A7"/>
    <w:rsid w:val="00AD4587"/>
    <w:rsid w:val="00AD471B"/>
    <w:rsid w:val="00AD7215"/>
    <w:rsid w:val="00AE47A2"/>
    <w:rsid w:val="00AE619E"/>
    <w:rsid w:val="00AE7082"/>
    <w:rsid w:val="00AF193A"/>
    <w:rsid w:val="00AF4061"/>
    <w:rsid w:val="00AF4B79"/>
    <w:rsid w:val="00AF5212"/>
    <w:rsid w:val="00AF5897"/>
    <w:rsid w:val="00AF64BE"/>
    <w:rsid w:val="00AF7162"/>
    <w:rsid w:val="00AF7594"/>
    <w:rsid w:val="00B00179"/>
    <w:rsid w:val="00B0037F"/>
    <w:rsid w:val="00B02A88"/>
    <w:rsid w:val="00B04DC2"/>
    <w:rsid w:val="00B0711D"/>
    <w:rsid w:val="00B07EB8"/>
    <w:rsid w:val="00B07F82"/>
    <w:rsid w:val="00B101FF"/>
    <w:rsid w:val="00B10375"/>
    <w:rsid w:val="00B10AD9"/>
    <w:rsid w:val="00B1291F"/>
    <w:rsid w:val="00B14521"/>
    <w:rsid w:val="00B1523D"/>
    <w:rsid w:val="00B15DB3"/>
    <w:rsid w:val="00B1736D"/>
    <w:rsid w:val="00B2070E"/>
    <w:rsid w:val="00B21191"/>
    <w:rsid w:val="00B211BD"/>
    <w:rsid w:val="00B212DF"/>
    <w:rsid w:val="00B243CB"/>
    <w:rsid w:val="00B2500C"/>
    <w:rsid w:val="00B25CE2"/>
    <w:rsid w:val="00B261A9"/>
    <w:rsid w:val="00B27CC7"/>
    <w:rsid w:val="00B3062B"/>
    <w:rsid w:val="00B30F93"/>
    <w:rsid w:val="00B3125F"/>
    <w:rsid w:val="00B359AC"/>
    <w:rsid w:val="00B35A5C"/>
    <w:rsid w:val="00B36232"/>
    <w:rsid w:val="00B373A7"/>
    <w:rsid w:val="00B37BF0"/>
    <w:rsid w:val="00B41735"/>
    <w:rsid w:val="00B45402"/>
    <w:rsid w:val="00B46019"/>
    <w:rsid w:val="00B477E4"/>
    <w:rsid w:val="00B5088D"/>
    <w:rsid w:val="00B51228"/>
    <w:rsid w:val="00B51BCE"/>
    <w:rsid w:val="00B51D57"/>
    <w:rsid w:val="00B52267"/>
    <w:rsid w:val="00B5280E"/>
    <w:rsid w:val="00B52DFA"/>
    <w:rsid w:val="00B54265"/>
    <w:rsid w:val="00B54B31"/>
    <w:rsid w:val="00B54D21"/>
    <w:rsid w:val="00B55906"/>
    <w:rsid w:val="00B55DF2"/>
    <w:rsid w:val="00B563A7"/>
    <w:rsid w:val="00B5693B"/>
    <w:rsid w:val="00B5759D"/>
    <w:rsid w:val="00B600A6"/>
    <w:rsid w:val="00B605F6"/>
    <w:rsid w:val="00B60E5E"/>
    <w:rsid w:val="00B63BDF"/>
    <w:rsid w:val="00B645D1"/>
    <w:rsid w:val="00B65D13"/>
    <w:rsid w:val="00B67BC5"/>
    <w:rsid w:val="00B67C72"/>
    <w:rsid w:val="00B708C5"/>
    <w:rsid w:val="00B71682"/>
    <w:rsid w:val="00B73A09"/>
    <w:rsid w:val="00B73ECB"/>
    <w:rsid w:val="00B74873"/>
    <w:rsid w:val="00B75417"/>
    <w:rsid w:val="00B75585"/>
    <w:rsid w:val="00B75C0D"/>
    <w:rsid w:val="00B7620C"/>
    <w:rsid w:val="00B804A7"/>
    <w:rsid w:val="00B818DF"/>
    <w:rsid w:val="00B82A74"/>
    <w:rsid w:val="00B82E94"/>
    <w:rsid w:val="00B830A5"/>
    <w:rsid w:val="00B8377B"/>
    <w:rsid w:val="00B84CFC"/>
    <w:rsid w:val="00B85093"/>
    <w:rsid w:val="00B867E1"/>
    <w:rsid w:val="00B9278C"/>
    <w:rsid w:val="00B940D3"/>
    <w:rsid w:val="00B94306"/>
    <w:rsid w:val="00B95B1F"/>
    <w:rsid w:val="00B96298"/>
    <w:rsid w:val="00B96747"/>
    <w:rsid w:val="00B967E5"/>
    <w:rsid w:val="00B967E7"/>
    <w:rsid w:val="00B96814"/>
    <w:rsid w:val="00B96C9B"/>
    <w:rsid w:val="00B970BC"/>
    <w:rsid w:val="00BA084F"/>
    <w:rsid w:val="00BA1AF8"/>
    <w:rsid w:val="00BA1B32"/>
    <w:rsid w:val="00BA2F10"/>
    <w:rsid w:val="00BA3819"/>
    <w:rsid w:val="00BA3C29"/>
    <w:rsid w:val="00BA43B4"/>
    <w:rsid w:val="00BA469F"/>
    <w:rsid w:val="00BA67D9"/>
    <w:rsid w:val="00BA6949"/>
    <w:rsid w:val="00BA7B1C"/>
    <w:rsid w:val="00BB0878"/>
    <w:rsid w:val="00BB1629"/>
    <w:rsid w:val="00BB32F0"/>
    <w:rsid w:val="00BB3DB5"/>
    <w:rsid w:val="00BC08BB"/>
    <w:rsid w:val="00BC1B31"/>
    <w:rsid w:val="00BC255B"/>
    <w:rsid w:val="00BC2573"/>
    <w:rsid w:val="00BC2C6D"/>
    <w:rsid w:val="00BC3C3D"/>
    <w:rsid w:val="00BC3FF6"/>
    <w:rsid w:val="00BC52FE"/>
    <w:rsid w:val="00BC7C31"/>
    <w:rsid w:val="00BD2D09"/>
    <w:rsid w:val="00BD3261"/>
    <w:rsid w:val="00BD3460"/>
    <w:rsid w:val="00BD35F8"/>
    <w:rsid w:val="00BD4925"/>
    <w:rsid w:val="00BD5805"/>
    <w:rsid w:val="00BD7579"/>
    <w:rsid w:val="00BE03B0"/>
    <w:rsid w:val="00BE19AF"/>
    <w:rsid w:val="00BE2737"/>
    <w:rsid w:val="00BE54D5"/>
    <w:rsid w:val="00BE6634"/>
    <w:rsid w:val="00BF23E7"/>
    <w:rsid w:val="00BF2B03"/>
    <w:rsid w:val="00BF37F2"/>
    <w:rsid w:val="00BF4AEA"/>
    <w:rsid w:val="00BF63A0"/>
    <w:rsid w:val="00BF706E"/>
    <w:rsid w:val="00C0135E"/>
    <w:rsid w:val="00C035F4"/>
    <w:rsid w:val="00C036C0"/>
    <w:rsid w:val="00C03E7C"/>
    <w:rsid w:val="00C064D7"/>
    <w:rsid w:val="00C06BD2"/>
    <w:rsid w:val="00C06E38"/>
    <w:rsid w:val="00C104B2"/>
    <w:rsid w:val="00C11C61"/>
    <w:rsid w:val="00C14231"/>
    <w:rsid w:val="00C16909"/>
    <w:rsid w:val="00C16E02"/>
    <w:rsid w:val="00C175F4"/>
    <w:rsid w:val="00C23C0C"/>
    <w:rsid w:val="00C25DE2"/>
    <w:rsid w:val="00C26690"/>
    <w:rsid w:val="00C2704D"/>
    <w:rsid w:val="00C274A0"/>
    <w:rsid w:val="00C2783B"/>
    <w:rsid w:val="00C27FB8"/>
    <w:rsid w:val="00C30247"/>
    <w:rsid w:val="00C31D78"/>
    <w:rsid w:val="00C362FF"/>
    <w:rsid w:val="00C36F24"/>
    <w:rsid w:val="00C37C4E"/>
    <w:rsid w:val="00C37DDE"/>
    <w:rsid w:val="00C440B1"/>
    <w:rsid w:val="00C447DD"/>
    <w:rsid w:val="00C45150"/>
    <w:rsid w:val="00C45E0C"/>
    <w:rsid w:val="00C47BE3"/>
    <w:rsid w:val="00C47CBB"/>
    <w:rsid w:val="00C5005E"/>
    <w:rsid w:val="00C500D3"/>
    <w:rsid w:val="00C5101F"/>
    <w:rsid w:val="00C5163F"/>
    <w:rsid w:val="00C527DB"/>
    <w:rsid w:val="00C52819"/>
    <w:rsid w:val="00C53110"/>
    <w:rsid w:val="00C53857"/>
    <w:rsid w:val="00C54C6D"/>
    <w:rsid w:val="00C552A1"/>
    <w:rsid w:val="00C5585E"/>
    <w:rsid w:val="00C60947"/>
    <w:rsid w:val="00C609BA"/>
    <w:rsid w:val="00C615D6"/>
    <w:rsid w:val="00C61DA6"/>
    <w:rsid w:val="00C62832"/>
    <w:rsid w:val="00C630EF"/>
    <w:rsid w:val="00C64928"/>
    <w:rsid w:val="00C64AA5"/>
    <w:rsid w:val="00C65C38"/>
    <w:rsid w:val="00C65DE7"/>
    <w:rsid w:val="00C65FA2"/>
    <w:rsid w:val="00C66534"/>
    <w:rsid w:val="00C67A0A"/>
    <w:rsid w:val="00C67A6D"/>
    <w:rsid w:val="00C70642"/>
    <w:rsid w:val="00C71466"/>
    <w:rsid w:val="00C72566"/>
    <w:rsid w:val="00C72896"/>
    <w:rsid w:val="00C73037"/>
    <w:rsid w:val="00C742B1"/>
    <w:rsid w:val="00C74E37"/>
    <w:rsid w:val="00C7518D"/>
    <w:rsid w:val="00C75413"/>
    <w:rsid w:val="00C760F6"/>
    <w:rsid w:val="00C76251"/>
    <w:rsid w:val="00C76D3B"/>
    <w:rsid w:val="00C77C60"/>
    <w:rsid w:val="00C77E06"/>
    <w:rsid w:val="00C81188"/>
    <w:rsid w:val="00C81349"/>
    <w:rsid w:val="00C8594F"/>
    <w:rsid w:val="00C8676E"/>
    <w:rsid w:val="00C868B0"/>
    <w:rsid w:val="00C87ADC"/>
    <w:rsid w:val="00C87F5A"/>
    <w:rsid w:val="00C908AA"/>
    <w:rsid w:val="00C928FB"/>
    <w:rsid w:val="00C92925"/>
    <w:rsid w:val="00C92B09"/>
    <w:rsid w:val="00C92FF1"/>
    <w:rsid w:val="00C945BA"/>
    <w:rsid w:val="00C9699F"/>
    <w:rsid w:val="00C9758C"/>
    <w:rsid w:val="00C977D8"/>
    <w:rsid w:val="00C977FC"/>
    <w:rsid w:val="00CA0DE9"/>
    <w:rsid w:val="00CA23BD"/>
    <w:rsid w:val="00CA2D38"/>
    <w:rsid w:val="00CA35E7"/>
    <w:rsid w:val="00CA4F01"/>
    <w:rsid w:val="00CA54DB"/>
    <w:rsid w:val="00CA60A2"/>
    <w:rsid w:val="00CA6F66"/>
    <w:rsid w:val="00CA726F"/>
    <w:rsid w:val="00CB0203"/>
    <w:rsid w:val="00CB063E"/>
    <w:rsid w:val="00CB16B4"/>
    <w:rsid w:val="00CB178E"/>
    <w:rsid w:val="00CB1835"/>
    <w:rsid w:val="00CB1FC4"/>
    <w:rsid w:val="00CB2609"/>
    <w:rsid w:val="00CB281F"/>
    <w:rsid w:val="00CB2CD3"/>
    <w:rsid w:val="00CB5066"/>
    <w:rsid w:val="00CB6210"/>
    <w:rsid w:val="00CC0BAF"/>
    <w:rsid w:val="00CC2824"/>
    <w:rsid w:val="00CC282E"/>
    <w:rsid w:val="00CC3965"/>
    <w:rsid w:val="00CC42DA"/>
    <w:rsid w:val="00CC4840"/>
    <w:rsid w:val="00CC7093"/>
    <w:rsid w:val="00CD0614"/>
    <w:rsid w:val="00CD22E0"/>
    <w:rsid w:val="00CD2E78"/>
    <w:rsid w:val="00CD442D"/>
    <w:rsid w:val="00CD5659"/>
    <w:rsid w:val="00CD5CB8"/>
    <w:rsid w:val="00CD725D"/>
    <w:rsid w:val="00CE1288"/>
    <w:rsid w:val="00CE2AC2"/>
    <w:rsid w:val="00CE2D5D"/>
    <w:rsid w:val="00CE376C"/>
    <w:rsid w:val="00CE3D79"/>
    <w:rsid w:val="00CE726B"/>
    <w:rsid w:val="00CE7613"/>
    <w:rsid w:val="00CE7819"/>
    <w:rsid w:val="00CE79E4"/>
    <w:rsid w:val="00CF1C0F"/>
    <w:rsid w:val="00CF56B6"/>
    <w:rsid w:val="00CF5F31"/>
    <w:rsid w:val="00CF6333"/>
    <w:rsid w:val="00D00B0C"/>
    <w:rsid w:val="00D00F4A"/>
    <w:rsid w:val="00D0174E"/>
    <w:rsid w:val="00D01768"/>
    <w:rsid w:val="00D019EA"/>
    <w:rsid w:val="00D05C58"/>
    <w:rsid w:val="00D06245"/>
    <w:rsid w:val="00D115AD"/>
    <w:rsid w:val="00D12CDB"/>
    <w:rsid w:val="00D1328C"/>
    <w:rsid w:val="00D1449C"/>
    <w:rsid w:val="00D1482C"/>
    <w:rsid w:val="00D173BB"/>
    <w:rsid w:val="00D175B8"/>
    <w:rsid w:val="00D205F9"/>
    <w:rsid w:val="00D20815"/>
    <w:rsid w:val="00D235C8"/>
    <w:rsid w:val="00D244F5"/>
    <w:rsid w:val="00D24C1E"/>
    <w:rsid w:val="00D273DE"/>
    <w:rsid w:val="00D27D1C"/>
    <w:rsid w:val="00D316FB"/>
    <w:rsid w:val="00D326C5"/>
    <w:rsid w:val="00D326F2"/>
    <w:rsid w:val="00D33201"/>
    <w:rsid w:val="00D334B5"/>
    <w:rsid w:val="00D35783"/>
    <w:rsid w:val="00D35F6B"/>
    <w:rsid w:val="00D36806"/>
    <w:rsid w:val="00D36F41"/>
    <w:rsid w:val="00D37FB9"/>
    <w:rsid w:val="00D404A3"/>
    <w:rsid w:val="00D42BD9"/>
    <w:rsid w:val="00D442B8"/>
    <w:rsid w:val="00D444D1"/>
    <w:rsid w:val="00D463AA"/>
    <w:rsid w:val="00D47B6E"/>
    <w:rsid w:val="00D506AF"/>
    <w:rsid w:val="00D507E8"/>
    <w:rsid w:val="00D50821"/>
    <w:rsid w:val="00D50F7E"/>
    <w:rsid w:val="00D510CF"/>
    <w:rsid w:val="00D519B7"/>
    <w:rsid w:val="00D532B0"/>
    <w:rsid w:val="00D56590"/>
    <w:rsid w:val="00D5670C"/>
    <w:rsid w:val="00D56DA3"/>
    <w:rsid w:val="00D56F3B"/>
    <w:rsid w:val="00D57E01"/>
    <w:rsid w:val="00D62117"/>
    <w:rsid w:val="00D63008"/>
    <w:rsid w:val="00D6374A"/>
    <w:rsid w:val="00D63DAD"/>
    <w:rsid w:val="00D65756"/>
    <w:rsid w:val="00D66005"/>
    <w:rsid w:val="00D66E21"/>
    <w:rsid w:val="00D707CC"/>
    <w:rsid w:val="00D7156F"/>
    <w:rsid w:val="00D71961"/>
    <w:rsid w:val="00D71AFD"/>
    <w:rsid w:val="00D71D79"/>
    <w:rsid w:val="00D72381"/>
    <w:rsid w:val="00D724F8"/>
    <w:rsid w:val="00D747F0"/>
    <w:rsid w:val="00D7583E"/>
    <w:rsid w:val="00D75DBF"/>
    <w:rsid w:val="00D763FA"/>
    <w:rsid w:val="00D775A0"/>
    <w:rsid w:val="00D77FF9"/>
    <w:rsid w:val="00D808BC"/>
    <w:rsid w:val="00D80A2E"/>
    <w:rsid w:val="00D81746"/>
    <w:rsid w:val="00D81865"/>
    <w:rsid w:val="00D8228F"/>
    <w:rsid w:val="00D82CCD"/>
    <w:rsid w:val="00D82FBB"/>
    <w:rsid w:val="00D8334D"/>
    <w:rsid w:val="00D836F4"/>
    <w:rsid w:val="00D83D92"/>
    <w:rsid w:val="00D84EF1"/>
    <w:rsid w:val="00D86550"/>
    <w:rsid w:val="00D865E0"/>
    <w:rsid w:val="00D86705"/>
    <w:rsid w:val="00D8705E"/>
    <w:rsid w:val="00D87BB3"/>
    <w:rsid w:val="00D908AA"/>
    <w:rsid w:val="00D9152D"/>
    <w:rsid w:val="00D9180B"/>
    <w:rsid w:val="00D968B8"/>
    <w:rsid w:val="00D96AB3"/>
    <w:rsid w:val="00D96F8F"/>
    <w:rsid w:val="00DA13AE"/>
    <w:rsid w:val="00DA34F1"/>
    <w:rsid w:val="00DA3F29"/>
    <w:rsid w:val="00DA539D"/>
    <w:rsid w:val="00DA5871"/>
    <w:rsid w:val="00DA6DF1"/>
    <w:rsid w:val="00DA77F9"/>
    <w:rsid w:val="00DB1E10"/>
    <w:rsid w:val="00DB2398"/>
    <w:rsid w:val="00DB2EE5"/>
    <w:rsid w:val="00DB3350"/>
    <w:rsid w:val="00DB4A0D"/>
    <w:rsid w:val="00DB55F4"/>
    <w:rsid w:val="00DB7280"/>
    <w:rsid w:val="00DC0D1A"/>
    <w:rsid w:val="00DC17B9"/>
    <w:rsid w:val="00DC2118"/>
    <w:rsid w:val="00DC39E4"/>
    <w:rsid w:val="00DC4A4D"/>
    <w:rsid w:val="00DC722F"/>
    <w:rsid w:val="00DD0923"/>
    <w:rsid w:val="00DD09A4"/>
    <w:rsid w:val="00DD0ED4"/>
    <w:rsid w:val="00DD1275"/>
    <w:rsid w:val="00DD132E"/>
    <w:rsid w:val="00DD1AAC"/>
    <w:rsid w:val="00DD21C0"/>
    <w:rsid w:val="00DD5378"/>
    <w:rsid w:val="00DD6DD5"/>
    <w:rsid w:val="00DD7B68"/>
    <w:rsid w:val="00DE2CAE"/>
    <w:rsid w:val="00DE3168"/>
    <w:rsid w:val="00DE3274"/>
    <w:rsid w:val="00DE344E"/>
    <w:rsid w:val="00DE47D2"/>
    <w:rsid w:val="00DE53F2"/>
    <w:rsid w:val="00DE5455"/>
    <w:rsid w:val="00DE622F"/>
    <w:rsid w:val="00DE666A"/>
    <w:rsid w:val="00DE6A71"/>
    <w:rsid w:val="00DE7C54"/>
    <w:rsid w:val="00DE7EE5"/>
    <w:rsid w:val="00DF00E9"/>
    <w:rsid w:val="00DF1096"/>
    <w:rsid w:val="00DF229E"/>
    <w:rsid w:val="00DF2B63"/>
    <w:rsid w:val="00DF325E"/>
    <w:rsid w:val="00DF3D11"/>
    <w:rsid w:val="00DF5D04"/>
    <w:rsid w:val="00DF630A"/>
    <w:rsid w:val="00DF78AF"/>
    <w:rsid w:val="00DF7D20"/>
    <w:rsid w:val="00E01014"/>
    <w:rsid w:val="00E01E24"/>
    <w:rsid w:val="00E0238A"/>
    <w:rsid w:val="00E0268C"/>
    <w:rsid w:val="00E033D3"/>
    <w:rsid w:val="00E0428E"/>
    <w:rsid w:val="00E055B6"/>
    <w:rsid w:val="00E07FFA"/>
    <w:rsid w:val="00E114C6"/>
    <w:rsid w:val="00E11BCF"/>
    <w:rsid w:val="00E11E63"/>
    <w:rsid w:val="00E12A37"/>
    <w:rsid w:val="00E136DB"/>
    <w:rsid w:val="00E13BFE"/>
    <w:rsid w:val="00E14342"/>
    <w:rsid w:val="00E15C38"/>
    <w:rsid w:val="00E15CF5"/>
    <w:rsid w:val="00E15E39"/>
    <w:rsid w:val="00E1648C"/>
    <w:rsid w:val="00E17C96"/>
    <w:rsid w:val="00E17E1C"/>
    <w:rsid w:val="00E20C96"/>
    <w:rsid w:val="00E214CC"/>
    <w:rsid w:val="00E22971"/>
    <w:rsid w:val="00E22CB9"/>
    <w:rsid w:val="00E236A0"/>
    <w:rsid w:val="00E25E86"/>
    <w:rsid w:val="00E26049"/>
    <w:rsid w:val="00E2691D"/>
    <w:rsid w:val="00E27DC7"/>
    <w:rsid w:val="00E3076F"/>
    <w:rsid w:val="00E319F1"/>
    <w:rsid w:val="00E32CDB"/>
    <w:rsid w:val="00E33DA7"/>
    <w:rsid w:val="00E34BE2"/>
    <w:rsid w:val="00E34F0C"/>
    <w:rsid w:val="00E35294"/>
    <w:rsid w:val="00E356A4"/>
    <w:rsid w:val="00E35F13"/>
    <w:rsid w:val="00E360FC"/>
    <w:rsid w:val="00E3636B"/>
    <w:rsid w:val="00E37FED"/>
    <w:rsid w:val="00E40E10"/>
    <w:rsid w:val="00E42E4F"/>
    <w:rsid w:val="00E4476B"/>
    <w:rsid w:val="00E44C97"/>
    <w:rsid w:val="00E4696D"/>
    <w:rsid w:val="00E477B9"/>
    <w:rsid w:val="00E51558"/>
    <w:rsid w:val="00E51FDF"/>
    <w:rsid w:val="00E52C30"/>
    <w:rsid w:val="00E52CF8"/>
    <w:rsid w:val="00E53092"/>
    <w:rsid w:val="00E53D33"/>
    <w:rsid w:val="00E5459D"/>
    <w:rsid w:val="00E5588D"/>
    <w:rsid w:val="00E55F91"/>
    <w:rsid w:val="00E56001"/>
    <w:rsid w:val="00E560D1"/>
    <w:rsid w:val="00E56560"/>
    <w:rsid w:val="00E5765E"/>
    <w:rsid w:val="00E619AC"/>
    <w:rsid w:val="00E62317"/>
    <w:rsid w:val="00E626BE"/>
    <w:rsid w:val="00E62915"/>
    <w:rsid w:val="00E62A07"/>
    <w:rsid w:val="00E6398E"/>
    <w:rsid w:val="00E642C7"/>
    <w:rsid w:val="00E66136"/>
    <w:rsid w:val="00E666E3"/>
    <w:rsid w:val="00E67729"/>
    <w:rsid w:val="00E67F5D"/>
    <w:rsid w:val="00E71A60"/>
    <w:rsid w:val="00E71C95"/>
    <w:rsid w:val="00E72205"/>
    <w:rsid w:val="00E74DC0"/>
    <w:rsid w:val="00E750CA"/>
    <w:rsid w:val="00E765F5"/>
    <w:rsid w:val="00E76F5B"/>
    <w:rsid w:val="00E80335"/>
    <w:rsid w:val="00E8132F"/>
    <w:rsid w:val="00E81E82"/>
    <w:rsid w:val="00E8310E"/>
    <w:rsid w:val="00E8398F"/>
    <w:rsid w:val="00E84CDF"/>
    <w:rsid w:val="00E85309"/>
    <w:rsid w:val="00E86411"/>
    <w:rsid w:val="00E86A10"/>
    <w:rsid w:val="00E87630"/>
    <w:rsid w:val="00E87B7A"/>
    <w:rsid w:val="00E907C3"/>
    <w:rsid w:val="00E90C14"/>
    <w:rsid w:val="00E90C6C"/>
    <w:rsid w:val="00E91152"/>
    <w:rsid w:val="00E91FB7"/>
    <w:rsid w:val="00E93364"/>
    <w:rsid w:val="00E9390D"/>
    <w:rsid w:val="00E93FB8"/>
    <w:rsid w:val="00E94260"/>
    <w:rsid w:val="00E955E8"/>
    <w:rsid w:val="00E96535"/>
    <w:rsid w:val="00E96B67"/>
    <w:rsid w:val="00E97049"/>
    <w:rsid w:val="00E97C5F"/>
    <w:rsid w:val="00EA1724"/>
    <w:rsid w:val="00EA1D14"/>
    <w:rsid w:val="00EA28D5"/>
    <w:rsid w:val="00EA3588"/>
    <w:rsid w:val="00EA453B"/>
    <w:rsid w:val="00EA4756"/>
    <w:rsid w:val="00EA4B38"/>
    <w:rsid w:val="00EA4C0D"/>
    <w:rsid w:val="00EA5C1C"/>
    <w:rsid w:val="00EA77E5"/>
    <w:rsid w:val="00EA7CAF"/>
    <w:rsid w:val="00EA7FBB"/>
    <w:rsid w:val="00EB2322"/>
    <w:rsid w:val="00EB38F7"/>
    <w:rsid w:val="00EB5EF4"/>
    <w:rsid w:val="00EB63D2"/>
    <w:rsid w:val="00EB645A"/>
    <w:rsid w:val="00EB6D6F"/>
    <w:rsid w:val="00EC0EC2"/>
    <w:rsid w:val="00EC0F19"/>
    <w:rsid w:val="00EC3180"/>
    <w:rsid w:val="00EC49A5"/>
    <w:rsid w:val="00EC6572"/>
    <w:rsid w:val="00EC6D94"/>
    <w:rsid w:val="00ED0363"/>
    <w:rsid w:val="00ED0639"/>
    <w:rsid w:val="00ED0C41"/>
    <w:rsid w:val="00ED1C34"/>
    <w:rsid w:val="00ED1C59"/>
    <w:rsid w:val="00ED39E2"/>
    <w:rsid w:val="00ED3E05"/>
    <w:rsid w:val="00ED4E78"/>
    <w:rsid w:val="00ED4F1E"/>
    <w:rsid w:val="00ED5D3A"/>
    <w:rsid w:val="00ED669A"/>
    <w:rsid w:val="00EE08FB"/>
    <w:rsid w:val="00EE0D11"/>
    <w:rsid w:val="00EE22F1"/>
    <w:rsid w:val="00EE4DF8"/>
    <w:rsid w:val="00EE583D"/>
    <w:rsid w:val="00EE5D2A"/>
    <w:rsid w:val="00EE5D98"/>
    <w:rsid w:val="00EE6226"/>
    <w:rsid w:val="00EE634B"/>
    <w:rsid w:val="00EE6D3E"/>
    <w:rsid w:val="00EE77C9"/>
    <w:rsid w:val="00EF0BAA"/>
    <w:rsid w:val="00EF109A"/>
    <w:rsid w:val="00EF2242"/>
    <w:rsid w:val="00EF2C20"/>
    <w:rsid w:val="00EF4715"/>
    <w:rsid w:val="00EF5606"/>
    <w:rsid w:val="00EF696D"/>
    <w:rsid w:val="00F01309"/>
    <w:rsid w:val="00F024BC"/>
    <w:rsid w:val="00F02824"/>
    <w:rsid w:val="00F0553F"/>
    <w:rsid w:val="00F062E5"/>
    <w:rsid w:val="00F07FDA"/>
    <w:rsid w:val="00F10003"/>
    <w:rsid w:val="00F1043B"/>
    <w:rsid w:val="00F1327A"/>
    <w:rsid w:val="00F139FF"/>
    <w:rsid w:val="00F14011"/>
    <w:rsid w:val="00F152A0"/>
    <w:rsid w:val="00F15416"/>
    <w:rsid w:val="00F1692F"/>
    <w:rsid w:val="00F218F3"/>
    <w:rsid w:val="00F22300"/>
    <w:rsid w:val="00F226AC"/>
    <w:rsid w:val="00F22FCE"/>
    <w:rsid w:val="00F233D2"/>
    <w:rsid w:val="00F25E4C"/>
    <w:rsid w:val="00F26323"/>
    <w:rsid w:val="00F263A8"/>
    <w:rsid w:val="00F26573"/>
    <w:rsid w:val="00F27EA6"/>
    <w:rsid w:val="00F3059A"/>
    <w:rsid w:val="00F31F3B"/>
    <w:rsid w:val="00F31FDC"/>
    <w:rsid w:val="00F3260B"/>
    <w:rsid w:val="00F32952"/>
    <w:rsid w:val="00F3434C"/>
    <w:rsid w:val="00F346ED"/>
    <w:rsid w:val="00F34BAE"/>
    <w:rsid w:val="00F3524B"/>
    <w:rsid w:val="00F35312"/>
    <w:rsid w:val="00F3554F"/>
    <w:rsid w:val="00F35BA7"/>
    <w:rsid w:val="00F35DB5"/>
    <w:rsid w:val="00F36794"/>
    <w:rsid w:val="00F36A67"/>
    <w:rsid w:val="00F37C3A"/>
    <w:rsid w:val="00F37EED"/>
    <w:rsid w:val="00F4226D"/>
    <w:rsid w:val="00F42DE2"/>
    <w:rsid w:val="00F431D9"/>
    <w:rsid w:val="00F43290"/>
    <w:rsid w:val="00F441C7"/>
    <w:rsid w:val="00F44885"/>
    <w:rsid w:val="00F464B5"/>
    <w:rsid w:val="00F51914"/>
    <w:rsid w:val="00F5284B"/>
    <w:rsid w:val="00F52E6C"/>
    <w:rsid w:val="00F5345E"/>
    <w:rsid w:val="00F53492"/>
    <w:rsid w:val="00F53740"/>
    <w:rsid w:val="00F537CD"/>
    <w:rsid w:val="00F54644"/>
    <w:rsid w:val="00F558CF"/>
    <w:rsid w:val="00F559E4"/>
    <w:rsid w:val="00F56DFA"/>
    <w:rsid w:val="00F604DE"/>
    <w:rsid w:val="00F6191B"/>
    <w:rsid w:val="00F61FEA"/>
    <w:rsid w:val="00F629F8"/>
    <w:rsid w:val="00F63222"/>
    <w:rsid w:val="00F632A6"/>
    <w:rsid w:val="00F641C2"/>
    <w:rsid w:val="00F64601"/>
    <w:rsid w:val="00F64D30"/>
    <w:rsid w:val="00F65CE0"/>
    <w:rsid w:val="00F65D57"/>
    <w:rsid w:val="00F65DE8"/>
    <w:rsid w:val="00F670B2"/>
    <w:rsid w:val="00F70685"/>
    <w:rsid w:val="00F71ABC"/>
    <w:rsid w:val="00F72423"/>
    <w:rsid w:val="00F72AAE"/>
    <w:rsid w:val="00F72E0C"/>
    <w:rsid w:val="00F73661"/>
    <w:rsid w:val="00F73F62"/>
    <w:rsid w:val="00F740F5"/>
    <w:rsid w:val="00F74124"/>
    <w:rsid w:val="00F7422A"/>
    <w:rsid w:val="00F7438C"/>
    <w:rsid w:val="00F74F3A"/>
    <w:rsid w:val="00F754BF"/>
    <w:rsid w:val="00F75847"/>
    <w:rsid w:val="00F814F9"/>
    <w:rsid w:val="00F84821"/>
    <w:rsid w:val="00F84B40"/>
    <w:rsid w:val="00F857D3"/>
    <w:rsid w:val="00F8701E"/>
    <w:rsid w:val="00F8715E"/>
    <w:rsid w:val="00F8750E"/>
    <w:rsid w:val="00F91056"/>
    <w:rsid w:val="00F92395"/>
    <w:rsid w:val="00F9370A"/>
    <w:rsid w:val="00F95469"/>
    <w:rsid w:val="00F971C6"/>
    <w:rsid w:val="00F97527"/>
    <w:rsid w:val="00F97CAD"/>
    <w:rsid w:val="00FA0427"/>
    <w:rsid w:val="00FA0671"/>
    <w:rsid w:val="00FA16C8"/>
    <w:rsid w:val="00FA35B6"/>
    <w:rsid w:val="00FA3F77"/>
    <w:rsid w:val="00FA40AA"/>
    <w:rsid w:val="00FA4508"/>
    <w:rsid w:val="00FA46EF"/>
    <w:rsid w:val="00FA47B3"/>
    <w:rsid w:val="00FA5FF4"/>
    <w:rsid w:val="00FA7392"/>
    <w:rsid w:val="00FA7B56"/>
    <w:rsid w:val="00FB01A5"/>
    <w:rsid w:val="00FB07B4"/>
    <w:rsid w:val="00FB0A0C"/>
    <w:rsid w:val="00FB207C"/>
    <w:rsid w:val="00FB392D"/>
    <w:rsid w:val="00FB3B33"/>
    <w:rsid w:val="00FB454C"/>
    <w:rsid w:val="00FB46C9"/>
    <w:rsid w:val="00FB54B4"/>
    <w:rsid w:val="00FB604A"/>
    <w:rsid w:val="00FB6398"/>
    <w:rsid w:val="00FB63CB"/>
    <w:rsid w:val="00FC030A"/>
    <w:rsid w:val="00FC2C05"/>
    <w:rsid w:val="00FC38C6"/>
    <w:rsid w:val="00FC5DB7"/>
    <w:rsid w:val="00FD0CD4"/>
    <w:rsid w:val="00FD0F1F"/>
    <w:rsid w:val="00FD1387"/>
    <w:rsid w:val="00FD222D"/>
    <w:rsid w:val="00FD3EF1"/>
    <w:rsid w:val="00FD5170"/>
    <w:rsid w:val="00FE055D"/>
    <w:rsid w:val="00FE228F"/>
    <w:rsid w:val="00FE2676"/>
    <w:rsid w:val="00FE2B70"/>
    <w:rsid w:val="00FE3A11"/>
    <w:rsid w:val="00FE4504"/>
    <w:rsid w:val="00FE484D"/>
    <w:rsid w:val="00FF0403"/>
    <w:rsid w:val="00FF1228"/>
    <w:rsid w:val="00FF1C1A"/>
    <w:rsid w:val="00FF231B"/>
    <w:rsid w:val="00FF3D5C"/>
    <w:rsid w:val="00FF43D4"/>
    <w:rsid w:val="00FF59E3"/>
    <w:rsid w:val="00FF6088"/>
    <w:rsid w:val="00FF63EE"/>
    <w:rsid w:val="00FF694E"/>
    <w:rsid w:val="00FF6B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D01D36"/>
  <w15:docId w15:val="{128DBD7D-3389-6A41-9A3B-A7454A43C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IE-Normal"/>
    <w:qFormat/>
    <w:rsid w:val="006E6495"/>
    <w:pPr>
      <w:spacing w:after="240" w:line="360" w:lineRule="auto"/>
      <w:ind w:left="284" w:right="397"/>
      <w:jc w:val="both"/>
    </w:pPr>
    <w:rPr>
      <w:rFonts w:ascii="Tahoma" w:eastAsia="Times New Roman" w:hAnsi="Tahoma" w:cs="Times New Roman"/>
      <w:color w:val="000000" w:themeColor="text1"/>
      <w:sz w:val="18"/>
      <w:lang w:val="en-GB" w:eastAsia="en-GB"/>
    </w:rPr>
  </w:style>
  <w:style w:type="paragraph" w:styleId="Heading1">
    <w:name w:val="heading 1"/>
    <w:basedOn w:val="Normal"/>
    <w:next w:val="Normal"/>
    <w:link w:val="Heading1Char"/>
    <w:autoRedefine/>
    <w:uiPriority w:val="9"/>
    <w:qFormat/>
    <w:rsid w:val="007C3675"/>
    <w:pPr>
      <w:keepNext/>
      <w:keepLines/>
      <w:spacing w:before="600" w:line="240" w:lineRule="auto"/>
      <w:outlineLvl w:val="0"/>
    </w:pPr>
    <w:rPr>
      <w:rFonts w:eastAsiaTheme="minorEastAsia"/>
      <w:color w:val="354255"/>
      <w:sz w:val="32"/>
      <w:szCs w:val="28"/>
    </w:rPr>
  </w:style>
  <w:style w:type="paragraph" w:styleId="Heading2">
    <w:name w:val="heading 2"/>
    <w:basedOn w:val="Body3"/>
    <w:link w:val="Heading2Char"/>
    <w:autoRedefine/>
    <w:uiPriority w:val="9"/>
    <w:qFormat/>
    <w:rsid w:val="00D519B7"/>
    <w:pPr>
      <w:keepLines/>
      <w:spacing w:after="0" w:line="276" w:lineRule="auto"/>
      <w:ind w:left="34" w:right="397"/>
      <w:outlineLvl w:val="1"/>
    </w:pPr>
    <w:rPr>
      <w:bCs w:val="0"/>
      <w:color w:val="354255"/>
      <w:spacing w:val="20"/>
      <w:sz w:val="24"/>
      <w:szCs w:val="24"/>
      <w:lang w:val="fi-FI" w:eastAsia="ja-JP"/>
    </w:rPr>
  </w:style>
  <w:style w:type="paragraph" w:styleId="Heading3">
    <w:name w:val="heading 3"/>
    <w:basedOn w:val="Body3"/>
    <w:link w:val="Heading3Char"/>
    <w:autoRedefine/>
    <w:uiPriority w:val="9"/>
    <w:qFormat/>
    <w:rsid w:val="000E5D53"/>
    <w:pPr>
      <w:keepNext/>
      <w:tabs>
        <w:tab w:val="left" w:pos="1418"/>
      </w:tabs>
      <w:spacing w:before="0" w:after="0" w:line="276" w:lineRule="auto"/>
      <w:ind w:right="397"/>
      <w:outlineLvl w:val="2"/>
    </w:pPr>
    <w:rPr>
      <w:rFonts w:cs="Tahoma"/>
      <w:bCs w:val="0"/>
      <w:caps/>
      <w:color w:val="191919"/>
      <w:spacing w:val="-8"/>
      <w:sz w:val="24"/>
      <w:szCs w:val="22"/>
      <w:lang w:val="en-US" w:eastAsia="en-GB"/>
    </w:rPr>
  </w:style>
  <w:style w:type="paragraph" w:styleId="Heading4">
    <w:name w:val="heading 4"/>
    <w:basedOn w:val="Normal"/>
    <w:next w:val="Normal"/>
    <w:link w:val="Heading4Char"/>
    <w:autoRedefine/>
    <w:uiPriority w:val="9"/>
    <w:unhideWhenUsed/>
    <w:qFormat/>
    <w:rsid w:val="00D326F2"/>
    <w:pPr>
      <w:keepNext/>
      <w:keepLines/>
      <w:spacing w:before="200" w:after="0"/>
      <w:outlineLvl w:val="3"/>
    </w:pPr>
    <w:rPr>
      <w:rFonts w:eastAsiaTheme="majorEastAsia" w:cstheme="majorBidi"/>
      <w:b/>
      <w:bCs/>
      <w:iCs/>
      <w:color w:val="098E56"/>
      <w:sz w:val="21"/>
      <w:szCs w:val="21"/>
    </w:rPr>
  </w:style>
  <w:style w:type="paragraph" w:styleId="Heading5">
    <w:name w:val="heading 5"/>
    <w:basedOn w:val="Normal"/>
    <w:next w:val="Normal"/>
    <w:link w:val="Heading5Char"/>
    <w:autoRedefine/>
    <w:uiPriority w:val="9"/>
    <w:unhideWhenUsed/>
    <w:qFormat/>
    <w:rsid w:val="00D24C1E"/>
    <w:pPr>
      <w:keepLines/>
      <w:numPr>
        <w:ilvl w:val="1"/>
        <w:numId w:val="27"/>
      </w:numPr>
      <w:spacing w:before="360" w:after="120" w:line="240" w:lineRule="auto"/>
      <w:outlineLvl w:val="4"/>
    </w:pPr>
    <w:rPr>
      <w:rFonts w:eastAsiaTheme="majorEastAsia" w:cstheme="majorBidi"/>
      <w:bCs/>
      <w:color w:val="808080" w:themeColor="background1" w:themeShade="80"/>
      <w:sz w:val="20"/>
      <w:lang w:eastAsia="sl-SI"/>
    </w:rPr>
  </w:style>
  <w:style w:type="paragraph" w:styleId="Heading6">
    <w:name w:val="heading 6"/>
    <w:basedOn w:val="Body4"/>
    <w:next w:val="Normal"/>
    <w:link w:val="Heading6Char"/>
    <w:autoRedefine/>
    <w:qFormat/>
    <w:rsid w:val="005815E7"/>
    <w:pPr>
      <w:keepNext/>
      <w:spacing w:after="120" w:line="276" w:lineRule="auto"/>
      <w:ind w:left="0"/>
      <w:outlineLvl w:val="5"/>
    </w:pPr>
    <w:rPr>
      <w:rFonts w:cs="Arial"/>
      <w:color w:val="1D442E"/>
      <w:spacing w:val="14"/>
      <w:lang w:eastAsia="de-DE"/>
    </w:rPr>
  </w:style>
  <w:style w:type="paragraph" w:styleId="Heading7">
    <w:name w:val="heading 7"/>
    <w:basedOn w:val="Normal"/>
    <w:next w:val="Normal"/>
    <w:link w:val="Heading7Char"/>
    <w:autoRedefine/>
    <w:uiPriority w:val="9"/>
    <w:qFormat/>
    <w:rsid w:val="00C45150"/>
    <w:pPr>
      <w:spacing w:after="120" w:line="276" w:lineRule="auto"/>
      <w:ind w:left="34" w:right="34"/>
      <w:outlineLvl w:val="6"/>
    </w:pPr>
    <w:rPr>
      <w:i/>
      <w:snapToGrid w:val="0"/>
    </w:rPr>
  </w:style>
  <w:style w:type="paragraph" w:styleId="Heading8">
    <w:name w:val="heading 8"/>
    <w:basedOn w:val="Normal"/>
    <w:next w:val="Normal"/>
    <w:link w:val="Heading8Char"/>
    <w:autoRedefine/>
    <w:uiPriority w:val="9"/>
    <w:qFormat/>
    <w:rsid w:val="0099786C"/>
    <w:pPr>
      <w:tabs>
        <w:tab w:val="left" w:pos="1418"/>
      </w:tabs>
      <w:spacing w:before="120" w:after="60" w:line="276" w:lineRule="auto"/>
      <w:ind w:left="34" w:right="34"/>
      <w:jc w:val="center"/>
      <w:outlineLvl w:val="7"/>
    </w:pPr>
    <w:rPr>
      <w:b/>
      <w:sz w:val="17"/>
    </w:rPr>
  </w:style>
  <w:style w:type="paragraph" w:styleId="Heading9">
    <w:name w:val="heading 9"/>
    <w:basedOn w:val="Normal"/>
    <w:next w:val="Normal"/>
    <w:link w:val="Heading9Char"/>
    <w:autoRedefine/>
    <w:qFormat/>
    <w:rsid w:val="005815E7"/>
    <w:pPr>
      <w:numPr>
        <w:numId w:val="28"/>
      </w:numPr>
      <w:tabs>
        <w:tab w:val="left" w:pos="2018"/>
        <w:tab w:val="left" w:pos="2302"/>
        <w:tab w:val="left" w:pos="8222"/>
      </w:tabs>
      <w:spacing w:after="160" w:line="288" w:lineRule="auto"/>
      <w:ind w:right="0"/>
      <w:outlineLvl w:val="8"/>
    </w:pPr>
    <w:rPr>
      <w:color w:val="1D442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C3675"/>
    <w:rPr>
      <w:rFonts w:ascii="Tahoma" w:hAnsi="Tahoma" w:cs="Times New Roman"/>
      <w:color w:val="354255"/>
      <w:sz w:val="32"/>
      <w:szCs w:val="28"/>
      <w:lang w:val="en-GB" w:eastAsia="en-GB"/>
    </w:rPr>
  </w:style>
  <w:style w:type="character" w:customStyle="1" w:styleId="Heading2Char">
    <w:name w:val="Heading 2 Char"/>
    <w:link w:val="Heading2"/>
    <w:uiPriority w:val="9"/>
    <w:rsid w:val="00D519B7"/>
    <w:rPr>
      <w:rFonts w:ascii="Tahoma" w:eastAsia="HGPMinchoE" w:hAnsi="Tahoma" w:cs="Times New Roman"/>
      <w:color w:val="354255"/>
      <w:spacing w:val="20"/>
      <w:shd w:val="clear" w:color="auto" w:fill="FFFFFF" w:themeFill="background1"/>
      <w:lang w:val="fi-FI"/>
    </w:rPr>
  </w:style>
  <w:style w:type="character" w:customStyle="1" w:styleId="Heading3Char">
    <w:name w:val="Heading 3 Char"/>
    <w:link w:val="Heading3"/>
    <w:uiPriority w:val="9"/>
    <w:rsid w:val="000E5D53"/>
    <w:rPr>
      <w:rFonts w:ascii="Tahoma" w:eastAsia="HGPMinchoE" w:hAnsi="Tahoma" w:cs="Tahoma"/>
      <w:caps/>
      <w:color w:val="191919"/>
      <w:spacing w:val="-8"/>
      <w:szCs w:val="22"/>
      <w:lang w:eastAsia="en-GB"/>
    </w:rPr>
  </w:style>
  <w:style w:type="character" w:customStyle="1" w:styleId="Heading4Char">
    <w:name w:val="Heading 4 Char"/>
    <w:basedOn w:val="DefaultParagraphFont"/>
    <w:link w:val="Heading4"/>
    <w:uiPriority w:val="9"/>
    <w:rsid w:val="00D326F2"/>
    <w:rPr>
      <w:rFonts w:ascii="Tahoma" w:eastAsiaTheme="majorEastAsia" w:hAnsi="Tahoma" w:cstheme="majorBidi"/>
      <w:b/>
      <w:bCs/>
      <w:iCs/>
      <w:color w:val="098E56"/>
      <w:sz w:val="21"/>
      <w:szCs w:val="21"/>
      <w:lang w:val="en-GB" w:eastAsia="en-GB"/>
    </w:rPr>
  </w:style>
  <w:style w:type="character" w:customStyle="1" w:styleId="Heading5Char">
    <w:name w:val="Heading 5 Char"/>
    <w:basedOn w:val="DefaultParagraphFont"/>
    <w:link w:val="Heading5"/>
    <w:uiPriority w:val="9"/>
    <w:rsid w:val="00D24C1E"/>
    <w:rPr>
      <w:rFonts w:ascii="Tahoma" w:eastAsiaTheme="majorEastAsia" w:hAnsi="Tahoma" w:cstheme="majorBidi"/>
      <w:bCs/>
      <w:color w:val="808080" w:themeColor="background1" w:themeShade="80"/>
      <w:sz w:val="20"/>
      <w:lang w:val="en-GB" w:eastAsia="sl-SI"/>
    </w:rPr>
  </w:style>
  <w:style w:type="paragraph" w:customStyle="1" w:styleId="Body4">
    <w:name w:val="Body 4"/>
    <w:basedOn w:val="Body3"/>
    <w:autoRedefine/>
    <w:qFormat/>
    <w:rsid w:val="008546B8"/>
    <w:pPr>
      <w:tabs>
        <w:tab w:val="left" w:pos="1060"/>
      </w:tabs>
      <w:ind w:left="284" w:right="57"/>
    </w:pPr>
  </w:style>
  <w:style w:type="paragraph" w:customStyle="1" w:styleId="Body3">
    <w:name w:val="Body 3"/>
    <w:autoRedefine/>
    <w:qFormat/>
    <w:rsid w:val="00B818DF"/>
    <w:pPr>
      <w:tabs>
        <w:tab w:val="left" w:pos="580"/>
      </w:tabs>
      <w:spacing w:before="120" w:after="200" w:line="300" w:lineRule="auto"/>
    </w:pPr>
    <w:rPr>
      <w:rFonts w:ascii="Tahoma" w:eastAsia="HGPMinchoE" w:hAnsi="Tahoma" w:cs="Times New Roman"/>
      <w:bCs/>
      <w:color w:val="275666" w:themeColor="accent4" w:themeShade="80"/>
      <w:sz w:val="18"/>
      <w:szCs w:val="18"/>
      <w:lang w:val="en-GB" w:eastAsia="fi-FI"/>
    </w:rPr>
  </w:style>
  <w:style w:type="character" w:customStyle="1" w:styleId="Heading6Char">
    <w:name w:val="Heading 6 Char"/>
    <w:link w:val="Heading6"/>
    <w:rsid w:val="005815E7"/>
    <w:rPr>
      <w:rFonts w:ascii="Tahoma" w:eastAsia="HGPMinchoE" w:hAnsi="Tahoma" w:cs="Arial"/>
      <w:bCs/>
      <w:color w:val="1D442E"/>
      <w:spacing w:val="14"/>
      <w:sz w:val="18"/>
      <w:szCs w:val="18"/>
      <w:lang w:val="en-GB" w:eastAsia="de-DE"/>
    </w:rPr>
  </w:style>
  <w:style w:type="character" w:customStyle="1" w:styleId="Heading7Char">
    <w:name w:val="Heading 7 Char"/>
    <w:link w:val="Heading7"/>
    <w:uiPriority w:val="9"/>
    <w:rsid w:val="00C45150"/>
    <w:rPr>
      <w:rFonts w:ascii="Tahoma" w:eastAsia="Times New Roman" w:hAnsi="Tahoma" w:cs="Times New Roman"/>
      <w:i/>
      <w:noProof/>
      <w:snapToGrid w:val="0"/>
      <w:color w:val="000000" w:themeColor="text1"/>
      <w:sz w:val="18"/>
      <w:lang w:val="en-GB" w:eastAsia="en-GB"/>
    </w:rPr>
  </w:style>
  <w:style w:type="character" w:customStyle="1" w:styleId="Heading8Char">
    <w:name w:val="Heading 8 Char"/>
    <w:link w:val="Heading8"/>
    <w:uiPriority w:val="9"/>
    <w:rsid w:val="0099786C"/>
    <w:rPr>
      <w:rFonts w:ascii="Tahoma" w:eastAsia="Arial" w:hAnsi="Tahoma" w:cs="Times New Roman"/>
      <w:b/>
      <w:color w:val="171717" w:themeColor="background2" w:themeShade="1A"/>
      <w:sz w:val="17"/>
      <w:szCs w:val="20"/>
      <w:lang w:val="en-GB" w:eastAsia="en-GB"/>
    </w:rPr>
  </w:style>
  <w:style w:type="character" w:customStyle="1" w:styleId="Heading9Char">
    <w:name w:val="Heading 9 Char"/>
    <w:link w:val="Heading9"/>
    <w:rsid w:val="005815E7"/>
    <w:rPr>
      <w:rFonts w:ascii="Tahoma" w:eastAsia="Times New Roman" w:hAnsi="Tahoma" w:cs="Times New Roman"/>
      <w:color w:val="1D442E"/>
      <w:sz w:val="18"/>
      <w:lang w:val="en-GB" w:eastAsia="en-GB"/>
    </w:rPr>
  </w:style>
  <w:style w:type="paragraph" w:customStyle="1" w:styleId="Footnote">
    <w:name w:val="Footnote"/>
    <w:link w:val="FootnoteMerkki"/>
    <w:autoRedefine/>
    <w:qFormat/>
    <w:rsid w:val="00F971C6"/>
    <w:pPr>
      <w:spacing w:line="264" w:lineRule="auto"/>
      <w:ind w:right="357"/>
      <w:jc w:val="both"/>
    </w:pPr>
    <w:rPr>
      <w:rFonts w:ascii="Tahoma" w:eastAsia="Tamil MN" w:hAnsi="Tahoma" w:cs="Tamil MN"/>
      <w:bCs/>
      <w:color w:val="008080"/>
      <w:sz w:val="16"/>
      <w:szCs w:val="66"/>
      <w:bdr w:val="nil"/>
      <w:lang w:eastAsia="en-US"/>
    </w:rPr>
  </w:style>
  <w:style w:type="character" w:customStyle="1" w:styleId="FootnoteMerkki">
    <w:name w:val="Footnote Merkki"/>
    <w:basedOn w:val="FootnoteTextChar"/>
    <w:link w:val="Footnote"/>
    <w:rsid w:val="00F971C6"/>
    <w:rPr>
      <w:rFonts w:ascii="Tahoma" w:eastAsia="Tamil MN" w:hAnsi="Tahoma" w:cs="Tamil MN"/>
      <w:bCs/>
      <w:noProof/>
      <w:color w:val="008080"/>
      <w:sz w:val="16"/>
      <w:szCs w:val="66"/>
      <w:bdr w:val="nil"/>
      <w:lang w:val="en-GB" w:eastAsia="en-US"/>
    </w:rPr>
  </w:style>
  <w:style w:type="character" w:customStyle="1" w:styleId="FootnoteTextChar">
    <w:name w:val="Footnote Text Char"/>
    <w:aliases w:val="Schriftart: 9 pt Char,Schriftart: 10 pt Char,Schriftart: 8 pt Char,WB-Fußnotentext Char,fn Char,footnote text Char,Footnotes Char,Footnote ak Char,FoodNote Char,ft Char,Footnote text Char,Footnote Text Char1 Char,Char1 Char,o Char"/>
    <w:link w:val="FootnoteText"/>
    <w:uiPriority w:val="99"/>
    <w:qFormat/>
    <w:rsid w:val="004B7195"/>
    <w:rPr>
      <w:rFonts w:ascii="Tahoma" w:hAnsi="Tahoma" w:cs="Tahoma"/>
      <w:noProof/>
      <w:color w:val="002C4E"/>
      <w:sz w:val="16"/>
      <w:szCs w:val="40"/>
      <w:lang w:val="en-GB" w:eastAsia="sl-SI"/>
    </w:rPr>
  </w:style>
  <w:style w:type="paragraph" w:styleId="FootnoteText">
    <w:name w:val="footnote text"/>
    <w:aliases w:val="Schriftart: 9 pt,Schriftart: 10 pt,Schriftart: 8 pt,WB-Fußnotentext,fn,footnote text,Footnotes,Footnote ak,FoodNote,ft,Footnote text,Footnote Text Char1,Footnote Text Char Char,Footnote Text Char1 Char Char,Char1,Podrozdział,o"/>
    <w:basedOn w:val="Normal"/>
    <w:link w:val="FootnoteTextChar"/>
    <w:autoRedefine/>
    <w:uiPriority w:val="99"/>
    <w:qFormat/>
    <w:rsid w:val="004B7195"/>
    <w:pPr>
      <w:widowControl w:val="0"/>
      <w:spacing w:after="120" w:line="276" w:lineRule="auto"/>
      <w:ind w:left="0"/>
    </w:pPr>
    <w:rPr>
      <w:rFonts w:eastAsiaTheme="minorEastAsia" w:cs="Tahoma"/>
      <w:color w:val="002C4E"/>
      <w:sz w:val="16"/>
      <w:szCs w:val="40"/>
      <w:shd w:val="clear" w:color="auto" w:fill="FFFFFF"/>
      <w:lang w:eastAsia="sl-SI"/>
    </w:rPr>
  </w:style>
  <w:style w:type="character" w:styleId="Emphasis">
    <w:name w:val="Emphasis"/>
    <w:basedOn w:val="DefaultParagraphFont"/>
    <w:uiPriority w:val="20"/>
    <w:qFormat/>
    <w:rsid w:val="00F139FF"/>
    <w:rPr>
      <w:rFonts w:ascii="Tamil MN" w:hAnsi="Tamil MN"/>
      <w:i/>
      <w:iCs/>
      <w:color w:val="171717" w:themeColor="background2" w:themeShade="1A"/>
      <w:sz w:val="21"/>
    </w:rPr>
  </w:style>
  <w:style w:type="paragraph" w:styleId="Caption">
    <w:name w:val="caption"/>
    <w:aliases w:val="BRIDGES Caption"/>
    <w:basedOn w:val="Normal"/>
    <w:next w:val="Normal"/>
    <w:link w:val="CaptionChar"/>
    <w:autoRedefine/>
    <w:uiPriority w:val="35"/>
    <w:unhideWhenUsed/>
    <w:qFormat/>
    <w:rsid w:val="0066134A"/>
    <w:pPr>
      <w:keepNext/>
      <w:spacing w:line="276" w:lineRule="auto"/>
      <w:ind w:left="0"/>
    </w:pPr>
    <w:rPr>
      <w:bCs/>
      <w:color w:val="011893"/>
    </w:rPr>
  </w:style>
  <w:style w:type="character" w:customStyle="1" w:styleId="CaptionChar">
    <w:name w:val="Caption Char"/>
    <w:aliases w:val="BRIDGES Caption Char"/>
    <w:link w:val="Caption"/>
    <w:uiPriority w:val="35"/>
    <w:rsid w:val="0066134A"/>
    <w:rPr>
      <w:rFonts w:ascii="Tahoma" w:eastAsia="Times New Roman" w:hAnsi="Tahoma" w:cs="Times New Roman"/>
      <w:bCs/>
      <w:color w:val="011893"/>
      <w:sz w:val="18"/>
      <w:lang w:val="en-GB" w:eastAsia="en-GB"/>
    </w:rPr>
  </w:style>
  <w:style w:type="paragraph" w:styleId="List2">
    <w:name w:val="List 2"/>
    <w:basedOn w:val="Body3"/>
    <w:uiPriority w:val="99"/>
    <w:unhideWhenUsed/>
    <w:qFormat/>
    <w:rsid w:val="00765F80"/>
    <w:pPr>
      <w:numPr>
        <w:numId w:val="19"/>
      </w:numPr>
      <w:spacing w:before="0" w:after="160" w:line="288" w:lineRule="auto"/>
      <w:ind w:right="397"/>
    </w:pPr>
    <w:rPr>
      <w:rFonts w:eastAsia="Calibri"/>
      <w:color w:val="000000" w:themeColor="text1"/>
      <w:szCs w:val="21"/>
    </w:rPr>
  </w:style>
  <w:style w:type="paragraph" w:styleId="TOC1">
    <w:name w:val="toc 1"/>
    <w:basedOn w:val="Body3"/>
    <w:autoRedefine/>
    <w:uiPriority w:val="39"/>
    <w:unhideWhenUsed/>
    <w:qFormat/>
    <w:rsid w:val="00E86A10"/>
    <w:pPr>
      <w:tabs>
        <w:tab w:val="clear" w:pos="580"/>
        <w:tab w:val="right" w:leader="dot" w:pos="9225"/>
      </w:tabs>
      <w:spacing w:after="0"/>
    </w:pPr>
    <w:rPr>
      <w:rFonts w:eastAsia="Arial" w:cs="Tahoma"/>
      <w:b/>
      <w:bCs w:val="0"/>
      <w:szCs w:val="20"/>
      <w:lang w:eastAsia="en-US"/>
    </w:rPr>
  </w:style>
  <w:style w:type="paragraph" w:styleId="Title">
    <w:name w:val="Title"/>
    <w:basedOn w:val="Normal"/>
    <w:link w:val="TitleChar"/>
    <w:autoRedefine/>
    <w:uiPriority w:val="10"/>
    <w:qFormat/>
    <w:rsid w:val="001C01F6"/>
    <w:rPr>
      <w:rFonts w:eastAsia="Batang"/>
      <w:b/>
      <w:bCs/>
      <w:sz w:val="28"/>
      <w:szCs w:val="28"/>
    </w:rPr>
  </w:style>
  <w:style w:type="character" w:customStyle="1" w:styleId="TitleChar">
    <w:name w:val="Title Char"/>
    <w:link w:val="Title"/>
    <w:uiPriority w:val="10"/>
    <w:rsid w:val="001C01F6"/>
    <w:rPr>
      <w:rFonts w:ascii="Tahoma" w:eastAsia="Batang" w:hAnsi="Tahoma" w:cs="Times New Roman"/>
      <w:b/>
      <w:bCs/>
      <w:color w:val="3B3838" w:themeColor="background2" w:themeShade="40"/>
      <w:sz w:val="28"/>
      <w:szCs w:val="28"/>
      <w:lang w:val="en-GB" w:eastAsia="en-US"/>
    </w:rPr>
  </w:style>
  <w:style w:type="paragraph" w:styleId="BalloonText">
    <w:name w:val="Balloon Text"/>
    <w:basedOn w:val="Body3"/>
    <w:link w:val="BalloonTextChar"/>
    <w:autoRedefine/>
    <w:uiPriority w:val="99"/>
    <w:semiHidden/>
    <w:unhideWhenUsed/>
    <w:qFormat/>
    <w:rsid w:val="00967DF6"/>
    <w:pPr>
      <w:spacing w:line="240" w:lineRule="auto"/>
      <w:ind w:left="652"/>
    </w:pPr>
    <w:rPr>
      <w:rFonts w:cs="Lucida Grande"/>
    </w:rPr>
  </w:style>
  <w:style w:type="character" w:customStyle="1" w:styleId="BalloonTextChar">
    <w:name w:val="Balloon Text Char"/>
    <w:basedOn w:val="DefaultParagraphFont"/>
    <w:link w:val="BalloonText"/>
    <w:uiPriority w:val="99"/>
    <w:semiHidden/>
    <w:rsid w:val="00967DF6"/>
    <w:rPr>
      <w:rFonts w:ascii="Tahoma" w:eastAsia="HGPMinchoE" w:hAnsi="Tahoma" w:cs="Lucida Grande"/>
      <w:noProof/>
      <w:color w:val="064676"/>
      <w:sz w:val="18"/>
      <w:szCs w:val="18"/>
      <w:lang w:val="fr-BE" w:eastAsia="fi-FI"/>
    </w:rPr>
  </w:style>
  <w:style w:type="paragraph" w:customStyle="1" w:styleId="SubTitle1">
    <w:name w:val="SubTitle 1"/>
    <w:basedOn w:val="Normal"/>
    <w:next w:val="Normal"/>
    <w:autoRedefine/>
    <w:qFormat/>
    <w:rsid w:val="00C16E02"/>
    <w:pPr>
      <w:spacing w:after="0" w:line="240" w:lineRule="auto"/>
    </w:pPr>
    <w:rPr>
      <w:rFonts w:cs="Tahoma"/>
      <w:b/>
      <w:color w:val="5ABA92"/>
      <w:lang w:eastAsia="sl-SI"/>
    </w:rPr>
  </w:style>
  <w:style w:type="character" w:styleId="FootnoteReference">
    <w:name w:val="footnote reference"/>
    <w:aliases w:val="Footnote symbol,Times 10 Point,Exposant 3 Point,Footnote number,BVI fnr,Footnote Reference Number,Footnote reference number,EN Footnote Reference,note TESI,Odwołanie przypisu,Fussnota,ftref,Footnote anchor,Voetnootverwijzing"/>
    <w:basedOn w:val="DefaultParagraphFont"/>
    <w:link w:val="AppelnotedebasdepBVIfnrCarCarCarCar"/>
    <w:uiPriority w:val="99"/>
    <w:unhideWhenUsed/>
    <w:qFormat/>
    <w:rsid w:val="00E6398E"/>
    <w:rPr>
      <w:rFonts w:ascii="Tahoma" w:hAnsi="Tahoma"/>
      <w:b w:val="0"/>
      <w:color w:val="007BDA"/>
      <w:sz w:val="18"/>
      <w:vertAlign w:val="superscript"/>
    </w:rPr>
  </w:style>
  <w:style w:type="paragraph" w:styleId="List5">
    <w:name w:val="List 5"/>
    <w:basedOn w:val="Normal"/>
    <w:autoRedefine/>
    <w:uiPriority w:val="99"/>
    <w:unhideWhenUsed/>
    <w:qFormat/>
    <w:rsid w:val="008C5448"/>
    <w:pPr>
      <w:numPr>
        <w:numId w:val="3"/>
      </w:numPr>
      <w:spacing w:before="120" w:after="120" w:line="288" w:lineRule="auto"/>
    </w:pPr>
    <w:rPr>
      <w:rFonts w:eastAsia="Candara"/>
      <w:color w:val="03080E"/>
    </w:rPr>
  </w:style>
  <w:style w:type="paragraph" w:styleId="List4">
    <w:name w:val="List 4"/>
    <w:basedOn w:val="Normal"/>
    <w:autoRedefine/>
    <w:uiPriority w:val="99"/>
    <w:semiHidden/>
    <w:unhideWhenUsed/>
    <w:qFormat/>
    <w:rsid w:val="001917E8"/>
    <w:pPr>
      <w:numPr>
        <w:numId w:val="2"/>
      </w:numPr>
    </w:pPr>
  </w:style>
  <w:style w:type="paragraph" w:customStyle="1" w:styleId="Default">
    <w:name w:val="Default"/>
    <w:link w:val="DefaultMerkki"/>
    <w:autoRedefine/>
    <w:qFormat/>
    <w:rsid w:val="00BA1B32"/>
    <w:pPr>
      <w:widowControl w:val="0"/>
      <w:autoSpaceDE w:val="0"/>
      <w:autoSpaceDN w:val="0"/>
      <w:adjustRightInd w:val="0"/>
      <w:spacing w:before="60" w:after="160" w:line="360" w:lineRule="auto"/>
      <w:jc w:val="both"/>
    </w:pPr>
    <w:rPr>
      <w:rFonts w:ascii="Tahoma" w:eastAsia="Batang" w:hAnsi="Tahoma" w:cs="Tahoma"/>
      <w:color w:val="000000" w:themeColor="text1"/>
      <w:sz w:val="21"/>
      <w:szCs w:val="21"/>
      <w:lang w:eastAsia="en-GB"/>
    </w:rPr>
  </w:style>
  <w:style w:type="character" w:customStyle="1" w:styleId="DefaultMerkki">
    <w:name w:val="Default Merkki"/>
    <w:basedOn w:val="DefaultParagraphFont"/>
    <w:link w:val="Default"/>
    <w:rsid w:val="00BA1B32"/>
    <w:rPr>
      <w:rFonts w:ascii="Tahoma" w:eastAsia="Batang" w:hAnsi="Tahoma" w:cs="Tahoma"/>
      <w:color w:val="000000" w:themeColor="text1"/>
      <w:sz w:val="21"/>
      <w:szCs w:val="21"/>
      <w:lang w:eastAsia="en-GB"/>
    </w:rPr>
  </w:style>
  <w:style w:type="paragraph" w:styleId="ListBullet2">
    <w:name w:val="List Bullet 2"/>
    <w:basedOn w:val="Normal"/>
    <w:autoRedefine/>
    <w:uiPriority w:val="99"/>
    <w:unhideWhenUsed/>
    <w:qFormat/>
    <w:rsid w:val="00904075"/>
    <w:pPr>
      <w:numPr>
        <w:numId w:val="16"/>
      </w:numPr>
      <w:spacing w:line="288" w:lineRule="auto"/>
    </w:pPr>
  </w:style>
  <w:style w:type="paragraph" w:styleId="TOC2">
    <w:name w:val="toc 2"/>
    <w:basedOn w:val="Normal"/>
    <w:next w:val="Normal"/>
    <w:autoRedefine/>
    <w:uiPriority w:val="39"/>
    <w:unhideWhenUsed/>
    <w:qFormat/>
    <w:rsid w:val="00B1291F"/>
    <w:pPr>
      <w:tabs>
        <w:tab w:val="right" w:leader="dot" w:pos="9225"/>
      </w:tabs>
    </w:pPr>
  </w:style>
  <w:style w:type="paragraph" w:customStyle="1" w:styleId="font5">
    <w:name w:val="font5"/>
    <w:basedOn w:val="Normal"/>
    <w:autoRedefine/>
    <w:qFormat/>
    <w:rsid w:val="00192F64"/>
    <w:pPr>
      <w:spacing w:after="120" w:line="276" w:lineRule="auto"/>
    </w:pPr>
    <w:rPr>
      <w:rFonts w:eastAsia="HGPMinchoE"/>
      <w:lang w:eastAsia="fi-FI"/>
    </w:rPr>
  </w:style>
  <w:style w:type="character" w:styleId="BookTitle">
    <w:name w:val="Book Title"/>
    <w:basedOn w:val="DefaultParagraphFont"/>
    <w:uiPriority w:val="33"/>
    <w:qFormat/>
    <w:rsid w:val="00596300"/>
    <w:rPr>
      <w:rFonts w:ascii="Tahoma" w:hAnsi="Tahoma"/>
      <w:b w:val="0"/>
      <w:bCs w:val="0"/>
      <w:i w:val="0"/>
      <w:iCs w:val="0"/>
      <w:caps w:val="0"/>
      <w:smallCaps w:val="0"/>
      <w:strike w:val="0"/>
      <w:dstrike w:val="0"/>
      <w:vanish w:val="0"/>
      <w:color w:val="008080"/>
      <w:spacing w:val="0"/>
      <w:w w:val="100"/>
      <w:sz w:val="20"/>
      <w:szCs w:val="20"/>
      <w:bdr w:val="none" w:sz="0" w:space="0" w:color="auto"/>
      <w:shd w:val="clear" w:color="auto" w:fill="auto"/>
      <w:vertAlign w:val="baseline"/>
    </w:rPr>
  </w:style>
  <w:style w:type="paragraph" w:styleId="ListBullet5">
    <w:name w:val="List Bullet 5"/>
    <w:basedOn w:val="Normal"/>
    <w:autoRedefine/>
    <w:uiPriority w:val="99"/>
    <w:unhideWhenUsed/>
    <w:qFormat/>
    <w:rsid w:val="00906445"/>
    <w:pPr>
      <w:widowControl w:val="0"/>
      <w:numPr>
        <w:numId w:val="24"/>
      </w:numPr>
      <w:spacing w:line="288" w:lineRule="auto"/>
    </w:pPr>
    <w:rPr>
      <w:rFonts w:cs="Arial"/>
    </w:rPr>
  </w:style>
  <w:style w:type="paragraph" w:styleId="ListParagraph">
    <w:name w:val="List Paragraph"/>
    <w:basedOn w:val="Normal"/>
    <w:link w:val="ListParagraphChar"/>
    <w:autoRedefine/>
    <w:uiPriority w:val="34"/>
    <w:qFormat/>
    <w:rsid w:val="007D2C21"/>
    <w:pPr>
      <w:widowControl w:val="0"/>
      <w:numPr>
        <w:numId w:val="23"/>
      </w:numPr>
      <w:tabs>
        <w:tab w:val="left" w:pos="2277"/>
      </w:tabs>
      <w:autoSpaceDE w:val="0"/>
      <w:autoSpaceDN w:val="0"/>
      <w:adjustRightInd w:val="0"/>
      <w:spacing w:after="160" w:line="288" w:lineRule="auto"/>
      <w:ind w:right="34"/>
      <w:jc w:val="left"/>
    </w:pPr>
    <w:rPr>
      <w:rFonts w:eastAsiaTheme="minorEastAsia" w:cs="Tahoma"/>
      <w:szCs w:val="18"/>
      <w:lang w:val="en-US" w:eastAsia="fi-FI"/>
    </w:rPr>
  </w:style>
  <w:style w:type="character" w:customStyle="1" w:styleId="ListParagraphChar">
    <w:name w:val="List Paragraph Char"/>
    <w:basedOn w:val="DefaultParagraphFont"/>
    <w:link w:val="ListParagraph"/>
    <w:uiPriority w:val="34"/>
    <w:qFormat/>
    <w:rsid w:val="007D2C21"/>
    <w:rPr>
      <w:rFonts w:ascii="Tahoma" w:hAnsi="Tahoma" w:cs="Tahoma"/>
      <w:color w:val="000000" w:themeColor="text1"/>
      <w:sz w:val="18"/>
      <w:szCs w:val="18"/>
      <w:lang w:eastAsia="fi-FI"/>
    </w:rPr>
  </w:style>
  <w:style w:type="paragraph" w:customStyle="1" w:styleId="Tabletext">
    <w:name w:val="Table text"/>
    <w:basedOn w:val="TOC1"/>
    <w:link w:val="TabletextMerkki"/>
    <w:autoRedefine/>
    <w:qFormat/>
    <w:rsid w:val="00FD0CD4"/>
    <w:pPr>
      <w:tabs>
        <w:tab w:val="right" w:leader="dot" w:pos="8607"/>
      </w:tabs>
    </w:pPr>
    <w:rPr>
      <w:b w:val="0"/>
      <w:bCs/>
      <w:color w:val="003131"/>
      <w:sz w:val="16"/>
      <w:lang w:eastAsia="fr-FR"/>
    </w:rPr>
  </w:style>
  <w:style w:type="character" w:customStyle="1" w:styleId="TabletextMerkki">
    <w:name w:val="Table text Merkki"/>
    <w:basedOn w:val="DefaultParagraphFont"/>
    <w:link w:val="Tabletext"/>
    <w:rsid w:val="00FD0CD4"/>
    <w:rPr>
      <w:rFonts w:ascii="Tahoma" w:eastAsia="Arial" w:hAnsi="Tahoma" w:cs="Tahoma"/>
      <w:bCs/>
      <w:color w:val="003131"/>
      <w:sz w:val="16"/>
      <w:szCs w:val="20"/>
      <w:shd w:val="clear" w:color="auto" w:fill="FFFFFF" w:themeFill="background1"/>
      <w:lang w:val="en-GB" w:eastAsia="fr-FR"/>
    </w:rPr>
  </w:style>
  <w:style w:type="table" w:styleId="ColourfulShadingAccent6">
    <w:name w:val="Colorful Shading Accent 6"/>
    <w:basedOn w:val="TableNormal"/>
    <w:uiPriority w:val="71"/>
    <w:rsid w:val="00967DF6"/>
    <w:rPr>
      <w:rFonts w:ascii="Tahoma" w:hAnsi="Tahoma"/>
      <w:color w:val="000000" w:themeColor="text1"/>
      <w:sz w:val="18"/>
    </w:rPr>
    <w:tblPr>
      <w:tblStyleRowBandSize w:val="1"/>
      <w:tblStyleColBandSize w:val="1"/>
      <w:tblBorders>
        <w:top w:val="single" w:sz="24" w:space="0" w:color="D17DF9" w:themeColor="accent5"/>
        <w:left w:val="single" w:sz="4" w:space="0" w:color="FA7E5C" w:themeColor="accent6"/>
        <w:bottom w:val="single" w:sz="4" w:space="0" w:color="FA7E5C" w:themeColor="accent6"/>
        <w:right w:val="single" w:sz="4" w:space="0" w:color="FA7E5C" w:themeColor="accent6"/>
        <w:insideH w:val="single" w:sz="4" w:space="0" w:color="FFFFFF" w:themeColor="background1"/>
        <w:insideV w:val="single" w:sz="4" w:space="0" w:color="FFFFFF" w:themeColor="background1"/>
      </w:tblBorders>
    </w:tblPr>
    <w:tcPr>
      <w:shd w:val="clear" w:color="auto" w:fill="FEF2EE" w:themeFill="accent6" w:themeFillTint="19"/>
    </w:tcPr>
    <w:tblStylePr w:type="firstRow">
      <w:rPr>
        <w:b/>
        <w:bCs/>
      </w:rPr>
      <w:tblPr/>
      <w:tcPr>
        <w:tcBorders>
          <w:top w:val="nil"/>
          <w:left w:val="nil"/>
          <w:bottom w:val="single" w:sz="24" w:space="0" w:color="D17DF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62E06" w:themeFill="accent6" w:themeFillShade="99"/>
      </w:tcPr>
    </w:tblStylePr>
    <w:tblStylePr w:type="firstCol">
      <w:rPr>
        <w:color w:val="FFFFFF" w:themeColor="background1"/>
      </w:rPr>
      <w:tblPr/>
      <w:tcPr>
        <w:tcBorders>
          <w:top w:val="nil"/>
          <w:left w:val="nil"/>
          <w:bottom w:val="nil"/>
          <w:right w:val="nil"/>
          <w:insideH w:val="single" w:sz="4" w:space="0" w:color="C62E06" w:themeColor="accent6" w:themeShade="99"/>
          <w:insideV w:val="nil"/>
        </w:tcBorders>
        <w:shd w:val="clear" w:color="auto" w:fill="C62E0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C62E06" w:themeFill="accent6" w:themeFillShade="99"/>
      </w:tcPr>
    </w:tblStylePr>
    <w:tblStylePr w:type="band1Vert">
      <w:tblPr/>
      <w:tcPr>
        <w:shd w:val="clear" w:color="auto" w:fill="FDCBBD" w:themeFill="accent6" w:themeFillTint="66"/>
      </w:tcPr>
    </w:tblStylePr>
    <w:tblStylePr w:type="band1Horz">
      <w:tblPr/>
      <w:tcPr>
        <w:shd w:val="clear" w:color="auto" w:fill="FCBEAD" w:themeFill="accent6" w:themeFillTint="7F"/>
      </w:tcPr>
    </w:tblStylePr>
    <w:tblStylePr w:type="neCell">
      <w:rPr>
        <w:color w:val="000000" w:themeColor="text1"/>
      </w:rPr>
    </w:tblStylePr>
    <w:tblStylePr w:type="nwCell">
      <w:rPr>
        <w:color w:val="000000" w:themeColor="text1"/>
      </w:rPr>
    </w:tblStylePr>
  </w:style>
  <w:style w:type="paragraph" w:styleId="MessageHeader">
    <w:name w:val="Message Header"/>
    <w:basedOn w:val="Body3"/>
    <w:link w:val="MessageHeaderChar"/>
    <w:autoRedefine/>
    <w:uiPriority w:val="99"/>
    <w:unhideWhenUsed/>
    <w:qFormat/>
    <w:rsid w:val="00967DF6"/>
    <w:pPr>
      <w:pBdr>
        <w:top w:val="single" w:sz="6" w:space="1" w:color="auto"/>
        <w:left w:val="single" w:sz="6" w:space="1" w:color="auto"/>
        <w:bottom w:val="single" w:sz="6" w:space="1" w:color="auto"/>
        <w:right w:val="single" w:sz="6" w:space="1" w:color="auto"/>
      </w:pBdr>
      <w:shd w:val="pct20" w:color="FFFFFF" w:themeColor="background1" w:fill="F3F3F3"/>
      <w:spacing w:line="240" w:lineRule="auto"/>
      <w:ind w:left="1134" w:hanging="1134"/>
    </w:pPr>
    <w:rPr>
      <w:rFonts w:eastAsiaTheme="majorEastAsia" w:cstheme="majorBidi"/>
      <w:color w:val="4BAF73" w:themeColor="accent3"/>
    </w:rPr>
  </w:style>
  <w:style w:type="character" w:customStyle="1" w:styleId="MessageHeaderChar">
    <w:name w:val="Message Header Char"/>
    <w:basedOn w:val="DefaultParagraphFont"/>
    <w:link w:val="MessageHeader"/>
    <w:uiPriority w:val="99"/>
    <w:rsid w:val="00967DF6"/>
    <w:rPr>
      <w:rFonts w:ascii="Tahoma" w:eastAsiaTheme="majorEastAsia" w:hAnsi="Tahoma" w:cstheme="majorBidi"/>
      <w:noProof/>
      <w:color w:val="4BAF73" w:themeColor="accent3"/>
      <w:sz w:val="18"/>
      <w:shd w:val="pct20" w:color="FFFFFF" w:themeColor="background1" w:fill="F3F3F3"/>
      <w:lang w:val="fr-BE" w:eastAsia="fi-FI"/>
    </w:rPr>
  </w:style>
  <w:style w:type="paragraph" w:styleId="List">
    <w:name w:val="List"/>
    <w:aliases w:val="List with gold bullet"/>
    <w:basedOn w:val="Body3"/>
    <w:next w:val="ListContinue2"/>
    <w:autoRedefine/>
    <w:uiPriority w:val="99"/>
    <w:unhideWhenUsed/>
    <w:qFormat/>
    <w:rsid w:val="00CB178E"/>
    <w:pPr>
      <w:numPr>
        <w:numId w:val="12"/>
      </w:numPr>
      <w:spacing w:after="120" w:line="276" w:lineRule="auto"/>
      <w:ind w:right="397"/>
    </w:pPr>
    <w:rPr>
      <w:szCs w:val="20"/>
    </w:rPr>
  </w:style>
  <w:style w:type="paragraph" w:styleId="ListBullet">
    <w:name w:val="List Bullet"/>
    <w:basedOn w:val="Normal"/>
    <w:uiPriority w:val="99"/>
    <w:unhideWhenUsed/>
    <w:qFormat/>
    <w:rsid w:val="00685A35"/>
    <w:pPr>
      <w:numPr>
        <w:numId w:val="22"/>
      </w:numPr>
      <w:tabs>
        <w:tab w:val="left" w:pos="4693"/>
      </w:tabs>
      <w:spacing w:after="80" w:line="276" w:lineRule="auto"/>
      <w:ind w:left="714" w:right="170" w:hanging="357"/>
      <w:jc w:val="center"/>
    </w:pPr>
    <w:rPr>
      <w:sz w:val="16"/>
    </w:rPr>
  </w:style>
  <w:style w:type="character" w:styleId="Hyperlink">
    <w:name w:val="Hyperlink"/>
    <w:basedOn w:val="DefaultParagraphFont"/>
    <w:uiPriority w:val="99"/>
    <w:unhideWhenUsed/>
    <w:qFormat/>
    <w:rsid w:val="00C72896"/>
    <w:rPr>
      <w:rFonts w:ascii="Tahoma" w:hAnsi="Tahoma"/>
      <w:color w:val="4BAF73" w:themeColor="accent3"/>
      <w:sz w:val="16"/>
      <w:szCs w:val="20"/>
      <w:u w:val="single"/>
    </w:rPr>
  </w:style>
  <w:style w:type="paragraph" w:customStyle="1" w:styleId="foot1">
    <w:name w:val="foot1"/>
    <w:link w:val="foot1Car"/>
    <w:autoRedefine/>
    <w:qFormat/>
    <w:rsid w:val="000D5BD1"/>
    <w:pPr>
      <w:spacing w:line="302" w:lineRule="auto"/>
    </w:pPr>
    <w:rPr>
      <w:rFonts w:ascii="Tahoma" w:eastAsiaTheme="minorHAnsi" w:hAnsi="Tahoma"/>
      <w:color w:val="69612C" w:themeColor="accent2" w:themeShade="80"/>
      <w:sz w:val="14"/>
      <w:szCs w:val="14"/>
      <w:lang w:val="fr-FR" w:eastAsia="en-US"/>
    </w:rPr>
  </w:style>
  <w:style w:type="character" w:customStyle="1" w:styleId="foot1Car">
    <w:name w:val="foot1 Car"/>
    <w:basedOn w:val="DefaultParagraphFont"/>
    <w:link w:val="foot1"/>
    <w:rsid w:val="000D5BD1"/>
    <w:rPr>
      <w:rFonts w:ascii="Tahoma" w:eastAsiaTheme="minorHAnsi" w:hAnsi="Tahoma"/>
      <w:color w:val="69612C" w:themeColor="accent2" w:themeShade="80"/>
      <w:sz w:val="14"/>
      <w:szCs w:val="14"/>
      <w:lang w:val="fr-FR" w:eastAsia="en-US"/>
    </w:rPr>
  </w:style>
  <w:style w:type="paragraph" w:customStyle="1" w:styleId="Korostus1">
    <w:name w:val="Korostus1"/>
    <w:basedOn w:val="Body3"/>
    <w:autoRedefine/>
    <w:qFormat/>
    <w:rsid w:val="00BC08BB"/>
    <w:pPr>
      <w:jc w:val="center"/>
    </w:pPr>
    <w:rPr>
      <w:i/>
      <w:color w:val="00C263"/>
      <w:sz w:val="19"/>
    </w:rPr>
  </w:style>
  <w:style w:type="paragraph" w:styleId="TOC7">
    <w:name w:val="toc 7"/>
    <w:basedOn w:val="Normal"/>
    <w:next w:val="Normal"/>
    <w:autoRedefine/>
    <w:uiPriority w:val="39"/>
    <w:unhideWhenUsed/>
    <w:qFormat/>
    <w:rsid w:val="00C67A6D"/>
  </w:style>
  <w:style w:type="paragraph" w:customStyle="1" w:styleId="Listwithsmallreddot">
    <w:name w:val="List with small red dot"/>
    <w:basedOn w:val="Body3"/>
    <w:autoRedefine/>
    <w:qFormat/>
    <w:rsid w:val="00CA726F"/>
    <w:pPr>
      <w:numPr>
        <w:numId w:val="13"/>
      </w:numPr>
      <w:ind w:right="397"/>
    </w:pPr>
    <w:rPr>
      <w:rFonts w:cs="Tahoma"/>
      <w:szCs w:val="20"/>
    </w:rPr>
  </w:style>
  <w:style w:type="paragraph" w:customStyle="1" w:styleId="Otsikko10">
    <w:name w:val="Otsikko 10"/>
    <w:basedOn w:val="Body3"/>
    <w:autoRedefine/>
    <w:qFormat/>
    <w:rsid w:val="000E75B6"/>
  </w:style>
  <w:style w:type="paragraph" w:styleId="TOC3">
    <w:name w:val="toc 3"/>
    <w:basedOn w:val="Normal"/>
    <w:next w:val="Normal"/>
    <w:autoRedefine/>
    <w:uiPriority w:val="39"/>
    <w:unhideWhenUsed/>
    <w:qFormat/>
    <w:rsid w:val="00A7777C"/>
    <w:pPr>
      <w:tabs>
        <w:tab w:val="right" w:leader="dot" w:pos="9225"/>
      </w:tabs>
    </w:pPr>
    <w:rPr>
      <w:szCs w:val="22"/>
    </w:rPr>
  </w:style>
  <w:style w:type="paragraph" w:customStyle="1" w:styleId="Noteswithinthetext">
    <w:name w:val="Notes within the text"/>
    <w:basedOn w:val="Normal"/>
    <w:autoRedefine/>
    <w:qFormat/>
    <w:rsid w:val="004D6FCB"/>
    <w:pPr>
      <w:spacing w:after="120"/>
    </w:pPr>
    <w:rPr>
      <w:i/>
    </w:rPr>
  </w:style>
  <w:style w:type="paragraph" w:customStyle="1" w:styleId="ninetta">
    <w:name w:val="ninetta"/>
    <w:basedOn w:val="Normal"/>
    <w:autoRedefine/>
    <w:qFormat/>
    <w:rsid w:val="00482630"/>
    <w:pPr>
      <w:tabs>
        <w:tab w:val="left" w:pos="743"/>
      </w:tabs>
      <w:spacing w:line="276" w:lineRule="auto"/>
      <w:ind w:right="34"/>
    </w:pPr>
    <w:rPr>
      <w:rFonts w:eastAsia="Cambria" w:cs="Tahoma"/>
      <w:szCs w:val="18"/>
    </w:rPr>
  </w:style>
  <w:style w:type="character" w:customStyle="1" w:styleId="Text-boldnotestext">
    <w:name w:val="Text - bold notes text"/>
    <w:qFormat/>
    <w:rsid w:val="00F670B2"/>
    <w:rPr>
      <w:rFonts w:ascii="Tahoma" w:hAnsi="Tahoma"/>
      <w:b/>
      <w:color w:val="00CCCC"/>
      <w:sz w:val="18"/>
    </w:rPr>
  </w:style>
  <w:style w:type="paragraph" w:customStyle="1" w:styleId="ninettacomments">
    <w:name w:val="ninetta comments"/>
    <w:basedOn w:val="Normal"/>
    <w:autoRedefine/>
    <w:qFormat/>
    <w:rsid w:val="00E85309"/>
    <w:rPr>
      <w:color w:val="FFCC66"/>
    </w:rPr>
  </w:style>
  <w:style w:type="paragraph" w:styleId="NoSpacing">
    <w:name w:val="No Spacing"/>
    <w:link w:val="NoSpacingChar"/>
    <w:uiPriority w:val="1"/>
    <w:qFormat/>
    <w:rsid w:val="00FC2C05"/>
    <w:pPr>
      <w:ind w:right="34"/>
      <w:jc w:val="both"/>
    </w:pPr>
    <w:rPr>
      <w:rFonts w:ascii="Tahoma" w:eastAsiaTheme="minorHAnsi" w:hAnsi="Tahoma"/>
      <w:noProof/>
      <w:color w:val="000000" w:themeColor="text1"/>
      <w:sz w:val="20"/>
      <w:szCs w:val="22"/>
      <w:lang w:eastAsia="en-US"/>
    </w:rPr>
  </w:style>
  <w:style w:type="character" w:customStyle="1" w:styleId="NoSpacingChar">
    <w:name w:val="No Spacing Char"/>
    <w:basedOn w:val="DefaultParagraphFont"/>
    <w:link w:val="NoSpacing"/>
    <w:uiPriority w:val="1"/>
    <w:rsid w:val="00FC2C05"/>
    <w:rPr>
      <w:rFonts w:ascii="Tahoma" w:eastAsiaTheme="minorHAnsi" w:hAnsi="Tahoma"/>
      <w:noProof/>
      <w:color w:val="000000" w:themeColor="text1"/>
      <w:sz w:val="20"/>
      <w:szCs w:val="22"/>
      <w:lang w:eastAsia="en-US"/>
    </w:rPr>
  </w:style>
  <w:style w:type="paragraph" w:customStyle="1" w:styleId="Lhdeluettelo1">
    <w:name w:val="Lähdeluettelo1"/>
    <w:basedOn w:val="Body4"/>
    <w:autoRedefine/>
    <w:qFormat/>
    <w:rsid w:val="00EA3588"/>
    <w:pPr>
      <w:numPr>
        <w:numId w:val="9"/>
      </w:numPr>
      <w:autoSpaceDE w:val="0"/>
      <w:autoSpaceDN w:val="0"/>
      <w:spacing w:before="160"/>
      <w:ind w:left="284" w:firstLine="0"/>
    </w:pPr>
    <w:rPr>
      <w:rFonts w:eastAsiaTheme="minorEastAsia" w:cs="Times"/>
      <w:szCs w:val="94"/>
    </w:rPr>
  </w:style>
  <w:style w:type="paragraph" w:customStyle="1" w:styleId="Body5">
    <w:name w:val="Body 5"/>
    <w:basedOn w:val="Body4"/>
    <w:qFormat/>
    <w:rsid w:val="00645F18"/>
    <w:pPr>
      <w:tabs>
        <w:tab w:val="left" w:pos="1560"/>
      </w:tabs>
      <w:spacing w:line="264" w:lineRule="auto"/>
      <w:ind w:right="318"/>
    </w:pPr>
    <w:rPr>
      <w:szCs w:val="21"/>
    </w:rPr>
  </w:style>
  <w:style w:type="paragraph" w:customStyle="1" w:styleId="a-I-EUBodytextsingle">
    <w:name w:val="a-I-EU Body text single"/>
    <w:basedOn w:val="Normal"/>
    <w:qFormat/>
    <w:rsid w:val="0098771C"/>
    <w:pPr>
      <w:spacing w:line="276" w:lineRule="auto"/>
      <w:ind w:left="720"/>
    </w:pPr>
    <w:rPr>
      <w:rFonts w:eastAsiaTheme="minorEastAsia" w:cstheme="majorBidi"/>
      <w:color w:val="4BAF73" w:themeColor="accent3"/>
      <w:szCs w:val="16"/>
    </w:rPr>
  </w:style>
  <w:style w:type="paragraph" w:customStyle="1" w:styleId="TH1">
    <w:name w:val="TH1"/>
    <w:basedOn w:val="Normal"/>
    <w:qFormat/>
    <w:rsid w:val="000E6EB6"/>
    <w:pPr>
      <w:ind w:left="66"/>
    </w:pPr>
    <w:rPr>
      <w:color w:val="C1B56B" w:themeColor="accent2"/>
    </w:rPr>
  </w:style>
  <w:style w:type="paragraph" w:styleId="TOC4">
    <w:name w:val="toc 4"/>
    <w:basedOn w:val="Normal"/>
    <w:next w:val="Normal"/>
    <w:autoRedefine/>
    <w:uiPriority w:val="39"/>
    <w:unhideWhenUsed/>
    <w:qFormat/>
    <w:rsid w:val="00D326F2"/>
    <w:pPr>
      <w:tabs>
        <w:tab w:val="right" w:leader="dot" w:pos="9225"/>
      </w:tabs>
      <w:spacing w:after="80" w:line="240" w:lineRule="auto"/>
      <w:ind w:right="0"/>
    </w:pPr>
    <w:rPr>
      <w:rFonts w:eastAsia="Arial"/>
      <w:b/>
      <w:bCs/>
      <w:color w:val="404040" w:themeColor="text1" w:themeTint="BF"/>
    </w:rPr>
  </w:style>
  <w:style w:type="paragraph" w:customStyle="1" w:styleId="Otsikko11">
    <w:name w:val="Otsikko 11"/>
    <w:basedOn w:val="Heading8"/>
    <w:link w:val="Otsikko11Merkki"/>
    <w:autoRedefine/>
    <w:qFormat/>
    <w:rsid w:val="00956175"/>
    <w:pPr>
      <w:spacing w:before="100" w:beforeAutospacing="1"/>
    </w:pPr>
    <w:rPr>
      <w:color w:val="D17DF9" w:themeColor="accent5"/>
    </w:rPr>
  </w:style>
  <w:style w:type="character" w:customStyle="1" w:styleId="Otsikko11Merkki">
    <w:name w:val="Otsikko 11 Merkki"/>
    <w:basedOn w:val="Heading8Char"/>
    <w:link w:val="Otsikko11"/>
    <w:rsid w:val="00956175"/>
    <w:rPr>
      <w:rFonts w:ascii="Tahoma" w:eastAsia="Times New Roman" w:hAnsi="Tahoma" w:cs="Times New Roman"/>
      <w:b/>
      <w:noProof/>
      <w:color w:val="D17DF9" w:themeColor="accent5"/>
      <w:sz w:val="22"/>
      <w:szCs w:val="22"/>
      <w:lang w:val="en-GB" w:eastAsia="en-GB"/>
    </w:rPr>
  </w:style>
  <w:style w:type="paragraph" w:customStyle="1" w:styleId="Otsikko12">
    <w:name w:val="Otsikko 12"/>
    <w:basedOn w:val="Body4"/>
    <w:link w:val="Otsikko12Merkki"/>
    <w:autoRedefine/>
    <w:qFormat/>
    <w:rsid w:val="009C73B4"/>
    <w:pPr>
      <w:numPr>
        <w:numId w:val="4"/>
      </w:numPr>
      <w:spacing w:after="240"/>
      <w:ind w:right="567"/>
    </w:pPr>
  </w:style>
  <w:style w:type="character" w:customStyle="1" w:styleId="Otsikko12Merkki">
    <w:name w:val="Otsikko 12 Merkki"/>
    <w:basedOn w:val="DefaultMerkki"/>
    <w:link w:val="Otsikko12"/>
    <w:rsid w:val="009C73B4"/>
    <w:rPr>
      <w:rFonts w:ascii="Tahoma" w:eastAsia="HGPMinchoE" w:hAnsi="Tahoma" w:cs="Times New Roman"/>
      <w:bCs/>
      <w:color w:val="275666" w:themeColor="accent4" w:themeShade="80"/>
      <w:sz w:val="18"/>
      <w:szCs w:val="18"/>
      <w:lang w:val="en-GB" w:eastAsia="fi-FI"/>
    </w:rPr>
  </w:style>
  <w:style w:type="paragraph" w:styleId="ListNumber">
    <w:name w:val="List Number"/>
    <w:basedOn w:val="Normal"/>
    <w:autoRedefine/>
    <w:uiPriority w:val="99"/>
    <w:unhideWhenUsed/>
    <w:qFormat/>
    <w:rsid w:val="0096587D"/>
    <w:pPr>
      <w:adjustRightInd w:val="0"/>
      <w:spacing w:after="0" w:line="240" w:lineRule="auto"/>
      <w:ind w:right="0"/>
      <w:jc w:val="center"/>
    </w:pPr>
    <w:rPr>
      <w:sz w:val="16"/>
      <w:szCs w:val="18"/>
    </w:rPr>
  </w:style>
  <w:style w:type="paragraph" w:styleId="TOC5">
    <w:name w:val="toc 5"/>
    <w:basedOn w:val="Normal"/>
    <w:next w:val="Normal"/>
    <w:autoRedefine/>
    <w:uiPriority w:val="39"/>
    <w:unhideWhenUsed/>
    <w:qFormat/>
    <w:rsid w:val="00D326F2"/>
    <w:pPr>
      <w:widowControl w:val="0"/>
      <w:spacing w:after="40" w:line="240" w:lineRule="auto"/>
      <w:ind w:right="0"/>
    </w:pPr>
    <w:rPr>
      <w:rFonts w:eastAsiaTheme="majorEastAsia" w:cstheme="majorBidi"/>
      <w:color w:val="011C2B"/>
    </w:rPr>
  </w:style>
  <w:style w:type="paragraph" w:styleId="TOC6">
    <w:name w:val="toc 6"/>
    <w:basedOn w:val="Normal"/>
    <w:next w:val="Normal"/>
    <w:autoRedefine/>
    <w:uiPriority w:val="39"/>
    <w:unhideWhenUsed/>
    <w:qFormat/>
    <w:rsid w:val="002A201E"/>
    <w:pPr>
      <w:tabs>
        <w:tab w:val="left" w:pos="2023"/>
        <w:tab w:val="right" w:leader="dot" w:pos="9225"/>
      </w:tabs>
      <w:ind w:left="800"/>
    </w:pPr>
  </w:style>
  <w:style w:type="paragraph" w:styleId="TOC8">
    <w:name w:val="toc 8"/>
    <w:basedOn w:val="Normal"/>
    <w:next w:val="Normal"/>
    <w:autoRedefine/>
    <w:uiPriority w:val="39"/>
    <w:unhideWhenUsed/>
    <w:qFormat/>
    <w:rsid w:val="002A550F"/>
    <w:pPr>
      <w:pBdr>
        <w:between w:val="double" w:sz="6" w:space="0" w:color="auto"/>
      </w:pBdr>
    </w:pPr>
  </w:style>
  <w:style w:type="paragraph" w:styleId="TOC9">
    <w:name w:val="toc 9"/>
    <w:basedOn w:val="Normal"/>
    <w:next w:val="Normal"/>
    <w:autoRedefine/>
    <w:uiPriority w:val="39"/>
    <w:unhideWhenUsed/>
    <w:qFormat/>
    <w:rsid w:val="007A145C"/>
    <w:pPr>
      <w:pBdr>
        <w:between w:val="double" w:sz="6" w:space="0" w:color="auto"/>
      </w:pBdr>
    </w:pPr>
  </w:style>
  <w:style w:type="paragraph" w:customStyle="1" w:styleId="Heading12">
    <w:name w:val="Heading 12"/>
    <w:basedOn w:val="Heading7"/>
    <w:autoRedefine/>
    <w:qFormat/>
    <w:rsid w:val="00900814"/>
    <w:pPr>
      <w:adjustRightInd w:val="0"/>
      <w:spacing w:beforeLines="50" w:afterLines="50" w:line="264" w:lineRule="auto"/>
      <w:ind w:firstLine="580"/>
    </w:pPr>
    <w:rPr>
      <w:rFonts w:eastAsiaTheme="minorEastAsia"/>
      <w:b/>
      <w:color w:val="9E9142" w:themeColor="accent2" w:themeShade="BF"/>
      <w:szCs w:val="18"/>
    </w:rPr>
  </w:style>
  <w:style w:type="character" w:styleId="Strong">
    <w:name w:val="Strong"/>
    <w:basedOn w:val="DefaultParagraphFont"/>
    <w:uiPriority w:val="22"/>
    <w:qFormat/>
    <w:rsid w:val="00F54644"/>
    <w:rPr>
      <w:rFonts w:ascii="Tahoma" w:hAnsi="Tahoma"/>
      <w:b/>
      <w:bCs/>
      <w:color w:val="17BEC0"/>
      <w:sz w:val="52"/>
    </w:rPr>
  </w:style>
  <w:style w:type="character" w:styleId="FollowedHyperlink">
    <w:name w:val="FollowedHyperlink"/>
    <w:basedOn w:val="DefaultParagraphFont"/>
    <w:uiPriority w:val="99"/>
    <w:semiHidden/>
    <w:unhideWhenUsed/>
    <w:rsid w:val="00C37C4E"/>
    <w:rPr>
      <w:color w:val="CCFFCC"/>
      <w:u w:val="single"/>
    </w:rPr>
  </w:style>
  <w:style w:type="paragraph" w:customStyle="1" w:styleId="Style2">
    <w:name w:val="Style2"/>
    <w:basedOn w:val="Normal"/>
    <w:link w:val="Style2Merkki"/>
    <w:autoRedefine/>
    <w:qFormat/>
    <w:rsid w:val="008A3A3C"/>
    <w:pPr>
      <w:keepNext/>
      <w:numPr>
        <w:numId w:val="1"/>
      </w:numPr>
      <w:spacing w:before="50" w:after="150"/>
      <w:ind w:left="340" w:hanging="340"/>
    </w:pPr>
    <w:rPr>
      <w:rFonts w:cs="Tahoma"/>
      <w:lang w:eastAsia="ja-JP"/>
    </w:rPr>
  </w:style>
  <w:style w:type="character" w:customStyle="1" w:styleId="Style2Merkki">
    <w:name w:val="Style2 Merkki"/>
    <w:basedOn w:val="DefaultParagraphFont"/>
    <w:link w:val="Style2"/>
    <w:rsid w:val="008A3A3C"/>
    <w:rPr>
      <w:rFonts w:ascii="Tahoma" w:eastAsia="Times New Roman" w:hAnsi="Tahoma" w:cs="Tahoma"/>
      <w:color w:val="000000" w:themeColor="text1"/>
      <w:sz w:val="18"/>
      <w:lang w:val="en-GB"/>
    </w:rPr>
  </w:style>
  <w:style w:type="paragraph" w:customStyle="1" w:styleId="Heading41">
    <w:name w:val="Heading 4_1"/>
    <w:basedOn w:val="Normal"/>
    <w:autoRedefine/>
    <w:qFormat/>
    <w:rsid w:val="00B3125F"/>
    <w:pPr>
      <w:spacing w:beforeLines="150" w:afterLines="50"/>
    </w:pPr>
    <w:rPr>
      <w:b/>
      <w:color w:val="FFC000"/>
      <w:lang w:val="fi-FI"/>
    </w:rPr>
  </w:style>
  <w:style w:type="paragraph" w:customStyle="1" w:styleId="Otsikko13">
    <w:name w:val="Otsikko 13"/>
    <w:basedOn w:val="Otsikko12"/>
    <w:autoRedefine/>
    <w:qFormat/>
    <w:rsid w:val="009C73B4"/>
    <w:pPr>
      <w:numPr>
        <w:numId w:val="0"/>
      </w:numPr>
      <w:spacing w:after="0"/>
      <w:ind w:right="0"/>
    </w:pPr>
    <w:rPr>
      <w:shd w:val="clear" w:color="auto" w:fill="F5E4FD" w:themeFill="accent5" w:themeFillTint="33"/>
    </w:rPr>
  </w:style>
  <w:style w:type="paragraph" w:styleId="ListNumber2">
    <w:name w:val="List Number 2"/>
    <w:basedOn w:val="Body3"/>
    <w:autoRedefine/>
    <w:uiPriority w:val="99"/>
    <w:qFormat/>
    <w:rsid w:val="00091B1A"/>
    <w:pPr>
      <w:numPr>
        <w:numId w:val="14"/>
      </w:numPr>
      <w:spacing w:line="276" w:lineRule="auto"/>
      <w:ind w:right="397"/>
    </w:pPr>
  </w:style>
  <w:style w:type="paragraph" w:customStyle="1" w:styleId="Body5Bibliographytext">
    <w:name w:val="Body 5 Bibliography text"/>
    <w:basedOn w:val="Body4"/>
    <w:autoRedefine/>
    <w:qFormat/>
    <w:rsid w:val="00C67A6D"/>
    <w:pPr>
      <w:tabs>
        <w:tab w:val="left" w:pos="1560"/>
      </w:tabs>
    </w:pPr>
  </w:style>
  <w:style w:type="table" w:styleId="TableContemporary">
    <w:name w:val="Table Contemporary"/>
    <w:basedOn w:val="TableNormal"/>
    <w:uiPriority w:val="99"/>
    <w:semiHidden/>
    <w:unhideWhenUsed/>
    <w:rsid w:val="00E67729"/>
    <w:pPr>
      <w:spacing w:after="200" w:line="276" w:lineRule="auto"/>
    </w:pPr>
    <w:rPr>
      <w:rFonts w:ascii="Tahoma" w:eastAsiaTheme="minorHAnsi" w:hAnsi="Tahoma"/>
      <w:sz w:val="20"/>
      <w:szCs w:val="22"/>
      <w:lang w:val="pl-PL" w:eastAsia="en-US"/>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paragraph" w:styleId="Footer">
    <w:name w:val="footer"/>
    <w:basedOn w:val="Normal"/>
    <w:link w:val="FooterChar"/>
    <w:autoRedefine/>
    <w:uiPriority w:val="99"/>
    <w:unhideWhenUsed/>
    <w:qFormat/>
    <w:rsid w:val="00AD1881"/>
    <w:pPr>
      <w:tabs>
        <w:tab w:val="center" w:pos="4536"/>
        <w:tab w:val="right" w:pos="9072"/>
      </w:tabs>
    </w:pPr>
    <w:rPr>
      <w:color w:val="7F7F7F" w:themeColor="text1" w:themeTint="80"/>
      <w:sz w:val="16"/>
      <w:lang w:eastAsia="ja-JP"/>
    </w:rPr>
  </w:style>
  <w:style w:type="character" w:customStyle="1" w:styleId="FooterChar">
    <w:name w:val="Footer Char"/>
    <w:basedOn w:val="DefaultParagraphFont"/>
    <w:link w:val="Footer"/>
    <w:uiPriority w:val="99"/>
    <w:rsid w:val="00AD1881"/>
    <w:rPr>
      <w:rFonts w:ascii="Tahoma" w:eastAsia="Times New Roman" w:hAnsi="Tahoma" w:cs="Times New Roman"/>
      <w:noProof/>
      <w:color w:val="7F7F7F" w:themeColor="text1" w:themeTint="80"/>
      <w:sz w:val="16"/>
      <w:lang w:val="en-GB"/>
    </w:rPr>
  </w:style>
  <w:style w:type="paragraph" w:customStyle="1" w:styleId="Tablefonts">
    <w:name w:val="Table fonts"/>
    <w:basedOn w:val="Body5"/>
    <w:autoRedefine/>
    <w:qFormat/>
    <w:rsid w:val="002002CF"/>
    <w:pPr>
      <w:autoSpaceDE w:val="0"/>
      <w:autoSpaceDN w:val="0"/>
      <w:spacing w:before="0" w:after="0" w:line="276" w:lineRule="auto"/>
      <w:ind w:left="0" w:right="0"/>
    </w:pPr>
    <w:rPr>
      <w:rFonts w:eastAsiaTheme="minorEastAsia" w:cs="Verdana Bold Italic"/>
      <w:szCs w:val="18"/>
    </w:rPr>
  </w:style>
  <w:style w:type="paragraph" w:customStyle="1" w:styleId="Tablefontscapitals">
    <w:name w:val="Table fonts capitals"/>
    <w:basedOn w:val="Tablefonts"/>
    <w:autoRedefine/>
    <w:qFormat/>
    <w:rsid w:val="007A145C"/>
    <w:rPr>
      <w:b/>
    </w:rPr>
  </w:style>
  <w:style w:type="paragraph" w:customStyle="1" w:styleId="Body5Quote">
    <w:name w:val="Body 5 Quote"/>
    <w:basedOn w:val="Body4"/>
    <w:autoRedefine/>
    <w:qFormat/>
    <w:rsid w:val="00F139FF"/>
    <w:pPr>
      <w:tabs>
        <w:tab w:val="left" w:pos="1560"/>
      </w:tabs>
    </w:pPr>
    <w:rPr>
      <w:i/>
      <w:color w:val="03284D"/>
      <w:szCs w:val="19"/>
    </w:rPr>
  </w:style>
  <w:style w:type="paragraph" w:styleId="TableofFigures">
    <w:name w:val="table of figures"/>
    <w:basedOn w:val="Body3"/>
    <w:autoRedefine/>
    <w:uiPriority w:val="99"/>
    <w:unhideWhenUsed/>
    <w:qFormat/>
    <w:rsid w:val="00AC0EAD"/>
    <w:pPr>
      <w:tabs>
        <w:tab w:val="right" w:leader="dot" w:pos="9225"/>
      </w:tabs>
    </w:pPr>
    <w:rPr>
      <w:bCs w:val="0"/>
      <w:szCs w:val="21"/>
    </w:rPr>
  </w:style>
  <w:style w:type="paragraph" w:styleId="EnvelopeReturn">
    <w:name w:val="envelope return"/>
    <w:basedOn w:val="Normal"/>
    <w:autoRedefine/>
    <w:uiPriority w:val="99"/>
    <w:semiHidden/>
    <w:unhideWhenUsed/>
    <w:qFormat/>
    <w:rsid w:val="00F1692F"/>
    <w:rPr>
      <w:rFonts w:asciiTheme="majorHAnsi" w:hAnsiTheme="majorHAnsi"/>
      <w:i/>
    </w:rPr>
  </w:style>
  <w:style w:type="paragraph" w:styleId="ListNumber3">
    <w:name w:val="List Number 3"/>
    <w:basedOn w:val="Normal"/>
    <w:autoRedefine/>
    <w:uiPriority w:val="99"/>
    <w:unhideWhenUsed/>
    <w:qFormat/>
    <w:rsid w:val="005A5C22"/>
    <w:pPr>
      <w:numPr>
        <w:numId w:val="6"/>
      </w:numPr>
      <w:contextualSpacing/>
    </w:pPr>
    <w:rPr>
      <w:b/>
      <w:lang w:val="fr-FR"/>
    </w:rPr>
  </w:style>
  <w:style w:type="paragraph" w:customStyle="1" w:styleId="Body2">
    <w:name w:val="Body 2"/>
    <w:autoRedefine/>
    <w:qFormat/>
    <w:rsid w:val="009726C9"/>
    <w:pPr>
      <w:suppressAutoHyphens/>
      <w:ind w:left="35"/>
    </w:pPr>
    <w:rPr>
      <w:rFonts w:ascii="Tahoma" w:hAnsi="Tahoma" w:cs="Arial Unicode MS"/>
      <w:b/>
      <w:bCs/>
      <w:noProof/>
      <w:color w:val="000000" w:themeColor="text1"/>
      <w:sz w:val="16"/>
      <w:szCs w:val="16"/>
      <w:bdr w:val="nil"/>
      <w:lang w:eastAsia="en-US"/>
    </w:rPr>
  </w:style>
  <w:style w:type="paragraph" w:styleId="BodyText">
    <w:name w:val="Body Text"/>
    <w:basedOn w:val="Normal"/>
    <w:link w:val="BodyTextChar"/>
    <w:autoRedefine/>
    <w:qFormat/>
    <w:rsid w:val="00F5345E"/>
    <w:pPr>
      <w:widowControl w:val="0"/>
    </w:pPr>
    <w:rPr>
      <w:rFonts w:eastAsia="Tahoma" w:cs="Tahoma"/>
      <w:szCs w:val="18"/>
    </w:rPr>
  </w:style>
  <w:style w:type="character" w:customStyle="1" w:styleId="BodyTextChar">
    <w:name w:val="Body Text Char"/>
    <w:basedOn w:val="DefaultParagraphFont"/>
    <w:link w:val="BodyText"/>
    <w:rsid w:val="00F5345E"/>
    <w:rPr>
      <w:rFonts w:ascii="Tahoma" w:eastAsia="Tahoma" w:hAnsi="Tahoma" w:cs="Tahoma"/>
      <w:color w:val="000000" w:themeColor="text1"/>
      <w:sz w:val="18"/>
      <w:szCs w:val="18"/>
      <w:lang w:val="en-GB" w:eastAsia="en-GB"/>
    </w:rPr>
  </w:style>
  <w:style w:type="paragraph" w:styleId="Subtitle">
    <w:name w:val="Subtitle"/>
    <w:basedOn w:val="Normal"/>
    <w:next w:val="Normal"/>
    <w:link w:val="SubtitleChar"/>
    <w:autoRedefine/>
    <w:uiPriority w:val="11"/>
    <w:qFormat/>
    <w:rsid w:val="00AF5897"/>
    <w:pPr>
      <w:numPr>
        <w:ilvl w:val="1"/>
      </w:numPr>
      <w:ind w:left="284"/>
    </w:pPr>
    <w:rPr>
      <w:i/>
      <w:iCs/>
      <w:color w:val="D17DF9" w:themeColor="accent5"/>
      <w:spacing w:val="15"/>
    </w:rPr>
  </w:style>
  <w:style w:type="character" w:customStyle="1" w:styleId="SubtitleChar">
    <w:name w:val="Subtitle Char"/>
    <w:basedOn w:val="DefaultParagraphFont"/>
    <w:link w:val="Subtitle"/>
    <w:uiPriority w:val="11"/>
    <w:rsid w:val="00AF5897"/>
    <w:rPr>
      <w:rFonts w:ascii="Tahoma" w:eastAsiaTheme="majorEastAsia" w:hAnsi="Tahoma" w:cstheme="majorBidi"/>
      <w:i/>
      <w:iCs/>
      <w:noProof/>
      <w:color w:val="D17DF9" w:themeColor="accent5"/>
      <w:spacing w:val="15"/>
      <w:lang w:val="en-GB" w:eastAsia="en-US"/>
    </w:rPr>
  </w:style>
  <w:style w:type="paragraph" w:customStyle="1" w:styleId="ninettabear">
    <w:name w:val="ninetta bear"/>
    <w:basedOn w:val="Normal"/>
    <w:autoRedefine/>
    <w:qFormat/>
    <w:rsid w:val="00525FC4"/>
    <w:rPr>
      <w:color w:val="7B4A08" w:themeColor="accent1" w:themeShade="80"/>
      <w:lang w:eastAsia="ru-RU"/>
    </w:rPr>
  </w:style>
  <w:style w:type="paragraph" w:customStyle="1" w:styleId="Otsikko14">
    <w:name w:val="Otsikko 14"/>
    <w:basedOn w:val="Otsikko10"/>
    <w:autoRedefine/>
    <w:qFormat/>
    <w:rsid w:val="00ED39E2"/>
    <w:pPr>
      <w:spacing w:before="60" w:after="60"/>
      <w:ind w:left="113" w:right="57"/>
    </w:pPr>
    <w:rPr>
      <w:i/>
      <w:iCs/>
      <w:szCs w:val="20"/>
    </w:rPr>
  </w:style>
  <w:style w:type="paragraph" w:styleId="EnvelopeAddress">
    <w:name w:val="envelope address"/>
    <w:basedOn w:val="Normal"/>
    <w:autoRedefine/>
    <w:uiPriority w:val="99"/>
    <w:unhideWhenUsed/>
    <w:qFormat/>
    <w:rsid w:val="00F3554F"/>
    <w:rPr>
      <w:rFonts w:eastAsiaTheme="majorEastAsia" w:cstheme="majorBidi"/>
      <w:color w:val="2C9C89"/>
    </w:rPr>
  </w:style>
  <w:style w:type="paragraph" w:customStyle="1" w:styleId="Notes">
    <w:name w:val="Notes"/>
    <w:basedOn w:val="EnvelopeAddress"/>
    <w:autoRedefine/>
    <w:qFormat/>
    <w:rsid w:val="00F3554F"/>
    <w:rPr>
      <w:color w:val="7F7F7F" w:themeColor="text1" w:themeTint="80"/>
    </w:rPr>
  </w:style>
  <w:style w:type="paragraph" w:styleId="BodyText2">
    <w:name w:val="Body Text 2"/>
    <w:basedOn w:val="Normal"/>
    <w:link w:val="BodyText2Char"/>
    <w:autoRedefine/>
    <w:uiPriority w:val="99"/>
    <w:qFormat/>
    <w:rsid w:val="005A5C22"/>
    <w:pPr>
      <w:numPr>
        <w:numId w:val="5"/>
      </w:numPr>
      <w:tabs>
        <w:tab w:val="left" w:pos="-2127"/>
        <w:tab w:val="left" w:pos="-1985"/>
        <w:tab w:val="left" w:pos="-1440"/>
        <w:tab w:val="left" w:pos="-709"/>
        <w:tab w:val="left" w:pos="-142"/>
      </w:tabs>
      <w:spacing w:before="180" w:after="120" w:line="276" w:lineRule="auto"/>
      <w:ind w:left="454" w:hanging="385"/>
    </w:pPr>
    <w:rPr>
      <w:b/>
      <w:sz w:val="19"/>
      <w:lang w:val="da-DK" w:eastAsia="da-DK"/>
    </w:rPr>
  </w:style>
  <w:style w:type="character" w:customStyle="1" w:styleId="BodyText2Char">
    <w:name w:val="Body Text 2 Char"/>
    <w:basedOn w:val="DefaultParagraphFont"/>
    <w:link w:val="BodyText2"/>
    <w:uiPriority w:val="99"/>
    <w:rsid w:val="005A5C22"/>
    <w:rPr>
      <w:rFonts w:ascii="Tahoma" w:eastAsia="Times New Roman" w:hAnsi="Tahoma" w:cs="Times New Roman"/>
      <w:b/>
      <w:color w:val="000000" w:themeColor="text1"/>
      <w:sz w:val="19"/>
      <w:lang w:val="da-DK" w:eastAsia="da-DK"/>
    </w:rPr>
  </w:style>
  <w:style w:type="paragraph" w:customStyle="1" w:styleId="CM35">
    <w:name w:val="CM35"/>
    <w:basedOn w:val="Normal"/>
    <w:autoRedefine/>
    <w:qFormat/>
    <w:rsid w:val="007364D4"/>
    <w:pPr>
      <w:autoSpaceDE w:val="0"/>
      <w:autoSpaceDN w:val="0"/>
      <w:adjustRightInd w:val="0"/>
    </w:pPr>
  </w:style>
  <w:style w:type="paragraph" w:customStyle="1" w:styleId="NoteLevel2">
    <w:name w:val="Note Level 2"/>
    <w:basedOn w:val="Normal"/>
    <w:autoRedefine/>
    <w:uiPriority w:val="1"/>
    <w:qFormat/>
    <w:rsid w:val="007364D4"/>
    <w:pPr>
      <w:numPr>
        <w:numId w:val="7"/>
      </w:numPr>
      <w:outlineLvl w:val="1"/>
    </w:pPr>
  </w:style>
  <w:style w:type="paragraph" w:styleId="ListContinue2">
    <w:name w:val="List Continue 2"/>
    <w:basedOn w:val="Normal"/>
    <w:qFormat/>
    <w:rsid w:val="007364D4"/>
    <w:pPr>
      <w:numPr>
        <w:numId w:val="8"/>
      </w:numPr>
    </w:pPr>
  </w:style>
  <w:style w:type="paragraph" w:styleId="Header">
    <w:name w:val="header"/>
    <w:basedOn w:val="Normal"/>
    <w:link w:val="HeaderChar"/>
    <w:uiPriority w:val="99"/>
    <w:unhideWhenUsed/>
    <w:rsid w:val="00817E9E"/>
    <w:pPr>
      <w:tabs>
        <w:tab w:val="center" w:pos="4986"/>
        <w:tab w:val="right" w:pos="9972"/>
      </w:tabs>
    </w:pPr>
  </w:style>
  <w:style w:type="character" w:customStyle="1" w:styleId="HeaderChar">
    <w:name w:val="Header Char"/>
    <w:basedOn w:val="DefaultParagraphFont"/>
    <w:link w:val="Header"/>
    <w:uiPriority w:val="99"/>
    <w:rsid w:val="00817E9E"/>
    <w:rPr>
      <w:rFonts w:ascii="Tahoma" w:eastAsia="Arial" w:hAnsi="Tahoma" w:cs="Times New Roman"/>
      <w:noProof/>
      <w:color w:val="3B3838" w:themeColor="background2" w:themeShade="40"/>
      <w:sz w:val="20"/>
      <w:szCs w:val="20"/>
      <w:lang w:val="en-GB" w:eastAsia="en-US"/>
    </w:rPr>
  </w:style>
  <w:style w:type="character" w:styleId="PageNumber">
    <w:name w:val="page number"/>
    <w:basedOn w:val="DefaultParagraphFont"/>
    <w:uiPriority w:val="99"/>
    <w:semiHidden/>
    <w:unhideWhenUsed/>
    <w:rsid w:val="00817E9E"/>
  </w:style>
  <w:style w:type="table" w:styleId="TableGrid">
    <w:name w:val="Table Grid"/>
    <w:basedOn w:val="TableNormal"/>
    <w:uiPriority w:val="59"/>
    <w:rsid w:val="001242D7"/>
    <w:rPr>
      <w:rFonts w:ascii="Tahoma" w:hAnsi="Tahoma"/>
      <w:color w:val="000000" w:themeColor="text1"/>
      <w:sz w:val="16"/>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table" w:customStyle="1" w:styleId="Cuadrculaclara-nfasis12">
    <w:name w:val="Cuadrícula clara - Énfasis 12"/>
    <w:basedOn w:val="TableNormal"/>
    <w:uiPriority w:val="62"/>
    <w:rsid w:val="00817E9E"/>
    <w:rPr>
      <w:rFonts w:eastAsiaTheme="minorHAnsi"/>
      <w:sz w:val="22"/>
      <w:szCs w:val="22"/>
      <w:lang w:val="es-ES" w:eastAsia="en-US"/>
    </w:rPr>
    <w:tblPr>
      <w:tblStyleRowBandSize w:val="1"/>
      <w:tblStyleColBandSize w:val="1"/>
      <w:tblBorders>
        <w:top w:val="single" w:sz="8" w:space="0" w:color="F09415" w:themeColor="accent1"/>
        <w:left w:val="single" w:sz="8" w:space="0" w:color="F09415" w:themeColor="accent1"/>
        <w:bottom w:val="single" w:sz="8" w:space="0" w:color="F09415" w:themeColor="accent1"/>
        <w:right w:val="single" w:sz="8" w:space="0" w:color="F09415" w:themeColor="accent1"/>
        <w:insideH w:val="single" w:sz="8" w:space="0" w:color="F09415" w:themeColor="accent1"/>
        <w:insideV w:val="single" w:sz="8" w:space="0" w:color="F0941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9415" w:themeColor="accent1"/>
          <w:left w:val="single" w:sz="8" w:space="0" w:color="F09415" w:themeColor="accent1"/>
          <w:bottom w:val="single" w:sz="18" w:space="0" w:color="F09415" w:themeColor="accent1"/>
          <w:right w:val="single" w:sz="8" w:space="0" w:color="F09415" w:themeColor="accent1"/>
          <w:insideH w:val="nil"/>
          <w:insideV w:val="single" w:sz="8" w:space="0" w:color="F0941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insideH w:val="nil"/>
          <w:insideV w:val="single" w:sz="8" w:space="0" w:color="F0941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shd w:val="clear" w:color="auto" w:fill="FBE4C5" w:themeFill="accent1" w:themeFillTint="3F"/>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insideV w:val="single" w:sz="8" w:space="0" w:color="F09415" w:themeColor="accent1"/>
        </w:tcBorders>
        <w:shd w:val="clear" w:color="auto" w:fill="FBE4C5" w:themeFill="accent1" w:themeFillTint="3F"/>
      </w:tcPr>
    </w:tblStylePr>
    <w:tblStylePr w:type="band2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insideV w:val="single" w:sz="8" w:space="0" w:color="F09415" w:themeColor="accent1"/>
        </w:tcBorders>
      </w:tcPr>
    </w:tblStylePr>
  </w:style>
  <w:style w:type="table" w:styleId="TableGrid1">
    <w:name w:val="Table Grid 1"/>
    <w:basedOn w:val="TableNormal"/>
    <w:uiPriority w:val="99"/>
    <w:unhideWhenUsed/>
    <w:rsid w:val="00817E9E"/>
    <w:pPr>
      <w:spacing w:after="200" w:line="360" w:lineRule="auto"/>
      <w:jc w:val="both"/>
    </w:pPr>
    <w:rPr>
      <w:rFonts w:ascii="Tahoma" w:hAnsi="Tahoma"/>
      <w:b/>
      <w:color w:val="3B3838" w:themeColor="background2" w:themeShade="40"/>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ColourfulListAccent6">
    <w:name w:val="Colorful List Accent 6"/>
    <w:basedOn w:val="TableNormal"/>
    <w:uiPriority w:val="72"/>
    <w:rsid w:val="00817E9E"/>
    <w:rPr>
      <w:rFonts w:ascii="Tahoma" w:hAnsi="Tahoma"/>
      <w:color w:val="000000" w:themeColor="text1"/>
      <w:sz w:val="18"/>
    </w:rPr>
    <w:tblPr>
      <w:tblStyleRowBandSize w:val="1"/>
      <w:tblStyleColBandSize w:val="1"/>
    </w:tblPr>
    <w:tcPr>
      <w:shd w:val="clear" w:color="auto" w:fill="FEF2EE" w:themeFill="accent6" w:themeFillTint="19"/>
    </w:tcPr>
    <w:tblStylePr w:type="firstRow">
      <w:rPr>
        <w:b/>
        <w:bCs/>
        <w:color w:val="FFFFFF" w:themeColor="background1"/>
      </w:rPr>
      <w:tblPr/>
      <w:tcPr>
        <w:tcBorders>
          <w:bottom w:val="single" w:sz="12" w:space="0" w:color="FFFFFF" w:themeColor="background1"/>
        </w:tcBorders>
        <w:shd w:val="clear" w:color="auto" w:fill="B735F5" w:themeFill="accent5" w:themeFillShade="CC"/>
      </w:tcPr>
    </w:tblStylePr>
    <w:tblStylePr w:type="lastRow">
      <w:rPr>
        <w:b/>
        <w:bCs/>
        <w:color w:val="B735F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ED6" w:themeFill="accent6" w:themeFillTint="3F"/>
      </w:tcPr>
    </w:tblStylePr>
    <w:tblStylePr w:type="band1Horz">
      <w:tblPr/>
      <w:tcPr>
        <w:shd w:val="clear" w:color="auto" w:fill="FEE5DE" w:themeFill="accent6" w:themeFillTint="33"/>
      </w:tcPr>
    </w:tblStylePr>
  </w:style>
  <w:style w:type="paragraph" w:styleId="HTMLPreformatted">
    <w:name w:val="HTML Preformatted"/>
    <w:basedOn w:val="Normal"/>
    <w:link w:val="HTMLPreformattedChar"/>
    <w:uiPriority w:val="99"/>
    <w:unhideWhenUsed/>
    <w:rsid w:val="00817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it-IT" w:eastAsia="it-IT"/>
    </w:rPr>
  </w:style>
  <w:style w:type="character" w:customStyle="1" w:styleId="HTMLPreformattedChar">
    <w:name w:val="HTML Preformatted Char"/>
    <w:basedOn w:val="DefaultParagraphFont"/>
    <w:link w:val="HTMLPreformatted"/>
    <w:uiPriority w:val="99"/>
    <w:rsid w:val="00817E9E"/>
    <w:rPr>
      <w:rFonts w:ascii="Courier New" w:eastAsia="Times New Roman" w:hAnsi="Courier New" w:cs="Courier New"/>
      <w:noProof/>
      <w:sz w:val="20"/>
      <w:szCs w:val="20"/>
      <w:lang w:val="it-IT" w:eastAsia="it-IT"/>
    </w:rPr>
  </w:style>
  <w:style w:type="paragraph" w:styleId="NormalWeb">
    <w:name w:val="Normal (Web)"/>
    <w:basedOn w:val="Normal"/>
    <w:uiPriority w:val="99"/>
    <w:unhideWhenUsed/>
    <w:qFormat/>
    <w:rsid w:val="00817E9E"/>
    <w:pPr>
      <w:spacing w:before="100" w:beforeAutospacing="1" w:after="100" w:afterAutospacing="1"/>
    </w:pPr>
    <w:rPr>
      <w:lang w:val="it-IT" w:eastAsia="it-IT"/>
    </w:rPr>
  </w:style>
  <w:style w:type="character" w:customStyle="1" w:styleId="apple-converted-space">
    <w:name w:val="apple-converted-space"/>
    <w:basedOn w:val="DefaultParagraphFont"/>
    <w:rsid w:val="00817E9E"/>
  </w:style>
  <w:style w:type="paragraph" w:styleId="TOAHeading">
    <w:name w:val="toa heading"/>
    <w:basedOn w:val="Normal"/>
    <w:next w:val="Normal"/>
    <w:uiPriority w:val="99"/>
    <w:semiHidden/>
    <w:unhideWhenUsed/>
    <w:rsid w:val="00817E9E"/>
    <w:pPr>
      <w:spacing w:before="120"/>
    </w:pPr>
    <w:rPr>
      <w:rFonts w:asciiTheme="majorHAnsi" w:eastAsiaTheme="majorEastAsia" w:hAnsiTheme="majorHAnsi" w:cstheme="majorBidi"/>
      <w:b/>
      <w:bCs/>
    </w:rPr>
  </w:style>
  <w:style w:type="paragraph" w:styleId="Index8">
    <w:name w:val="index 8"/>
    <w:basedOn w:val="Normal"/>
    <w:next w:val="Normal"/>
    <w:autoRedefine/>
    <w:uiPriority w:val="99"/>
    <w:semiHidden/>
    <w:unhideWhenUsed/>
    <w:rsid w:val="00817E9E"/>
    <w:pPr>
      <w:ind w:left="1440" w:hanging="180"/>
    </w:pPr>
  </w:style>
  <w:style w:type="paragraph" w:styleId="DocumentMap">
    <w:name w:val="Document Map"/>
    <w:basedOn w:val="Normal"/>
    <w:link w:val="DocumentMapChar"/>
    <w:uiPriority w:val="99"/>
    <w:semiHidden/>
    <w:unhideWhenUsed/>
    <w:rsid w:val="00817E9E"/>
    <w:rPr>
      <w:rFonts w:ascii="Lucida Grande" w:hAnsi="Lucida Grande" w:cs="Lucida Grande"/>
    </w:rPr>
  </w:style>
  <w:style w:type="character" w:customStyle="1" w:styleId="DocumentMapChar">
    <w:name w:val="Document Map Char"/>
    <w:basedOn w:val="DefaultParagraphFont"/>
    <w:link w:val="DocumentMap"/>
    <w:uiPriority w:val="99"/>
    <w:semiHidden/>
    <w:rsid w:val="00817E9E"/>
    <w:rPr>
      <w:rFonts w:ascii="Lucida Grande" w:eastAsia="Arial" w:hAnsi="Lucida Grande" w:cs="Lucida Grande"/>
      <w:noProof/>
      <w:color w:val="3B3838" w:themeColor="background2" w:themeShade="40"/>
      <w:lang w:val="en-GB" w:eastAsia="en-US"/>
    </w:rPr>
  </w:style>
  <w:style w:type="paragraph" w:customStyle="1" w:styleId="BodyText21">
    <w:name w:val="Body Text 21"/>
    <w:basedOn w:val="Normal"/>
    <w:rsid w:val="00817E9E"/>
    <w:rPr>
      <w:lang w:val="fr-FR" w:eastAsia="fr-FR"/>
    </w:rPr>
  </w:style>
  <w:style w:type="paragraph" w:styleId="EndnoteText">
    <w:name w:val="endnote text"/>
    <w:basedOn w:val="Normal"/>
    <w:link w:val="EndnoteTextChar"/>
    <w:autoRedefine/>
    <w:qFormat/>
    <w:rsid w:val="00CB16B4"/>
    <w:pPr>
      <w:spacing w:after="120" w:line="240" w:lineRule="auto"/>
    </w:pPr>
    <w:rPr>
      <w:rFonts w:eastAsia="Times"/>
      <w:sz w:val="16"/>
      <w:lang w:val="fr-FR" w:eastAsia="fr-FR"/>
    </w:rPr>
  </w:style>
  <w:style w:type="character" w:customStyle="1" w:styleId="EndnoteTextChar">
    <w:name w:val="Endnote Text Char"/>
    <w:basedOn w:val="DefaultParagraphFont"/>
    <w:link w:val="EndnoteText"/>
    <w:rsid w:val="00CB16B4"/>
    <w:rPr>
      <w:rFonts w:ascii="Tahoma" w:eastAsia="Times" w:hAnsi="Tahoma" w:cs="Times New Roman"/>
      <w:noProof/>
      <w:color w:val="000000" w:themeColor="text1"/>
      <w:sz w:val="16"/>
      <w:lang w:val="fr-FR" w:eastAsia="fr-FR"/>
    </w:rPr>
  </w:style>
  <w:style w:type="character" w:styleId="EndnoteReference">
    <w:name w:val="endnote reference"/>
    <w:semiHidden/>
    <w:qFormat/>
    <w:rsid w:val="003D08CD"/>
    <w:rPr>
      <w:rFonts w:ascii="Tahoma" w:hAnsi="Tahoma"/>
      <w:color w:val="2823BE"/>
      <w:sz w:val="16"/>
      <w:vertAlign w:val="superscript"/>
    </w:rPr>
  </w:style>
  <w:style w:type="table" w:customStyle="1" w:styleId="PlainTable11">
    <w:name w:val="Plain Table 11"/>
    <w:basedOn w:val="TableNormal"/>
    <w:uiPriority w:val="41"/>
    <w:rsid w:val="00817E9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qFormat/>
    <w:rsid w:val="00817E9E"/>
    <w:rPr>
      <w:sz w:val="16"/>
      <w:szCs w:val="16"/>
    </w:rPr>
  </w:style>
  <w:style w:type="paragraph" w:styleId="CommentText">
    <w:name w:val="annotation text"/>
    <w:basedOn w:val="Normal"/>
    <w:link w:val="CommentTextChar"/>
    <w:autoRedefine/>
    <w:uiPriority w:val="99"/>
    <w:unhideWhenUsed/>
    <w:qFormat/>
    <w:rsid w:val="006E7C90"/>
    <w:rPr>
      <w:rFonts w:ascii="Verdana" w:eastAsiaTheme="minorHAnsi" w:hAnsi="Verdana" w:cstheme="minorBidi"/>
      <w:sz w:val="16"/>
    </w:rPr>
  </w:style>
  <w:style w:type="character" w:customStyle="1" w:styleId="CommentTextChar">
    <w:name w:val="Comment Text Char"/>
    <w:basedOn w:val="DefaultParagraphFont"/>
    <w:link w:val="CommentText"/>
    <w:uiPriority w:val="99"/>
    <w:rsid w:val="006E7C90"/>
    <w:rPr>
      <w:rFonts w:ascii="Verdana" w:eastAsiaTheme="minorHAnsi" w:hAnsi="Verdana"/>
      <w:color w:val="000000" w:themeColor="text1"/>
      <w:sz w:val="16"/>
      <w:lang w:val="en-GB" w:eastAsia="en-GB"/>
    </w:rPr>
  </w:style>
  <w:style w:type="paragraph" w:styleId="TOCHeading">
    <w:name w:val="TOC Heading"/>
    <w:basedOn w:val="Heading1"/>
    <w:next w:val="Normal"/>
    <w:uiPriority w:val="39"/>
    <w:unhideWhenUsed/>
    <w:qFormat/>
    <w:rsid w:val="00817E9E"/>
    <w:pPr>
      <w:ind w:right="567"/>
      <w:outlineLvl w:val="9"/>
    </w:pPr>
    <w:rPr>
      <w:rFonts w:asciiTheme="majorHAnsi" w:eastAsiaTheme="majorEastAsia" w:hAnsiTheme="majorHAnsi" w:cstheme="majorBidi"/>
      <w:color w:val="AD680B" w:themeColor="accent1" w:themeShade="B5"/>
      <w:szCs w:val="32"/>
    </w:rPr>
  </w:style>
  <w:style w:type="character" w:customStyle="1" w:styleId="apple-style-span">
    <w:name w:val="apple-style-span"/>
    <w:basedOn w:val="DefaultParagraphFont"/>
    <w:rsid w:val="00817E9E"/>
  </w:style>
  <w:style w:type="character" w:customStyle="1" w:styleId="st">
    <w:name w:val="st"/>
    <w:basedOn w:val="DefaultParagraphFont"/>
    <w:rsid w:val="00817E9E"/>
  </w:style>
  <w:style w:type="paragraph" w:styleId="CommentSubject">
    <w:name w:val="annotation subject"/>
    <w:basedOn w:val="CommentText"/>
    <w:next w:val="CommentText"/>
    <w:link w:val="CommentSubjectChar"/>
    <w:uiPriority w:val="99"/>
    <w:semiHidden/>
    <w:unhideWhenUsed/>
    <w:rsid w:val="00817E9E"/>
    <w:rPr>
      <w:rFonts w:ascii="Tahoma" w:eastAsia="Arial" w:hAnsi="Tahoma" w:cs="Times New Roman"/>
      <w:b/>
      <w:bCs/>
      <w:color w:val="3B3838" w:themeColor="background2" w:themeShade="40"/>
    </w:rPr>
  </w:style>
  <w:style w:type="character" w:customStyle="1" w:styleId="CommentSubjectChar">
    <w:name w:val="Comment Subject Char"/>
    <w:basedOn w:val="CommentTextChar"/>
    <w:link w:val="CommentSubject"/>
    <w:uiPriority w:val="99"/>
    <w:semiHidden/>
    <w:rsid w:val="00817E9E"/>
    <w:rPr>
      <w:rFonts w:ascii="Tahoma" w:eastAsia="Arial" w:hAnsi="Tahoma" w:cs="Times New Roman"/>
      <w:b/>
      <w:bCs/>
      <w:noProof/>
      <w:color w:val="3B3838" w:themeColor="background2" w:themeShade="40"/>
      <w:sz w:val="20"/>
      <w:szCs w:val="20"/>
      <w:lang w:val="en-GB" w:eastAsia="en-US"/>
    </w:rPr>
  </w:style>
  <w:style w:type="paragraph" w:styleId="Revision">
    <w:name w:val="Revision"/>
    <w:hidden/>
    <w:uiPriority w:val="99"/>
    <w:semiHidden/>
    <w:rsid w:val="00353A2C"/>
    <w:rPr>
      <w:rFonts w:ascii="Tahoma" w:eastAsia="Arial" w:hAnsi="Tahoma" w:cs="Times New Roman"/>
      <w:color w:val="171717" w:themeColor="background2" w:themeShade="1A"/>
      <w:sz w:val="20"/>
      <w:szCs w:val="20"/>
      <w:lang w:val="en-GB" w:eastAsia="en-US"/>
    </w:rPr>
  </w:style>
  <w:style w:type="paragraph" w:styleId="ListBullet3">
    <w:name w:val="List Bullet 3"/>
    <w:basedOn w:val="Normal"/>
    <w:autoRedefine/>
    <w:uiPriority w:val="99"/>
    <w:unhideWhenUsed/>
    <w:qFormat/>
    <w:rsid w:val="00E22971"/>
    <w:pPr>
      <w:numPr>
        <w:numId w:val="10"/>
      </w:numPr>
      <w:spacing w:line="288" w:lineRule="auto"/>
    </w:pPr>
  </w:style>
  <w:style w:type="paragraph" w:styleId="ListBullet4">
    <w:name w:val="List Bullet 4"/>
    <w:basedOn w:val="Normal"/>
    <w:uiPriority w:val="99"/>
    <w:unhideWhenUsed/>
    <w:qFormat/>
    <w:rsid w:val="009D7571"/>
    <w:pPr>
      <w:numPr>
        <w:numId w:val="11"/>
      </w:numPr>
      <w:contextualSpacing/>
    </w:pPr>
  </w:style>
  <w:style w:type="paragraph" w:customStyle="1" w:styleId="body30">
    <w:name w:val="body3"/>
    <w:basedOn w:val="Normal"/>
    <w:autoRedefine/>
    <w:qFormat/>
    <w:rsid w:val="00EA3588"/>
    <w:pPr>
      <w:spacing w:before="100" w:beforeAutospacing="1" w:after="100" w:afterAutospacing="1"/>
    </w:pPr>
    <w:rPr>
      <w:color w:val="275666" w:themeColor="accent4" w:themeShade="80"/>
      <w:lang w:val="fi-FI" w:eastAsia="fi-FI"/>
    </w:rPr>
  </w:style>
  <w:style w:type="character" w:styleId="SubtleEmphasis">
    <w:name w:val="Subtle Emphasis"/>
    <w:basedOn w:val="DefaultParagraphFont"/>
    <w:uiPriority w:val="19"/>
    <w:qFormat/>
    <w:rsid w:val="00F72E0C"/>
    <w:rPr>
      <w:i/>
      <w:iCs/>
      <w:color w:val="404040" w:themeColor="text1" w:themeTint="BF"/>
    </w:rPr>
  </w:style>
  <w:style w:type="character" w:customStyle="1" w:styleId="UnresolvedMention1">
    <w:name w:val="Unresolved Mention1"/>
    <w:basedOn w:val="DefaultParagraphFont"/>
    <w:uiPriority w:val="99"/>
    <w:rsid w:val="00482630"/>
    <w:rPr>
      <w:color w:val="605E5C"/>
      <w:shd w:val="clear" w:color="auto" w:fill="E1DFDD"/>
    </w:rPr>
  </w:style>
  <w:style w:type="character" w:styleId="UnresolvedMention">
    <w:name w:val="Unresolved Mention"/>
    <w:basedOn w:val="DefaultParagraphFont"/>
    <w:uiPriority w:val="99"/>
    <w:semiHidden/>
    <w:unhideWhenUsed/>
    <w:rsid w:val="003006CF"/>
    <w:rPr>
      <w:color w:val="605E5C"/>
      <w:shd w:val="clear" w:color="auto" w:fill="E1DFDD"/>
    </w:rPr>
  </w:style>
  <w:style w:type="numbering" w:customStyle="1" w:styleId="CurrentList1">
    <w:name w:val="Current List1"/>
    <w:uiPriority w:val="99"/>
    <w:rsid w:val="00904075"/>
    <w:pPr>
      <w:numPr>
        <w:numId w:val="15"/>
      </w:numPr>
    </w:pPr>
  </w:style>
  <w:style w:type="numbering" w:customStyle="1" w:styleId="CurrentList2">
    <w:name w:val="Current List2"/>
    <w:uiPriority w:val="99"/>
    <w:rsid w:val="00C16909"/>
    <w:pPr>
      <w:numPr>
        <w:numId w:val="17"/>
      </w:numPr>
    </w:pPr>
  </w:style>
  <w:style w:type="character" w:customStyle="1" w:styleId="nodemodules--msteams-bridges-components-calendar-dialog-dist-es-src-renderers-details-page-tracking-viewheadingsmall--1tvvc">
    <w:name w:val="node_modules--msteams-bridges-components-calendar-dialog-dist-es-src-renderers-details-page-tracking-view__headingsmall--1tvvc"/>
    <w:basedOn w:val="DefaultParagraphFont"/>
    <w:rsid w:val="00EA7CAF"/>
  </w:style>
  <w:style w:type="numbering" w:customStyle="1" w:styleId="CurrentList3">
    <w:name w:val="Current List3"/>
    <w:uiPriority w:val="99"/>
    <w:rsid w:val="00765F80"/>
    <w:pPr>
      <w:numPr>
        <w:numId w:val="18"/>
      </w:numPr>
    </w:pPr>
  </w:style>
  <w:style w:type="numbering" w:customStyle="1" w:styleId="CurrentList4">
    <w:name w:val="Current List4"/>
    <w:uiPriority w:val="99"/>
    <w:rsid w:val="00854099"/>
    <w:pPr>
      <w:numPr>
        <w:numId w:val="20"/>
      </w:numPr>
    </w:pPr>
  </w:style>
  <w:style w:type="numbering" w:customStyle="1" w:styleId="CurrentList5">
    <w:name w:val="Current List5"/>
    <w:uiPriority w:val="99"/>
    <w:rsid w:val="00854099"/>
    <w:pPr>
      <w:numPr>
        <w:numId w:val="21"/>
      </w:numPr>
    </w:pPr>
  </w:style>
  <w:style w:type="paragraph" w:customStyle="1" w:styleId="comp">
    <w:name w:val="comp"/>
    <w:basedOn w:val="Normal"/>
    <w:rsid w:val="00406349"/>
    <w:pPr>
      <w:spacing w:before="100" w:beforeAutospacing="1" w:after="100" w:afterAutospacing="1" w:line="240" w:lineRule="auto"/>
      <w:ind w:right="0"/>
      <w:jc w:val="left"/>
    </w:pPr>
    <w:rPr>
      <w:rFonts w:ascii="Times New Roman" w:hAnsi="Times New Roman"/>
      <w:color w:val="auto"/>
      <w:sz w:val="24"/>
      <w:lang w:val="en-FI"/>
    </w:rPr>
  </w:style>
  <w:style w:type="numbering" w:customStyle="1" w:styleId="CurrentList6">
    <w:name w:val="Current List6"/>
    <w:uiPriority w:val="99"/>
    <w:rsid w:val="00406349"/>
    <w:pPr>
      <w:numPr>
        <w:numId w:val="25"/>
      </w:numPr>
    </w:pPr>
  </w:style>
  <w:style w:type="numbering" w:customStyle="1" w:styleId="CurrentList7">
    <w:name w:val="Current List7"/>
    <w:uiPriority w:val="99"/>
    <w:rsid w:val="00D24C1E"/>
    <w:pPr>
      <w:numPr>
        <w:numId w:val="26"/>
      </w:numPr>
    </w:pPr>
  </w:style>
  <w:style w:type="character" w:customStyle="1" w:styleId="authors">
    <w:name w:val="authors"/>
    <w:basedOn w:val="DefaultParagraphFont"/>
    <w:qFormat/>
    <w:rsid w:val="00594FE0"/>
    <w:rPr>
      <w:rFonts w:ascii="Tahoma" w:hAnsi="Tahoma"/>
      <w:color w:val="47AFAB"/>
      <w:sz w:val="16"/>
    </w:rPr>
  </w:style>
  <w:style w:type="character" w:customStyle="1" w:styleId="ref-lnk">
    <w:name w:val="ref-lnk"/>
    <w:basedOn w:val="DefaultParagraphFont"/>
    <w:rsid w:val="00594FE0"/>
  </w:style>
  <w:style w:type="paragraph" w:customStyle="1" w:styleId="nova-legacy-e-listitem">
    <w:name w:val="nova-legacy-e-list__item"/>
    <w:basedOn w:val="Normal"/>
    <w:rsid w:val="00594FE0"/>
    <w:pPr>
      <w:spacing w:before="100" w:beforeAutospacing="1" w:after="100" w:afterAutospacing="1"/>
      <w:ind w:left="0" w:right="0"/>
    </w:pPr>
    <w:rPr>
      <w:color w:val="auto"/>
      <w:sz w:val="20"/>
    </w:rPr>
  </w:style>
  <w:style w:type="numbering" w:customStyle="1" w:styleId="CurrentList8">
    <w:name w:val="Current List8"/>
    <w:uiPriority w:val="99"/>
    <w:rsid w:val="007D2C21"/>
    <w:pPr>
      <w:numPr>
        <w:numId w:val="29"/>
      </w:numPr>
    </w:pPr>
  </w:style>
  <w:style w:type="paragraph" w:customStyle="1" w:styleId="AppelnotedebasdepBVIfnrCarCarCarCar">
    <w:name w:val="Appel note de bas de p..BVI fnr Car Car Car Car"/>
    <w:aliases w:val="footnote reference, BVI fnr Car Car,BVI fnr Car, BVI fnr Car Car Car Car, BVI fnr Car Car Car Car Char,Appel note de bas de p..BVI fnr Car Car Car Car1,Appel note de bas de p..BVI fnr Car Car Car Car11"/>
    <w:basedOn w:val="Normal"/>
    <w:link w:val="FootnoteReference"/>
    <w:uiPriority w:val="99"/>
    <w:rsid w:val="00E6398E"/>
    <w:pPr>
      <w:spacing w:after="200" w:line="240" w:lineRule="exact"/>
      <w:ind w:left="0" w:right="0"/>
    </w:pPr>
    <w:rPr>
      <w:rFonts w:eastAsiaTheme="minorEastAsia" w:cstheme="minorBidi"/>
      <w:color w:val="007BDA"/>
      <w:vertAlign w:val="superscript"/>
      <w:lang w:val="en-US" w:eastAsia="ja-JP"/>
    </w:rPr>
  </w:style>
  <w:style w:type="paragraph" w:styleId="PlainText">
    <w:name w:val="Plain Text"/>
    <w:basedOn w:val="Normal"/>
    <w:link w:val="PlainTextChar"/>
    <w:autoRedefine/>
    <w:uiPriority w:val="99"/>
    <w:qFormat/>
    <w:rsid w:val="00F65CE0"/>
    <w:pPr>
      <w:numPr>
        <w:numId w:val="30"/>
      </w:numPr>
      <w:spacing w:after="160"/>
      <w:ind w:right="0"/>
    </w:pPr>
    <w:rPr>
      <w:color w:val="4BAF73" w:themeColor="accent3"/>
      <w:szCs w:val="20"/>
    </w:rPr>
  </w:style>
  <w:style w:type="character" w:customStyle="1" w:styleId="PlainTextChar">
    <w:name w:val="Plain Text Char"/>
    <w:basedOn w:val="DefaultParagraphFont"/>
    <w:link w:val="PlainText"/>
    <w:uiPriority w:val="99"/>
    <w:qFormat/>
    <w:rsid w:val="00F65CE0"/>
    <w:rPr>
      <w:rFonts w:ascii="Tahoma" w:eastAsia="Times New Roman" w:hAnsi="Tahoma" w:cs="Times New Roman"/>
      <w:color w:val="4BAF73" w:themeColor="accent3"/>
      <w:sz w:val="18"/>
      <w:szCs w:val="20"/>
      <w:lang w:val="en-GB" w:eastAsia="en-GB"/>
    </w:rPr>
  </w:style>
  <w:style w:type="paragraph" w:customStyle="1" w:styleId="BodyText1">
    <w:name w:val="Body Text1"/>
    <w:basedOn w:val="Normal"/>
    <w:autoRedefine/>
    <w:qFormat/>
    <w:rsid w:val="00FE484D"/>
    <w:pPr>
      <w:widowControl w:val="0"/>
      <w:spacing w:after="0" w:line="276" w:lineRule="auto"/>
      <w:ind w:left="0" w:right="0"/>
    </w:pPr>
    <w:rPr>
      <w:rFonts w:eastAsiaTheme="minorEastAsia" w:cs="Tahoma"/>
      <w:shd w:val="clear" w:color="auto" w:fill="FFFFFF" w:themeFill="background1"/>
      <w:lang w:eastAsia="zh-CN"/>
    </w:rPr>
  </w:style>
  <w:style w:type="paragraph" w:customStyle="1" w:styleId="Articlenormal">
    <w:name w:val="Article normal"/>
    <w:basedOn w:val="Normal"/>
    <w:autoRedefine/>
    <w:qFormat/>
    <w:rsid w:val="00A14D96"/>
    <w:pPr>
      <w:widowControl w:val="0"/>
      <w:spacing w:after="160"/>
      <w:ind w:left="0" w:right="0"/>
    </w:pPr>
    <w:rPr>
      <w:rFonts w:cs="Tahoma"/>
      <w:color w:val="1063F7"/>
      <w:lang w:eastAsia="zh-CN"/>
    </w:rPr>
  </w:style>
  <w:style w:type="character" w:customStyle="1" w:styleId="webbibref">
    <w:name w:val="web_bibref"/>
    <w:basedOn w:val="DefaultParagraphFont"/>
    <w:rsid w:val="00BE03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839">
      <w:bodyDiv w:val="1"/>
      <w:marLeft w:val="0"/>
      <w:marRight w:val="0"/>
      <w:marTop w:val="0"/>
      <w:marBottom w:val="0"/>
      <w:divBdr>
        <w:top w:val="none" w:sz="0" w:space="0" w:color="auto"/>
        <w:left w:val="none" w:sz="0" w:space="0" w:color="auto"/>
        <w:bottom w:val="none" w:sz="0" w:space="0" w:color="auto"/>
        <w:right w:val="none" w:sz="0" w:space="0" w:color="auto"/>
      </w:divBdr>
      <w:divsChild>
        <w:div w:id="46489096">
          <w:marLeft w:val="0"/>
          <w:marRight w:val="0"/>
          <w:marTop w:val="0"/>
          <w:marBottom w:val="0"/>
          <w:divBdr>
            <w:top w:val="none" w:sz="0" w:space="0" w:color="auto"/>
            <w:left w:val="none" w:sz="0" w:space="0" w:color="auto"/>
            <w:bottom w:val="none" w:sz="0" w:space="0" w:color="auto"/>
            <w:right w:val="none" w:sz="0" w:space="0" w:color="auto"/>
          </w:divBdr>
          <w:divsChild>
            <w:div w:id="461656159">
              <w:marLeft w:val="0"/>
              <w:marRight w:val="0"/>
              <w:marTop w:val="0"/>
              <w:marBottom w:val="0"/>
              <w:divBdr>
                <w:top w:val="none" w:sz="0" w:space="0" w:color="auto"/>
                <w:left w:val="none" w:sz="0" w:space="0" w:color="auto"/>
                <w:bottom w:val="none" w:sz="0" w:space="0" w:color="auto"/>
                <w:right w:val="none" w:sz="0" w:space="0" w:color="auto"/>
              </w:divBdr>
            </w:div>
            <w:div w:id="802698603">
              <w:marLeft w:val="0"/>
              <w:marRight w:val="0"/>
              <w:marTop w:val="0"/>
              <w:marBottom w:val="0"/>
              <w:divBdr>
                <w:top w:val="none" w:sz="0" w:space="0" w:color="auto"/>
                <w:left w:val="none" w:sz="0" w:space="0" w:color="auto"/>
                <w:bottom w:val="none" w:sz="0" w:space="0" w:color="auto"/>
                <w:right w:val="none" w:sz="0" w:space="0" w:color="auto"/>
              </w:divBdr>
            </w:div>
            <w:div w:id="1044406250">
              <w:marLeft w:val="0"/>
              <w:marRight w:val="0"/>
              <w:marTop w:val="0"/>
              <w:marBottom w:val="0"/>
              <w:divBdr>
                <w:top w:val="none" w:sz="0" w:space="0" w:color="auto"/>
                <w:left w:val="none" w:sz="0" w:space="0" w:color="auto"/>
                <w:bottom w:val="none" w:sz="0" w:space="0" w:color="auto"/>
                <w:right w:val="none" w:sz="0" w:space="0" w:color="auto"/>
              </w:divBdr>
            </w:div>
            <w:div w:id="1206484652">
              <w:marLeft w:val="0"/>
              <w:marRight w:val="0"/>
              <w:marTop w:val="0"/>
              <w:marBottom w:val="0"/>
              <w:divBdr>
                <w:top w:val="none" w:sz="0" w:space="0" w:color="auto"/>
                <w:left w:val="none" w:sz="0" w:space="0" w:color="auto"/>
                <w:bottom w:val="none" w:sz="0" w:space="0" w:color="auto"/>
                <w:right w:val="none" w:sz="0" w:space="0" w:color="auto"/>
              </w:divBdr>
            </w:div>
            <w:div w:id="1250507872">
              <w:marLeft w:val="0"/>
              <w:marRight w:val="0"/>
              <w:marTop w:val="0"/>
              <w:marBottom w:val="0"/>
              <w:divBdr>
                <w:top w:val="none" w:sz="0" w:space="0" w:color="auto"/>
                <w:left w:val="none" w:sz="0" w:space="0" w:color="auto"/>
                <w:bottom w:val="none" w:sz="0" w:space="0" w:color="auto"/>
                <w:right w:val="none" w:sz="0" w:space="0" w:color="auto"/>
              </w:divBdr>
            </w:div>
            <w:div w:id="1312178809">
              <w:marLeft w:val="0"/>
              <w:marRight w:val="0"/>
              <w:marTop w:val="0"/>
              <w:marBottom w:val="0"/>
              <w:divBdr>
                <w:top w:val="none" w:sz="0" w:space="0" w:color="auto"/>
                <w:left w:val="none" w:sz="0" w:space="0" w:color="auto"/>
                <w:bottom w:val="none" w:sz="0" w:space="0" w:color="auto"/>
                <w:right w:val="none" w:sz="0" w:space="0" w:color="auto"/>
              </w:divBdr>
            </w:div>
            <w:div w:id="1853641139">
              <w:marLeft w:val="0"/>
              <w:marRight w:val="0"/>
              <w:marTop w:val="0"/>
              <w:marBottom w:val="0"/>
              <w:divBdr>
                <w:top w:val="none" w:sz="0" w:space="0" w:color="auto"/>
                <w:left w:val="none" w:sz="0" w:space="0" w:color="auto"/>
                <w:bottom w:val="none" w:sz="0" w:space="0" w:color="auto"/>
                <w:right w:val="none" w:sz="0" w:space="0" w:color="auto"/>
              </w:divBdr>
            </w:div>
            <w:div w:id="2098400345">
              <w:marLeft w:val="0"/>
              <w:marRight w:val="0"/>
              <w:marTop w:val="0"/>
              <w:marBottom w:val="0"/>
              <w:divBdr>
                <w:top w:val="none" w:sz="0" w:space="0" w:color="auto"/>
                <w:left w:val="none" w:sz="0" w:space="0" w:color="auto"/>
                <w:bottom w:val="none" w:sz="0" w:space="0" w:color="auto"/>
                <w:right w:val="none" w:sz="0" w:space="0" w:color="auto"/>
              </w:divBdr>
              <w:divsChild>
                <w:div w:id="18319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15474">
      <w:bodyDiv w:val="1"/>
      <w:marLeft w:val="0"/>
      <w:marRight w:val="0"/>
      <w:marTop w:val="0"/>
      <w:marBottom w:val="0"/>
      <w:divBdr>
        <w:top w:val="none" w:sz="0" w:space="0" w:color="auto"/>
        <w:left w:val="none" w:sz="0" w:space="0" w:color="auto"/>
        <w:bottom w:val="none" w:sz="0" w:space="0" w:color="auto"/>
        <w:right w:val="none" w:sz="0" w:space="0" w:color="auto"/>
      </w:divBdr>
      <w:divsChild>
        <w:div w:id="1228031364">
          <w:marLeft w:val="0"/>
          <w:marRight w:val="0"/>
          <w:marTop w:val="0"/>
          <w:marBottom w:val="0"/>
          <w:divBdr>
            <w:top w:val="none" w:sz="0" w:space="0" w:color="auto"/>
            <w:left w:val="none" w:sz="0" w:space="0" w:color="auto"/>
            <w:bottom w:val="none" w:sz="0" w:space="0" w:color="auto"/>
            <w:right w:val="none" w:sz="0" w:space="0" w:color="auto"/>
          </w:divBdr>
          <w:divsChild>
            <w:div w:id="161971798">
              <w:marLeft w:val="0"/>
              <w:marRight w:val="0"/>
              <w:marTop w:val="0"/>
              <w:marBottom w:val="0"/>
              <w:divBdr>
                <w:top w:val="none" w:sz="0" w:space="0" w:color="auto"/>
                <w:left w:val="none" w:sz="0" w:space="0" w:color="auto"/>
                <w:bottom w:val="none" w:sz="0" w:space="0" w:color="auto"/>
                <w:right w:val="none" w:sz="0" w:space="0" w:color="auto"/>
              </w:divBdr>
              <w:divsChild>
                <w:div w:id="162283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11524">
      <w:bodyDiv w:val="1"/>
      <w:marLeft w:val="0"/>
      <w:marRight w:val="0"/>
      <w:marTop w:val="0"/>
      <w:marBottom w:val="0"/>
      <w:divBdr>
        <w:top w:val="none" w:sz="0" w:space="0" w:color="auto"/>
        <w:left w:val="none" w:sz="0" w:space="0" w:color="auto"/>
        <w:bottom w:val="none" w:sz="0" w:space="0" w:color="auto"/>
        <w:right w:val="none" w:sz="0" w:space="0" w:color="auto"/>
      </w:divBdr>
    </w:div>
    <w:div w:id="65610798">
      <w:bodyDiv w:val="1"/>
      <w:marLeft w:val="0"/>
      <w:marRight w:val="0"/>
      <w:marTop w:val="0"/>
      <w:marBottom w:val="0"/>
      <w:divBdr>
        <w:top w:val="none" w:sz="0" w:space="0" w:color="auto"/>
        <w:left w:val="none" w:sz="0" w:space="0" w:color="auto"/>
        <w:bottom w:val="none" w:sz="0" w:space="0" w:color="auto"/>
        <w:right w:val="none" w:sz="0" w:space="0" w:color="auto"/>
      </w:divBdr>
      <w:divsChild>
        <w:div w:id="807628070">
          <w:marLeft w:val="0"/>
          <w:marRight w:val="0"/>
          <w:marTop w:val="0"/>
          <w:marBottom w:val="0"/>
          <w:divBdr>
            <w:top w:val="none" w:sz="0" w:space="0" w:color="auto"/>
            <w:left w:val="none" w:sz="0" w:space="0" w:color="auto"/>
            <w:bottom w:val="none" w:sz="0" w:space="0" w:color="auto"/>
            <w:right w:val="none" w:sz="0" w:space="0" w:color="auto"/>
          </w:divBdr>
          <w:divsChild>
            <w:div w:id="590434641">
              <w:marLeft w:val="0"/>
              <w:marRight w:val="0"/>
              <w:marTop w:val="0"/>
              <w:marBottom w:val="0"/>
              <w:divBdr>
                <w:top w:val="none" w:sz="0" w:space="0" w:color="auto"/>
                <w:left w:val="none" w:sz="0" w:space="0" w:color="auto"/>
                <w:bottom w:val="none" w:sz="0" w:space="0" w:color="auto"/>
                <w:right w:val="none" w:sz="0" w:space="0" w:color="auto"/>
              </w:divBdr>
              <w:divsChild>
                <w:div w:id="1380936212">
                  <w:marLeft w:val="0"/>
                  <w:marRight w:val="0"/>
                  <w:marTop w:val="0"/>
                  <w:marBottom w:val="0"/>
                  <w:divBdr>
                    <w:top w:val="none" w:sz="0" w:space="0" w:color="auto"/>
                    <w:left w:val="none" w:sz="0" w:space="0" w:color="auto"/>
                    <w:bottom w:val="none" w:sz="0" w:space="0" w:color="auto"/>
                    <w:right w:val="none" w:sz="0" w:space="0" w:color="auto"/>
                  </w:divBdr>
                </w:div>
                <w:div w:id="40961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287">
      <w:bodyDiv w:val="1"/>
      <w:marLeft w:val="0"/>
      <w:marRight w:val="0"/>
      <w:marTop w:val="0"/>
      <w:marBottom w:val="0"/>
      <w:divBdr>
        <w:top w:val="none" w:sz="0" w:space="0" w:color="auto"/>
        <w:left w:val="none" w:sz="0" w:space="0" w:color="auto"/>
        <w:bottom w:val="none" w:sz="0" w:space="0" w:color="auto"/>
        <w:right w:val="none" w:sz="0" w:space="0" w:color="auto"/>
      </w:divBdr>
    </w:div>
    <w:div w:id="142892093">
      <w:bodyDiv w:val="1"/>
      <w:marLeft w:val="0"/>
      <w:marRight w:val="0"/>
      <w:marTop w:val="0"/>
      <w:marBottom w:val="0"/>
      <w:divBdr>
        <w:top w:val="none" w:sz="0" w:space="0" w:color="auto"/>
        <w:left w:val="none" w:sz="0" w:space="0" w:color="auto"/>
        <w:bottom w:val="none" w:sz="0" w:space="0" w:color="auto"/>
        <w:right w:val="none" w:sz="0" w:space="0" w:color="auto"/>
      </w:divBdr>
    </w:div>
    <w:div w:id="196241697">
      <w:bodyDiv w:val="1"/>
      <w:marLeft w:val="0"/>
      <w:marRight w:val="0"/>
      <w:marTop w:val="0"/>
      <w:marBottom w:val="0"/>
      <w:divBdr>
        <w:top w:val="none" w:sz="0" w:space="0" w:color="auto"/>
        <w:left w:val="none" w:sz="0" w:space="0" w:color="auto"/>
        <w:bottom w:val="none" w:sz="0" w:space="0" w:color="auto"/>
        <w:right w:val="none" w:sz="0" w:space="0" w:color="auto"/>
      </w:divBdr>
      <w:divsChild>
        <w:div w:id="834300042">
          <w:marLeft w:val="480"/>
          <w:marRight w:val="0"/>
          <w:marTop w:val="0"/>
          <w:marBottom w:val="0"/>
          <w:divBdr>
            <w:top w:val="single" w:sz="2" w:space="0" w:color="auto"/>
            <w:left w:val="single" w:sz="2" w:space="0" w:color="auto"/>
            <w:bottom w:val="single" w:sz="2" w:space="0" w:color="auto"/>
            <w:right w:val="single" w:sz="2" w:space="0" w:color="auto"/>
          </w:divBdr>
          <w:divsChild>
            <w:div w:id="892039771">
              <w:marLeft w:val="0"/>
              <w:marRight w:val="0"/>
              <w:marTop w:val="0"/>
              <w:marBottom w:val="0"/>
              <w:divBdr>
                <w:top w:val="single" w:sz="2" w:space="0" w:color="auto"/>
                <w:left w:val="single" w:sz="2" w:space="0" w:color="auto"/>
                <w:bottom w:val="single" w:sz="2" w:space="0" w:color="auto"/>
                <w:right w:val="single" w:sz="2" w:space="0" w:color="auto"/>
              </w:divBdr>
            </w:div>
          </w:divsChild>
        </w:div>
        <w:div w:id="1154181309">
          <w:marLeft w:val="0"/>
          <w:marRight w:val="0"/>
          <w:marTop w:val="0"/>
          <w:marBottom w:val="0"/>
          <w:divBdr>
            <w:top w:val="single" w:sz="2" w:space="0" w:color="auto"/>
            <w:left w:val="single" w:sz="2" w:space="0" w:color="auto"/>
            <w:bottom w:val="single" w:sz="2" w:space="0" w:color="auto"/>
            <w:right w:val="single" w:sz="2" w:space="0" w:color="auto"/>
          </w:divBdr>
        </w:div>
      </w:divsChild>
    </w:div>
    <w:div w:id="203713727">
      <w:bodyDiv w:val="1"/>
      <w:marLeft w:val="0"/>
      <w:marRight w:val="0"/>
      <w:marTop w:val="0"/>
      <w:marBottom w:val="0"/>
      <w:divBdr>
        <w:top w:val="none" w:sz="0" w:space="0" w:color="auto"/>
        <w:left w:val="none" w:sz="0" w:space="0" w:color="auto"/>
        <w:bottom w:val="none" w:sz="0" w:space="0" w:color="auto"/>
        <w:right w:val="none" w:sz="0" w:space="0" w:color="auto"/>
      </w:divBdr>
      <w:divsChild>
        <w:div w:id="1090272330">
          <w:marLeft w:val="0"/>
          <w:marRight w:val="0"/>
          <w:marTop w:val="0"/>
          <w:marBottom w:val="0"/>
          <w:divBdr>
            <w:top w:val="none" w:sz="0" w:space="0" w:color="auto"/>
            <w:left w:val="none" w:sz="0" w:space="0" w:color="auto"/>
            <w:bottom w:val="none" w:sz="0" w:space="0" w:color="auto"/>
            <w:right w:val="none" w:sz="0" w:space="0" w:color="auto"/>
          </w:divBdr>
          <w:divsChild>
            <w:div w:id="519702593">
              <w:marLeft w:val="0"/>
              <w:marRight w:val="0"/>
              <w:marTop w:val="0"/>
              <w:marBottom w:val="0"/>
              <w:divBdr>
                <w:top w:val="none" w:sz="0" w:space="0" w:color="auto"/>
                <w:left w:val="none" w:sz="0" w:space="0" w:color="auto"/>
                <w:bottom w:val="none" w:sz="0" w:space="0" w:color="auto"/>
                <w:right w:val="none" w:sz="0" w:space="0" w:color="auto"/>
              </w:divBdr>
              <w:divsChild>
                <w:div w:id="1758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645438">
      <w:bodyDiv w:val="1"/>
      <w:marLeft w:val="0"/>
      <w:marRight w:val="0"/>
      <w:marTop w:val="0"/>
      <w:marBottom w:val="0"/>
      <w:divBdr>
        <w:top w:val="none" w:sz="0" w:space="0" w:color="auto"/>
        <w:left w:val="none" w:sz="0" w:space="0" w:color="auto"/>
        <w:bottom w:val="none" w:sz="0" w:space="0" w:color="auto"/>
        <w:right w:val="none" w:sz="0" w:space="0" w:color="auto"/>
      </w:divBdr>
      <w:divsChild>
        <w:div w:id="2052030106">
          <w:marLeft w:val="0"/>
          <w:marRight w:val="0"/>
          <w:marTop w:val="0"/>
          <w:marBottom w:val="0"/>
          <w:divBdr>
            <w:top w:val="none" w:sz="0" w:space="0" w:color="auto"/>
            <w:left w:val="none" w:sz="0" w:space="0" w:color="auto"/>
            <w:bottom w:val="none" w:sz="0" w:space="0" w:color="auto"/>
            <w:right w:val="none" w:sz="0" w:space="0" w:color="auto"/>
          </w:divBdr>
          <w:divsChild>
            <w:div w:id="1519347312">
              <w:marLeft w:val="0"/>
              <w:marRight w:val="0"/>
              <w:marTop w:val="0"/>
              <w:marBottom w:val="0"/>
              <w:divBdr>
                <w:top w:val="none" w:sz="0" w:space="0" w:color="auto"/>
                <w:left w:val="none" w:sz="0" w:space="0" w:color="auto"/>
                <w:bottom w:val="none" w:sz="0" w:space="0" w:color="auto"/>
                <w:right w:val="none" w:sz="0" w:space="0" w:color="auto"/>
              </w:divBdr>
              <w:divsChild>
                <w:div w:id="14170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119593">
      <w:bodyDiv w:val="1"/>
      <w:marLeft w:val="0"/>
      <w:marRight w:val="0"/>
      <w:marTop w:val="0"/>
      <w:marBottom w:val="0"/>
      <w:divBdr>
        <w:top w:val="none" w:sz="0" w:space="0" w:color="auto"/>
        <w:left w:val="none" w:sz="0" w:space="0" w:color="auto"/>
        <w:bottom w:val="none" w:sz="0" w:space="0" w:color="auto"/>
        <w:right w:val="none" w:sz="0" w:space="0" w:color="auto"/>
      </w:divBdr>
      <w:divsChild>
        <w:div w:id="99837636">
          <w:marLeft w:val="0"/>
          <w:marRight w:val="0"/>
          <w:marTop w:val="0"/>
          <w:marBottom w:val="0"/>
          <w:divBdr>
            <w:top w:val="none" w:sz="0" w:space="0" w:color="auto"/>
            <w:left w:val="none" w:sz="0" w:space="0" w:color="auto"/>
            <w:bottom w:val="none" w:sz="0" w:space="0" w:color="auto"/>
            <w:right w:val="none" w:sz="0" w:space="0" w:color="auto"/>
          </w:divBdr>
          <w:divsChild>
            <w:div w:id="262031712">
              <w:marLeft w:val="0"/>
              <w:marRight w:val="0"/>
              <w:marTop w:val="0"/>
              <w:marBottom w:val="0"/>
              <w:divBdr>
                <w:top w:val="none" w:sz="0" w:space="0" w:color="auto"/>
                <w:left w:val="none" w:sz="0" w:space="0" w:color="auto"/>
                <w:bottom w:val="none" w:sz="0" w:space="0" w:color="auto"/>
                <w:right w:val="none" w:sz="0" w:space="0" w:color="auto"/>
              </w:divBdr>
              <w:divsChild>
                <w:div w:id="1177034234">
                  <w:marLeft w:val="0"/>
                  <w:marRight w:val="0"/>
                  <w:marTop w:val="0"/>
                  <w:marBottom w:val="0"/>
                  <w:divBdr>
                    <w:top w:val="none" w:sz="0" w:space="0" w:color="auto"/>
                    <w:left w:val="none" w:sz="0" w:space="0" w:color="auto"/>
                    <w:bottom w:val="none" w:sz="0" w:space="0" w:color="auto"/>
                    <w:right w:val="none" w:sz="0" w:space="0" w:color="auto"/>
                  </w:divBdr>
                  <w:divsChild>
                    <w:div w:id="180377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364741">
      <w:bodyDiv w:val="1"/>
      <w:marLeft w:val="0"/>
      <w:marRight w:val="0"/>
      <w:marTop w:val="0"/>
      <w:marBottom w:val="0"/>
      <w:divBdr>
        <w:top w:val="none" w:sz="0" w:space="0" w:color="auto"/>
        <w:left w:val="none" w:sz="0" w:space="0" w:color="auto"/>
        <w:bottom w:val="none" w:sz="0" w:space="0" w:color="auto"/>
        <w:right w:val="none" w:sz="0" w:space="0" w:color="auto"/>
      </w:divBdr>
    </w:div>
    <w:div w:id="314921920">
      <w:bodyDiv w:val="1"/>
      <w:marLeft w:val="0"/>
      <w:marRight w:val="0"/>
      <w:marTop w:val="0"/>
      <w:marBottom w:val="0"/>
      <w:divBdr>
        <w:top w:val="none" w:sz="0" w:space="0" w:color="auto"/>
        <w:left w:val="none" w:sz="0" w:space="0" w:color="auto"/>
        <w:bottom w:val="none" w:sz="0" w:space="0" w:color="auto"/>
        <w:right w:val="none" w:sz="0" w:space="0" w:color="auto"/>
      </w:divBdr>
    </w:div>
    <w:div w:id="331684152">
      <w:bodyDiv w:val="1"/>
      <w:marLeft w:val="0"/>
      <w:marRight w:val="0"/>
      <w:marTop w:val="0"/>
      <w:marBottom w:val="0"/>
      <w:divBdr>
        <w:top w:val="none" w:sz="0" w:space="0" w:color="auto"/>
        <w:left w:val="none" w:sz="0" w:space="0" w:color="auto"/>
        <w:bottom w:val="none" w:sz="0" w:space="0" w:color="auto"/>
        <w:right w:val="none" w:sz="0" w:space="0" w:color="auto"/>
      </w:divBdr>
    </w:div>
    <w:div w:id="333072687">
      <w:bodyDiv w:val="1"/>
      <w:marLeft w:val="0"/>
      <w:marRight w:val="0"/>
      <w:marTop w:val="0"/>
      <w:marBottom w:val="0"/>
      <w:divBdr>
        <w:top w:val="none" w:sz="0" w:space="0" w:color="auto"/>
        <w:left w:val="none" w:sz="0" w:space="0" w:color="auto"/>
        <w:bottom w:val="none" w:sz="0" w:space="0" w:color="auto"/>
        <w:right w:val="none" w:sz="0" w:space="0" w:color="auto"/>
      </w:divBdr>
    </w:div>
    <w:div w:id="349600817">
      <w:bodyDiv w:val="1"/>
      <w:marLeft w:val="0"/>
      <w:marRight w:val="0"/>
      <w:marTop w:val="0"/>
      <w:marBottom w:val="0"/>
      <w:divBdr>
        <w:top w:val="none" w:sz="0" w:space="0" w:color="auto"/>
        <w:left w:val="none" w:sz="0" w:space="0" w:color="auto"/>
        <w:bottom w:val="none" w:sz="0" w:space="0" w:color="auto"/>
        <w:right w:val="none" w:sz="0" w:space="0" w:color="auto"/>
      </w:divBdr>
    </w:div>
    <w:div w:id="369183480">
      <w:bodyDiv w:val="1"/>
      <w:marLeft w:val="0"/>
      <w:marRight w:val="0"/>
      <w:marTop w:val="0"/>
      <w:marBottom w:val="0"/>
      <w:divBdr>
        <w:top w:val="none" w:sz="0" w:space="0" w:color="auto"/>
        <w:left w:val="none" w:sz="0" w:space="0" w:color="auto"/>
        <w:bottom w:val="none" w:sz="0" w:space="0" w:color="auto"/>
        <w:right w:val="none" w:sz="0" w:space="0" w:color="auto"/>
      </w:divBdr>
    </w:div>
    <w:div w:id="400176437">
      <w:bodyDiv w:val="1"/>
      <w:marLeft w:val="0"/>
      <w:marRight w:val="0"/>
      <w:marTop w:val="0"/>
      <w:marBottom w:val="0"/>
      <w:divBdr>
        <w:top w:val="none" w:sz="0" w:space="0" w:color="auto"/>
        <w:left w:val="none" w:sz="0" w:space="0" w:color="auto"/>
        <w:bottom w:val="none" w:sz="0" w:space="0" w:color="auto"/>
        <w:right w:val="none" w:sz="0" w:space="0" w:color="auto"/>
      </w:divBdr>
    </w:div>
    <w:div w:id="412706702">
      <w:bodyDiv w:val="1"/>
      <w:marLeft w:val="0"/>
      <w:marRight w:val="0"/>
      <w:marTop w:val="0"/>
      <w:marBottom w:val="0"/>
      <w:divBdr>
        <w:top w:val="none" w:sz="0" w:space="0" w:color="auto"/>
        <w:left w:val="none" w:sz="0" w:space="0" w:color="auto"/>
        <w:bottom w:val="none" w:sz="0" w:space="0" w:color="auto"/>
        <w:right w:val="none" w:sz="0" w:space="0" w:color="auto"/>
      </w:divBdr>
    </w:div>
    <w:div w:id="415368205">
      <w:bodyDiv w:val="1"/>
      <w:marLeft w:val="0"/>
      <w:marRight w:val="0"/>
      <w:marTop w:val="0"/>
      <w:marBottom w:val="0"/>
      <w:divBdr>
        <w:top w:val="none" w:sz="0" w:space="0" w:color="auto"/>
        <w:left w:val="none" w:sz="0" w:space="0" w:color="auto"/>
        <w:bottom w:val="none" w:sz="0" w:space="0" w:color="auto"/>
        <w:right w:val="none" w:sz="0" w:space="0" w:color="auto"/>
      </w:divBdr>
    </w:div>
    <w:div w:id="426777737">
      <w:bodyDiv w:val="1"/>
      <w:marLeft w:val="0"/>
      <w:marRight w:val="0"/>
      <w:marTop w:val="0"/>
      <w:marBottom w:val="0"/>
      <w:divBdr>
        <w:top w:val="none" w:sz="0" w:space="0" w:color="auto"/>
        <w:left w:val="none" w:sz="0" w:space="0" w:color="auto"/>
        <w:bottom w:val="none" w:sz="0" w:space="0" w:color="auto"/>
        <w:right w:val="none" w:sz="0" w:space="0" w:color="auto"/>
      </w:divBdr>
    </w:div>
    <w:div w:id="428963274">
      <w:bodyDiv w:val="1"/>
      <w:marLeft w:val="0"/>
      <w:marRight w:val="0"/>
      <w:marTop w:val="0"/>
      <w:marBottom w:val="0"/>
      <w:divBdr>
        <w:top w:val="none" w:sz="0" w:space="0" w:color="auto"/>
        <w:left w:val="none" w:sz="0" w:space="0" w:color="auto"/>
        <w:bottom w:val="none" w:sz="0" w:space="0" w:color="auto"/>
        <w:right w:val="none" w:sz="0" w:space="0" w:color="auto"/>
      </w:divBdr>
    </w:div>
    <w:div w:id="554387504">
      <w:bodyDiv w:val="1"/>
      <w:marLeft w:val="0"/>
      <w:marRight w:val="0"/>
      <w:marTop w:val="0"/>
      <w:marBottom w:val="0"/>
      <w:divBdr>
        <w:top w:val="none" w:sz="0" w:space="0" w:color="auto"/>
        <w:left w:val="none" w:sz="0" w:space="0" w:color="auto"/>
        <w:bottom w:val="none" w:sz="0" w:space="0" w:color="auto"/>
        <w:right w:val="none" w:sz="0" w:space="0" w:color="auto"/>
      </w:divBdr>
      <w:divsChild>
        <w:div w:id="1495337538">
          <w:marLeft w:val="0"/>
          <w:marRight w:val="0"/>
          <w:marTop w:val="0"/>
          <w:marBottom w:val="0"/>
          <w:divBdr>
            <w:top w:val="none" w:sz="0" w:space="0" w:color="auto"/>
            <w:left w:val="none" w:sz="0" w:space="0" w:color="auto"/>
            <w:bottom w:val="none" w:sz="0" w:space="0" w:color="auto"/>
            <w:right w:val="none" w:sz="0" w:space="0" w:color="auto"/>
          </w:divBdr>
          <w:divsChild>
            <w:div w:id="414478363">
              <w:marLeft w:val="0"/>
              <w:marRight w:val="0"/>
              <w:marTop w:val="0"/>
              <w:marBottom w:val="0"/>
              <w:divBdr>
                <w:top w:val="none" w:sz="0" w:space="0" w:color="auto"/>
                <w:left w:val="none" w:sz="0" w:space="0" w:color="auto"/>
                <w:bottom w:val="none" w:sz="0" w:space="0" w:color="auto"/>
                <w:right w:val="none" w:sz="0" w:space="0" w:color="auto"/>
              </w:divBdr>
              <w:divsChild>
                <w:div w:id="99734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555593">
      <w:bodyDiv w:val="1"/>
      <w:marLeft w:val="0"/>
      <w:marRight w:val="0"/>
      <w:marTop w:val="0"/>
      <w:marBottom w:val="0"/>
      <w:divBdr>
        <w:top w:val="none" w:sz="0" w:space="0" w:color="auto"/>
        <w:left w:val="none" w:sz="0" w:space="0" w:color="auto"/>
        <w:bottom w:val="none" w:sz="0" w:space="0" w:color="auto"/>
        <w:right w:val="none" w:sz="0" w:space="0" w:color="auto"/>
      </w:divBdr>
    </w:div>
    <w:div w:id="561138370">
      <w:bodyDiv w:val="1"/>
      <w:marLeft w:val="0"/>
      <w:marRight w:val="0"/>
      <w:marTop w:val="0"/>
      <w:marBottom w:val="0"/>
      <w:divBdr>
        <w:top w:val="none" w:sz="0" w:space="0" w:color="auto"/>
        <w:left w:val="none" w:sz="0" w:space="0" w:color="auto"/>
        <w:bottom w:val="none" w:sz="0" w:space="0" w:color="auto"/>
        <w:right w:val="none" w:sz="0" w:space="0" w:color="auto"/>
      </w:divBdr>
      <w:divsChild>
        <w:div w:id="307974908">
          <w:marLeft w:val="0"/>
          <w:marRight w:val="0"/>
          <w:marTop w:val="0"/>
          <w:marBottom w:val="0"/>
          <w:divBdr>
            <w:top w:val="none" w:sz="0" w:space="0" w:color="auto"/>
            <w:left w:val="none" w:sz="0" w:space="0" w:color="auto"/>
            <w:bottom w:val="none" w:sz="0" w:space="0" w:color="auto"/>
            <w:right w:val="none" w:sz="0" w:space="0" w:color="auto"/>
          </w:divBdr>
          <w:divsChild>
            <w:div w:id="1654603581">
              <w:marLeft w:val="0"/>
              <w:marRight w:val="0"/>
              <w:marTop w:val="0"/>
              <w:marBottom w:val="0"/>
              <w:divBdr>
                <w:top w:val="none" w:sz="0" w:space="0" w:color="auto"/>
                <w:left w:val="none" w:sz="0" w:space="0" w:color="auto"/>
                <w:bottom w:val="none" w:sz="0" w:space="0" w:color="auto"/>
                <w:right w:val="none" w:sz="0" w:space="0" w:color="auto"/>
              </w:divBdr>
              <w:divsChild>
                <w:div w:id="560093686">
                  <w:marLeft w:val="0"/>
                  <w:marRight w:val="0"/>
                  <w:marTop w:val="0"/>
                  <w:marBottom w:val="0"/>
                  <w:divBdr>
                    <w:top w:val="none" w:sz="0" w:space="0" w:color="auto"/>
                    <w:left w:val="none" w:sz="0" w:space="0" w:color="auto"/>
                    <w:bottom w:val="none" w:sz="0" w:space="0" w:color="auto"/>
                    <w:right w:val="none" w:sz="0" w:space="0" w:color="auto"/>
                  </w:divBdr>
                  <w:divsChild>
                    <w:div w:id="11561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427237">
      <w:bodyDiv w:val="1"/>
      <w:marLeft w:val="0"/>
      <w:marRight w:val="0"/>
      <w:marTop w:val="0"/>
      <w:marBottom w:val="0"/>
      <w:divBdr>
        <w:top w:val="none" w:sz="0" w:space="0" w:color="auto"/>
        <w:left w:val="none" w:sz="0" w:space="0" w:color="auto"/>
        <w:bottom w:val="none" w:sz="0" w:space="0" w:color="auto"/>
        <w:right w:val="none" w:sz="0" w:space="0" w:color="auto"/>
      </w:divBdr>
    </w:div>
    <w:div w:id="569466137">
      <w:bodyDiv w:val="1"/>
      <w:marLeft w:val="0"/>
      <w:marRight w:val="0"/>
      <w:marTop w:val="0"/>
      <w:marBottom w:val="0"/>
      <w:divBdr>
        <w:top w:val="none" w:sz="0" w:space="0" w:color="auto"/>
        <w:left w:val="none" w:sz="0" w:space="0" w:color="auto"/>
        <w:bottom w:val="none" w:sz="0" w:space="0" w:color="auto"/>
        <w:right w:val="none" w:sz="0" w:space="0" w:color="auto"/>
      </w:divBdr>
    </w:div>
    <w:div w:id="596794289">
      <w:bodyDiv w:val="1"/>
      <w:marLeft w:val="0"/>
      <w:marRight w:val="0"/>
      <w:marTop w:val="0"/>
      <w:marBottom w:val="0"/>
      <w:divBdr>
        <w:top w:val="none" w:sz="0" w:space="0" w:color="auto"/>
        <w:left w:val="none" w:sz="0" w:space="0" w:color="auto"/>
        <w:bottom w:val="none" w:sz="0" w:space="0" w:color="auto"/>
        <w:right w:val="none" w:sz="0" w:space="0" w:color="auto"/>
      </w:divBdr>
      <w:divsChild>
        <w:div w:id="1068697638">
          <w:marLeft w:val="0"/>
          <w:marRight w:val="0"/>
          <w:marTop w:val="0"/>
          <w:marBottom w:val="0"/>
          <w:divBdr>
            <w:top w:val="none" w:sz="0" w:space="0" w:color="auto"/>
            <w:left w:val="none" w:sz="0" w:space="0" w:color="auto"/>
            <w:bottom w:val="none" w:sz="0" w:space="0" w:color="auto"/>
            <w:right w:val="none" w:sz="0" w:space="0" w:color="auto"/>
          </w:divBdr>
          <w:divsChild>
            <w:div w:id="1472018464">
              <w:marLeft w:val="0"/>
              <w:marRight w:val="0"/>
              <w:marTop w:val="0"/>
              <w:marBottom w:val="0"/>
              <w:divBdr>
                <w:top w:val="none" w:sz="0" w:space="0" w:color="auto"/>
                <w:left w:val="none" w:sz="0" w:space="0" w:color="auto"/>
                <w:bottom w:val="none" w:sz="0" w:space="0" w:color="auto"/>
                <w:right w:val="none" w:sz="0" w:space="0" w:color="auto"/>
              </w:divBdr>
              <w:divsChild>
                <w:div w:id="328606161">
                  <w:marLeft w:val="0"/>
                  <w:marRight w:val="0"/>
                  <w:marTop w:val="0"/>
                  <w:marBottom w:val="0"/>
                  <w:divBdr>
                    <w:top w:val="none" w:sz="0" w:space="0" w:color="auto"/>
                    <w:left w:val="none" w:sz="0" w:space="0" w:color="auto"/>
                    <w:bottom w:val="none" w:sz="0" w:space="0" w:color="auto"/>
                    <w:right w:val="none" w:sz="0" w:space="0" w:color="auto"/>
                  </w:divBdr>
                  <w:divsChild>
                    <w:div w:id="62207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345775">
      <w:bodyDiv w:val="1"/>
      <w:marLeft w:val="0"/>
      <w:marRight w:val="0"/>
      <w:marTop w:val="0"/>
      <w:marBottom w:val="0"/>
      <w:divBdr>
        <w:top w:val="none" w:sz="0" w:space="0" w:color="auto"/>
        <w:left w:val="none" w:sz="0" w:space="0" w:color="auto"/>
        <w:bottom w:val="none" w:sz="0" w:space="0" w:color="auto"/>
        <w:right w:val="none" w:sz="0" w:space="0" w:color="auto"/>
      </w:divBdr>
      <w:divsChild>
        <w:div w:id="1265574695">
          <w:marLeft w:val="0"/>
          <w:marRight w:val="0"/>
          <w:marTop w:val="0"/>
          <w:marBottom w:val="0"/>
          <w:divBdr>
            <w:top w:val="none" w:sz="0" w:space="0" w:color="auto"/>
            <w:left w:val="none" w:sz="0" w:space="0" w:color="auto"/>
            <w:bottom w:val="none" w:sz="0" w:space="0" w:color="auto"/>
            <w:right w:val="none" w:sz="0" w:space="0" w:color="auto"/>
          </w:divBdr>
          <w:divsChild>
            <w:div w:id="1262645882">
              <w:marLeft w:val="0"/>
              <w:marRight w:val="0"/>
              <w:marTop w:val="0"/>
              <w:marBottom w:val="0"/>
              <w:divBdr>
                <w:top w:val="none" w:sz="0" w:space="0" w:color="auto"/>
                <w:left w:val="none" w:sz="0" w:space="0" w:color="auto"/>
                <w:bottom w:val="none" w:sz="0" w:space="0" w:color="auto"/>
                <w:right w:val="none" w:sz="0" w:space="0" w:color="auto"/>
              </w:divBdr>
              <w:divsChild>
                <w:div w:id="15028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63949">
      <w:bodyDiv w:val="1"/>
      <w:marLeft w:val="0"/>
      <w:marRight w:val="0"/>
      <w:marTop w:val="0"/>
      <w:marBottom w:val="0"/>
      <w:divBdr>
        <w:top w:val="none" w:sz="0" w:space="0" w:color="auto"/>
        <w:left w:val="none" w:sz="0" w:space="0" w:color="auto"/>
        <w:bottom w:val="none" w:sz="0" w:space="0" w:color="auto"/>
        <w:right w:val="none" w:sz="0" w:space="0" w:color="auto"/>
      </w:divBdr>
      <w:divsChild>
        <w:div w:id="381447340">
          <w:marLeft w:val="0"/>
          <w:marRight w:val="0"/>
          <w:marTop w:val="0"/>
          <w:marBottom w:val="0"/>
          <w:divBdr>
            <w:top w:val="none" w:sz="0" w:space="0" w:color="auto"/>
            <w:left w:val="none" w:sz="0" w:space="0" w:color="auto"/>
            <w:bottom w:val="none" w:sz="0" w:space="0" w:color="auto"/>
            <w:right w:val="none" w:sz="0" w:space="0" w:color="auto"/>
          </w:divBdr>
          <w:divsChild>
            <w:div w:id="611129143">
              <w:marLeft w:val="0"/>
              <w:marRight w:val="0"/>
              <w:marTop w:val="0"/>
              <w:marBottom w:val="0"/>
              <w:divBdr>
                <w:top w:val="none" w:sz="0" w:space="0" w:color="auto"/>
                <w:left w:val="none" w:sz="0" w:space="0" w:color="auto"/>
                <w:bottom w:val="none" w:sz="0" w:space="0" w:color="auto"/>
                <w:right w:val="none" w:sz="0" w:space="0" w:color="auto"/>
              </w:divBdr>
              <w:divsChild>
                <w:div w:id="1325276203">
                  <w:marLeft w:val="0"/>
                  <w:marRight w:val="0"/>
                  <w:marTop w:val="0"/>
                  <w:marBottom w:val="0"/>
                  <w:divBdr>
                    <w:top w:val="none" w:sz="0" w:space="0" w:color="auto"/>
                    <w:left w:val="none" w:sz="0" w:space="0" w:color="auto"/>
                    <w:bottom w:val="none" w:sz="0" w:space="0" w:color="auto"/>
                    <w:right w:val="none" w:sz="0" w:space="0" w:color="auto"/>
                  </w:divBdr>
                  <w:divsChild>
                    <w:div w:id="16613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034718">
      <w:bodyDiv w:val="1"/>
      <w:marLeft w:val="0"/>
      <w:marRight w:val="0"/>
      <w:marTop w:val="0"/>
      <w:marBottom w:val="0"/>
      <w:divBdr>
        <w:top w:val="none" w:sz="0" w:space="0" w:color="auto"/>
        <w:left w:val="none" w:sz="0" w:space="0" w:color="auto"/>
        <w:bottom w:val="none" w:sz="0" w:space="0" w:color="auto"/>
        <w:right w:val="none" w:sz="0" w:space="0" w:color="auto"/>
      </w:divBdr>
    </w:div>
    <w:div w:id="672336708">
      <w:bodyDiv w:val="1"/>
      <w:marLeft w:val="0"/>
      <w:marRight w:val="0"/>
      <w:marTop w:val="0"/>
      <w:marBottom w:val="0"/>
      <w:divBdr>
        <w:top w:val="none" w:sz="0" w:space="0" w:color="auto"/>
        <w:left w:val="none" w:sz="0" w:space="0" w:color="auto"/>
        <w:bottom w:val="none" w:sz="0" w:space="0" w:color="auto"/>
        <w:right w:val="none" w:sz="0" w:space="0" w:color="auto"/>
      </w:divBdr>
    </w:div>
    <w:div w:id="685710009">
      <w:bodyDiv w:val="1"/>
      <w:marLeft w:val="0"/>
      <w:marRight w:val="0"/>
      <w:marTop w:val="0"/>
      <w:marBottom w:val="0"/>
      <w:divBdr>
        <w:top w:val="none" w:sz="0" w:space="0" w:color="auto"/>
        <w:left w:val="none" w:sz="0" w:space="0" w:color="auto"/>
        <w:bottom w:val="none" w:sz="0" w:space="0" w:color="auto"/>
        <w:right w:val="none" w:sz="0" w:space="0" w:color="auto"/>
      </w:divBdr>
    </w:div>
    <w:div w:id="703792586">
      <w:bodyDiv w:val="1"/>
      <w:marLeft w:val="0"/>
      <w:marRight w:val="0"/>
      <w:marTop w:val="0"/>
      <w:marBottom w:val="0"/>
      <w:divBdr>
        <w:top w:val="none" w:sz="0" w:space="0" w:color="auto"/>
        <w:left w:val="none" w:sz="0" w:space="0" w:color="auto"/>
        <w:bottom w:val="none" w:sz="0" w:space="0" w:color="auto"/>
        <w:right w:val="none" w:sz="0" w:space="0" w:color="auto"/>
      </w:divBdr>
    </w:div>
    <w:div w:id="708534275">
      <w:bodyDiv w:val="1"/>
      <w:marLeft w:val="0"/>
      <w:marRight w:val="0"/>
      <w:marTop w:val="0"/>
      <w:marBottom w:val="0"/>
      <w:divBdr>
        <w:top w:val="none" w:sz="0" w:space="0" w:color="auto"/>
        <w:left w:val="none" w:sz="0" w:space="0" w:color="auto"/>
        <w:bottom w:val="none" w:sz="0" w:space="0" w:color="auto"/>
        <w:right w:val="none" w:sz="0" w:space="0" w:color="auto"/>
      </w:divBdr>
    </w:div>
    <w:div w:id="719600297">
      <w:bodyDiv w:val="1"/>
      <w:marLeft w:val="0"/>
      <w:marRight w:val="0"/>
      <w:marTop w:val="0"/>
      <w:marBottom w:val="0"/>
      <w:divBdr>
        <w:top w:val="none" w:sz="0" w:space="0" w:color="auto"/>
        <w:left w:val="none" w:sz="0" w:space="0" w:color="auto"/>
        <w:bottom w:val="none" w:sz="0" w:space="0" w:color="auto"/>
        <w:right w:val="none" w:sz="0" w:space="0" w:color="auto"/>
      </w:divBdr>
    </w:div>
    <w:div w:id="728387164">
      <w:bodyDiv w:val="1"/>
      <w:marLeft w:val="0"/>
      <w:marRight w:val="0"/>
      <w:marTop w:val="0"/>
      <w:marBottom w:val="0"/>
      <w:divBdr>
        <w:top w:val="none" w:sz="0" w:space="0" w:color="auto"/>
        <w:left w:val="none" w:sz="0" w:space="0" w:color="auto"/>
        <w:bottom w:val="none" w:sz="0" w:space="0" w:color="auto"/>
        <w:right w:val="none" w:sz="0" w:space="0" w:color="auto"/>
      </w:divBdr>
      <w:divsChild>
        <w:div w:id="1056392338">
          <w:marLeft w:val="0"/>
          <w:marRight w:val="0"/>
          <w:marTop w:val="0"/>
          <w:marBottom w:val="0"/>
          <w:divBdr>
            <w:top w:val="none" w:sz="0" w:space="0" w:color="auto"/>
            <w:left w:val="none" w:sz="0" w:space="0" w:color="auto"/>
            <w:bottom w:val="none" w:sz="0" w:space="0" w:color="auto"/>
            <w:right w:val="none" w:sz="0" w:space="0" w:color="auto"/>
          </w:divBdr>
          <w:divsChild>
            <w:div w:id="1602378249">
              <w:marLeft w:val="0"/>
              <w:marRight w:val="0"/>
              <w:marTop w:val="0"/>
              <w:marBottom w:val="0"/>
              <w:divBdr>
                <w:top w:val="none" w:sz="0" w:space="0" w:color="auto"/>
                <w:left w:val="none" w:sz="0" w:space="0" w:color="auto"/>
                <w:bottom w:val="none" w:sz="0" w:space="0" w:color="auto"/>
                <w:right w:val="none" w:sz="0" w:space="0" w:color="auto"/>
              </w:divBdr>
              <w:divsChild>
                <w:div w:id="933128785">
                  <w:marLeft w:val="0"/>
                  <w:marRight w:val="0"/>
                  <w:marTop w:val="0"/>
                  <w:marBottom w:val="0"/>
                  <w:divBdr>
                    <w:top w:val="none" w:sz="0" w:space="0" w:color="auto"/>
                    <w:left w:val="none" w:sz="0" w:space="0" w:color="auto"/>
                    <w:bottom w:val="none" w:sz="0" w:space="0" w:color="auto"/>
                    <w:right w:val="none" w:sz="0" w:space="0" w:color="auto"/>
                  </w:divBdr>
                  <w:divsChild>
                    <w:div w:id="33037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514117">
      <w:bodyDiv w:val="1"/>
      <w:marLeft w:val="0"/>
      <w:marRight w:val="0"/>
      <w:marTop w:val="0"/>
      <w:marBottom w:val="0"/>
      <w:divBdr>
        <w:top w:val="none" w:sz="0" w:space="0" w:color="auto"/>
        <w:left w:val="none" w:sz="0" w:space="0" w:color="auto"/>
        <w:bottom w:val="none" w:sz="0" w:space="0" w:color="auto"/>
        <w:right w:val="none" w:sz="0" w:space="0" w:color="auto"/>
      </w:divBdr>
    </w:div>
    <w:div w:id="747964889">
      <w:bodyDiv w:val="1"/>
      <w:marLeft w:val="0"/>
      <w:marRight w:val="0"/>
      <w:marTop w:val="0"/>
      <w:marBottom w:val="0"/>
      <w:divBdr>
        <w:top w:val="none" w:sz="0" w:space="0" w:color="auto"/>
        <w:left w:val="none" w:sz="0" w:space="0" w:color="auto"/>
        <w:bottom w:val="none" w:sz="0" w:space="0" w:color="auto"/>
        <w:right w:val="none" w:sz="0" w:space="0" w:color="auto"/>
      </w:divBdr>
    </w:div>
    <w:div w:id="748312091">
      <w:bodyDiv w:val="1"/>
      <w:marLeft w:val="0"/>
      <w:marRight w:val="0"/>
      <w:marTop w:val="0"/>
      <w:marBottom w:val="0"/>
      <w:divBdr>
        <w:top w:val="none" w:sz="0" w:space="0" w:color="auto"/>
        <w:left w:val="none" w:sz="0" w:space="0" w:color="auto"/>
        <w:bottom w:val="none" w:sz="0" w:space="0" w:color="auto"/>
        <w:right w:val="none" w:sz="0" w:space="0" w:color="auto"/>
      </w:divBdr>
      <w:divsChild>
        <w:div w:id="387724359">
          <w:marLeft w:val="0"/>
          <w:marRight w:val="0"/>
          <w:marTop w:val="0"/>
          <w:marBottom w:val="0"/>
          <w:divBdr>
            <w:top w:val="none" w:sz="0" w:space="0" w:color="auto"/>
            <w:left w:val="none" w:sz="0" w:space="0" w:color="auto"/>
            <w:bottom w:val="none" w:sz="0" w:space="0" w:color="auto"/>
            <w:right w:val="none" w:sz="0" w:space="0" w:color="auto"/>
          </w:divBdr>
        </w:div>
        <w:div w:id="492451786">
          <w:marLeft w:val="0"/>
          <w:marRight w:val="0"/>
          <w:marTop w:val="0"/>
          <w:marBottom w:val="0"/>
          <w:divBdr>
            <w:top w:val="none" w:sz="0" w:space="0" w:color="auto"/>
            <w:left w:val="none" w:sz="0" w:space="0" w:color="auto"/>
            <w:bottom w:val="none" w:sz="0" w:space="0" w:color="auto"/>
            <w:right w:val="none" w:sz="0" w:space="0" w:color="auto"/>
          </w:divBdr>
        </w:div>
        <w:div w:id="571156938">
          <w:marLeft w:val="0"/>
          <w:marRight w:val="0"/>
          <w:marTop w:val="0"/>
          <w:marBottom w:val="0"/>
          <w:divBdr>
            <w:top w:val="none" w:sz="0" w:space="0" w:color="auto"/>
            <w:left w:val="none" w:sz="0" w:space="0" w:color="auto"/>
            <w:bottom w:val="none" w:sz="0" w:space="0" w:color="auto"/>
            <w:right w:val="none" w:sz="0" w:space="0" w:color="auto"/>
          </w:divBdr>
        </w:div>
        <w:div w:id="822501033">
          <w:marLeft w:val="0"/>
          <w:marRight w:val="0"/>
          <w:marTop w:val="0"/>
          <w:marBottom w:val="0"/>
          <w:divBdr>
            <w:top w:val="none" w:sz="0" w:space="0" w:color="auto"/>
            <w:left w:val="none" w:sz="0" w:space="0" w:color="auto"/>
            <w:bottom w:val="none" w:sz="0" w:space="0" w:color="auto"/>
            <w:right w:val="none" w:sz="0" w:space="0" w:color="auto"/>
          </w:divBdr>
        </w:div>
        <w:div w:id="1005860805">
          <w:marLeft w:val="0"/>
          <w:marRight w:val="0"/>
          <w:marTop w:val="0"/>
          <w:marBottom w:val="0"/>
          <w:divBdr>
            <w:top w:val="none" w:sz="0" w:space="0" w:color="auto"/>
            <w:left w:val="none" w:sz="0" w:space="0" w:color="auto"/>
            <w:bottom w:val="none" w:sz="0" w:space="0" w:color="auto"/>
            <w:right w:val="none" w:sz="0" w:space="0" w:color="auto"/>
          </w:divBdr>
        </w:div>
        <w:div w:id="1362903377">
          <w:marLeft w:val="0"/>
          <w:marRight w:val="0"/>
          <w:marTop w:val="0"/>
          <w:marBottom w:val="0"/>
          <w:divBdr>
            <w:top w:val="none" w:sz="0" w:space="0" w:color="auto"/>
            <w:left w:val="none" w:sz="0" w:space="0" w:color="auto"/>
            <w:bottom w:val="none" w:sz="0" w:space="0" w:color="auto"/>
            <w:right w:val="none" w:sz="0" w:space="0" w:color="auto"/>
          </w:divBdr>
        </w:div>
        <w:div w:id="1380937585">
          <w:marLeft w:val="0"/>
          <w:marRight w:val="0"/>
          <w:marTop w:val="0"/>
          <w:marBottom w:val="0"/>
          <w:divBdr>
            <w:top w:val="none" w:sz="0" w:space="0" w:color="auto"/>
            <w:left w:val="none" w:sz="0" w:space="0" w:color="auto"/>
            <w:bottom w:val="none" w:sz="0" w:space="0" w:color="auto"/>
            <w:right w:val="none" w:sz="0" w:space="0" w:color="auto"/>
          </w:divBdr>
        </w:div>
        <w:div w:id="1389576052">
          <w:marLeft w:val="0"/>
          <w:marRight w:val="0"/>
          <w:marTop w:val="0"/>
          <w:marBottom w:val="0"/>
          <w:divBdr>
            <w:top w:val="none" w:sz="0" w:space="0" w:color="auto"/>
            <w:left w:val="none" w:sz="0" w:space="0" w:color="auto"/>
            <w:bottom w:val="none" w:sz="0" w:space="0" w:color="auto"/>
            <w:right w:val="none" w:sz="0" w:space="0" w:color="auto"/>
          </w:divBdr>
        </w:div>
        <w:div w:id="1427578832">
          <w:marLeft w:val="0"/>
          <w:marRight w:val="0"/>
          <w:marTop w:val="0"/>
          <w:marBottom w:val="0"/>
          <w:divBdr>
            <w:top w:val="none" w:sz="0" w:space="0" w:color="auto"/>
            <w:left w:val="none" w:sz="0" w:space="0" w:color="auto"/>
            <w:bottom w:val="none" w:sz="0" w:space="0" w:color="auto"/>
            <w:right w:val="none" w:sz="0" w:space="0" w:color="auto"/>
          </w:divBdr>
        </w:div>
        <w:div w:id="1689519904">
          <w:marLeft w:val="0"/>
          <w:marRight w:val="0"/>
          <w:marTop w:val="0"/>
          <w:marBottom w:val="0"/>
          <w:divBdr>
            <w:top w:val="none" w:sz="0" w:space="0" w:color="auto"/>
            <w:left w:val="none" w:sz="0" w:space="0" w:color="auto"/>
            <w:bottom w:val="none" w:sz="0" w:space="0" w:color="auto"/>
            <w:right w:val="none" w:sz="0" w:space="0" w:color="auto"/>
          </w:divBdr>
        </w:div>
        <w:div w:id="1767532502">
          <w:marLeft w:val="0"/>
          <w:marRight w:val="0"/>
          <w:marTop w:val="0"/>
          <w:marBottom w:val="0"/>
          <w:divBdr>
            <w:top w:val="none" w:sz="0" w:space="0" w:color="auto"/>
            <w:left w:val="none" w:sz="0" w:space="0" w:color="auto"/>
            <w:bottom w:val="none" w:sz="0" w:space="0" w:color="auto"/>
            <w:right w:val="none" w:sz="0" w:space="0" w:color="auto"/>
          </w:divBdr>
        </w:div>
        <w:div w:id="1854221602">
          <w:marLeft w:val="0"/>
          <w:marRight w:val="0"/>
          <w:marTop w:val="0"/>
          <w:marBottom w:val="0"/>
          <w:divBdr>
            <w:top w:val="none" w:sz="0" w:space="0" w:color="auto"/>
            <w:left w:val="none" w:sz="0" w:space="0" w:color="auto"/>
            <w:bottom w:val="none" w:sz="0" w:space="0" w:color="auto"/>
            <w:right w:val="none" w:sz="0" w:space="0" w:color="auto"/>
          </w:divBdr>
        </w:div>
        <w:div w:id="1990207043">
          <w:marLeft w:val="0"/>
          <w:marRight w:val="0"/>
          <w:marTop w:val="0"/>
          <w:marBottom w:val="0"/>
          <w:divBdr>
            <w:top w:val="none" w:sz="0" w:space="0" w:color="auto"/>
            <w:left w:val="none" w:sz="0" w:space="0" w:color="auto"/>
            <w:bottom w:val="none" w:sz="0" w:space="0" w:color="auto"/>
            <w:right w:val="none" w:sz="0" w:space="0" w:color="auto"/>
          </w:divBdr>
        </w:div>
      </w:divsChild>
    </w:div>
    <w:div w:id="754667130">
      <w:bodyDiv w:val="1"/>
      <w:marLeft w:val="0"/>
      <w:marRight w:val="0"/>
      <w:marTop w:val="0"/>
      <w:marBottom w:val="0"/>
      <w:divBdr>
        <w:top w:val="none" w:sz="0" w:space="0" w:color="auto"/>
        <w:left w:val="none" w:sz="0" w:space="0" w:color="auto"/>
        <w:bottom w:val="none" w:sz="0" w:space="0" w:color="auto"/>
        <w:right w:val="none" w:sz="0" w:space="0" w:color="auto"/>
      </w:divBdr>
      <w:divsChild>
        <w:div w:id="771365040">
          <w:marLeft w:val="0"/>
          <w:marRight w:val="0"/>
          <w:marTop w:val="0"/>
          <w:marBottom w:val="0"/>
          <w:divBdr>
            <w:top w:val="none" w:sz="0" w:space="0" w:color="auto"/>
            <w:left w:val="none" w:sz="0" w:space="0" w:color="auto"/>
            <w:bottom w:val="none" w:sz="0" w:space="0" w:color="auto"/>
            <w:right w:val="none" w:sz="0" w:space="0" w:color="auto"/>
          </w:divBdr>
          <w:divsChild>
            <w:div w:id="1774133912">
              <w:marLeft w:val="0"/>
              <w:marRight w:val="0"/>
              <w:marTop w:val="0"/>
              <w:marBottom w:val="0"/>
              <w:divBdr>
                <w:top w:val="none" w:sz="0" w:space="0" w:color="auto"/>
                <w:left w:val="none" w:sz="0" w:space="0" w:color="auto"/>
                <w:bottom w:val="none" w:sz="0" w:space="0" w:color="auto"/>
                <w:right w:val="none" w:sz="0" w:space="0" w:color="auto"/>
              </w:divBdr>
              <w:divsChild>
                <w:div w:id="63544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5468">
      <w:bodyDiv w:val="1"/>
      <w:marLeft w:val="0"/>
      <w:marRight w:val="0"/>
      <w:marTop w:val="0"/>
      <w:marBottom w:val="0"/>
      <w:divBdr>
        <w:top w:val="none" w:sz="0" w:space="0" w:color="auto"/>
        <w:left w:val="none" w:sz="0" w:space="0" w:color="auto"/>
        <w:bottom w:val="none" w:sz="0" w:space="0" w:color="auto"/>
        <w:right w:val="none" w:sz="0" w:space="0" w:color="auto"/>
      </w:divBdr>
      <w:divsChild>
        <w:div w:id="25377069">
          <w:marLeft w:val="0"/>
          <w:marRight w:val="0"/>
          <w:marTop w:val="0"/>
          <w:marBottom w:val="0"/>
          <w:divBdr>
            <w:top w:val="none" w:sz="0" w:space="0" w:color="auto"/>
            <w:left w:val="none" w:sz="0" w:space="0" w:color="auto"/>
            <w:bottom w:val="none" w:sz="0" w:space="0" w:color="auto"/>
            <w:right w:val="none" w:sz="0" w:space="0" w:color="auto"/>
          </w:divBdr>
        </w:div>
        <w:div w:id="214314877">
          <w:marLeft w:val="0"/>
          <w:marRight w:val="0"/>
          <w:marTop w:val="0"/>
          <w:marBottom w:val="0"/>
          <w:divBdr>
            <w:top w:val="none" w:sz="0" w:space="0" w:color="auto"/>
            <w:left w:val="none" w:sz="0" w:space="0" w:color="auto"/>
            <w:bottom w:val="none" w:sz="0" w:space="0" w:color="auto"/>
            <w:right w:val="none" w:sz="0" w:space="0" w:color="auto"/>
          </w:divBdr>
        </w:div>
        <w:div w:id="317224089">
          <w:marLeft w:val="0"/>
          <w:marRight w:val="0"/>
          <w:marTop w:val="0"/>
          <w:marBottom w:val="0"/>
          <w:divBdr>
            <w:top w:val="none" w:sz="0" w:space="0" w:color="auto"/>
            <w:left w:val="none" w:sz="0" w:space="0" w:color="auto"/>
            <w:bottom w:val="none" w:sz="0" w:space="0" w:color="auto"/>
            <w:right w:val="none" w:sz="0" w:space="0" w:color="auto"/>
          </w:divBdr>
        </w:div>
        <w:div w:id="508519350">
          <w:marLeft w:val="0"/>
          <w:marRight w:val="0"/>
          <w:marTop w:val="0"/>
          <w:marBottom w:val="0"/>
          <w:divBdr>
            <w:top w:val="none" w:sz="0" w:space="0" w:color="auto"/>
            <w:left w:val="none" w:sz="0" w:space="0" w:color="auto"/>
            <w:bottom w:val="none" w:sz="0" w:space="0" w:color="auto"/>
            <w:right w:val="none" w:sz="0" w:space="0" w:color="auto"/>
          </w:divBdr>
        </w:div>
        <w:div w:id="858851853">
          <w:marLeft w:val="0"/>
          <w:marRight w:val="0"/>
          <w:marTop w:val="0"/>
          <w:marBottom w:val="0"/>
          <w:divBdr>
            <w:top w:val="none" w:sz="0" w:space="0" w:color="auto"/>
            <w:left w:val="none" w:sz="0" w:space="0" w:color="auto"/>
            <w:bottom w:val="none" w:sz="0" w:space="0" w:color="auto"/>
            <w:right w:val="none" w:sz="0" w:space="0" w:color="auto"/>
          </w:divBdr>
        </w:div>
        <w:div w:id="966474523">
          <w:marLeft w:val="0"/>
          <w:marRight w:val="0"/>
          <w:marTop w:val="0"/>
          <w:marBottom w:val="0"/>
          <w:divBdr>
            <w:top w:val="none" w:sz="0" w:space="0" w:color="auto"/>
            <w:left w:val="none" w:sz="0" w:space="0" w:color="auto"/>
            <w:bottom w:val="none" w:sz="0" w:space="0" w:color="auto"/>
            <w:right w:val="none" w:sz="0" w:space="0" w:color="auto"/>
          </w:divBdr>
        </w:div>
        <w:div w:id="1124348044">
          <w:marLeft w:val="0"/>
          <w:marRight w:val="0"/>
          <w:marTop w:val="0"/>
          <w:marBottom w:val="0"/>
          <w:divBdr>
            <w:top w:val="none" w:sz="0" w:space="0" w:color="auto"/>
            <w:left w:val="none" w:sz="0" w:space="0" w:color="auto"/>
            <w:bottom w:val="none" w:sz="0" w:space="0" w:color="auto"/>
            <w:right w:val="none" w:sz="0" w:space="0" w:color="auto"/>
          </w:divBdr>
        </w:div>
        <w:div w:id="1891381572">
          <w:marLeft w:val="0"/>
          <w:marRight w:val="0"/>
          <w:marTop w:val="0"/>
          <w:marBottom w:val="0"/>
          <w:divBdr>
            <w:top w:val="none" w:sz="0" w:space="0" w:color="auto"/>
            <w:left w:val="none" w:sz="0" w:space="0" w:color="auto"/>
            <w:bottom w:val="none" w:sz="0" w:space="0" w:color="auto"/>
            <w:right w:val="none" w:sz="0" w:space="0" w:color="auto"/>
          </w:divBdr>
        </w:div>
        <w:div w:id="1988239350">
          <w:marLeft w:val="0"/>
          <w:marRight w:val="0"/>
          <w:marTop w:val="0"/>
          <w:marBottom w:val="0"/>
          <w:divBdr>
            <w:top w:val="none" w:sz="0" w:space="0" w:color="auto"/>
            <w:left w:val="none" w:sz="0" w:space="0" w:color="auto"/>
            <w:bottom w:val="none" w:sz="0" w:space="0" w:color="auto"/>
            <w:right w:val="none" w:sz="0" w:space="0" w:color="auto"/>
          </w:divBdr>
        </w:div>
      </w:divsChild>
    </w:div>
    <w:div w:id="763767875">
      <w:bodyDiv w:val="1"/>
      <w:marLeft w:val="0"/>
      <w:marRight w:val="0"/>
      <w:marTop w:val="0"/>
      <w:marBottom w:val="0"/>
      <w:divBdr>
        <w:top w:val="none" w:sz="0" w:space="0" w:color="auto"/>
        <w:left w:val="none" w:sz="0" w:space="0" w:color="auto"/>
        <w:bottom w:val="none" w:sz="0" w:space="0" w:color="auto"/>
        <w:right w:val="none" w:sz="0" w:space="0" w:color="auto"/>
      </w:divBdr>
    </w:div>
    <w:div w:id="781339136">
      <w:bodyDiv w:val="1"/>
      <w:marLeft w:val="0"/>
      <w:marRight w:val="0"/>
      <w:marTop w:val="0"/>
      <w:marBottom w:val="0"/>
      <w:divBdr>
        <w:top w:val="none" w:sz="0" w:space="0" w:color="auto"/>
        <w:left w:val="none" w:sz="0" w:space="0" w:color="auto"/>
        <w:bottom w:val="none" w:sz="0" w:space="0" w:color="auto"/>
        <w:right w:val="none" w:sz="0" w:space="0" w:color="auto"/>
      </w:divBdr>
    </w:div>
    <w:div w:id="785586104">
      <w:bodyDiv w:val="1"/>
      <w:marLeft w:val="0"/>
      <w:marRight w:val="0"/>
      <w:marTop w:val="0"/>
      <w:marBottom w:val="0"/>
      <w:divBdr>
        <w:top w:val="none" w:sz="0" w:space="0" w:color="auto"/>
        <w:left w:val="none" w:sz="0" w:space="0" w:color="auto"/>
        <w:bottom w:val="none" w:sz="0" w:space="0" w:color="auto"/>
        <w:right w:val="none" w:sz="0" w:space="0" w:color="auto"/>
      </w:divBdr>
    </w:div>
    <w:div w:id="789859289">
      <w:bodyDiv w:val="1"/>
      <w:marLeft w:val="0"/>
      <w:marRight w:val="0"/>
      <w:marTop w:val="0"/>
      <w:marBottom w:val="0"/>
      <w:divBdr>
        <w:top w:val="none" w:sz="0" w:space="0" w:color="auto"/>
        <w:left w:val="none" w:sz="0" w:space="0" w:color="auto"/>
        <w:bottom w:val="none" w:sz="0" w:space="0" w:color="auto"/>
        <w:right w:val="none" w:sz="0" w:space="0" w:color="auto"/>
      </w:divBdr>
      <w:divsChild>
        <w:div w:id="390888488">
          <w:marLeft w:val="0"/>
          <w:marRight w:val="0"/>
          <w:marTop w:val="0"/>
          <w:marBottom w:val="0"/>
          <w:divBdr>
            <w:top w:val="none" w:sz="0" w:space="0" w:color="auto"/>
            <w:left w:val="none" w:sz="0" w:space="0" w:color="auto"/>
            <w:bottom w:val="none" w:sz="0" w:space="0" w:color="auto"/>
            <w:right w:val="none" w:sz="0" w:space="0" w:color="auto"/>
          </w:divBdr>
          <w:divsChild>
            <w:div w:id="2107074624">
              <w:marLeft w:val="0"/>
              <w:marRight w:val="0"/>
              <w:marTop w:val="0"/>
              <w:marBottom w:val="0"/>
              <w:divBdr>
                <w:top w:val="none" w:sz="0" w:space="0" w:color="auto"/>
                <w:left w:val="none" w:sz="0" w:space="0" w:color="auto"/>
                <w:bottom w:val="none" w:sz="0" w:space="0" w:color="auto"/>
                <w:right w:val="none" w:sz="0" w:space="0" w:color="auto"/>
              </w:divBdr>
              <w:divsChild>
                <w:div w:id="677998490">
                  <w:marLeft w:val="0"/>
                  <w:marRight w:val="0"/>
                  <w:marTop w:val="0"/>
                  <w:marBottom w:val="0"/>
                  <w:divBdr>
                    <w:top w:val="none" w:sz="0" w:space="0" w:color="auto"/>
                    <w:left w:val="none" w:sz="0" w:space="0" w:color="auto"/>
                    <w:bottom w:val="none" w:sz="0" w:space="0" w:color="auto"/>
                    <w:right w:val="none" w:sz="0" w:space="0" w:color="auto"/>
                  </w:divBdr>
                  <w:divsChild>
                    <w:div w:id="117900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653226">
      <w:bodyDiv w:val="1"/>
      <w:marLeft w:val="0"/>
      <w:marRight w:val="0"/>
      <w:marTop w:val="0"/>
      <w:marBottom w:val="0"/>
      <w:divBdr>
        <w:top w:val="none" w:sz="0" w:space="0" w:color="auto"/>
        <w:left w:val="none" w:sz="0" w:space="0" w:color="auto"/>
        <w:bottom w:val="none" w:sz="0" w:space="0" w:color="auto"/>
        <w:right w:val="none" w:sz="0" w:space="0" w:color="auto"/>
      </w:divBdr>
    </w:div>
    <w:div w:id="821195500">
      <w:bodyDiv w:val="1"/>
      <w:marLeft w:val="0"/>
      <w:marRight w:val="0"/>
      <w:marTop w:val="0"/>
      <w:marBottom w:val="0"/>
      <w:divBdr>
        <w:top w:val="none" w:sz="0" w:space="0" w:color="auto"/>
        <w:left w:val="none" w:sz="0" w:space="0" w:color="auto"/>
        <w:bottom w:val="none" w:sz="0" w:space="0" w:color="auto"/>
        <w:right w:val="none" w:sz="0" w:space="0" w:color="auto"/>
      </w:divBdr>
    </w:div>
    <w:div w:id="831338231">
      <w:bodyDiv w:val="1"/>
      <w:marLeft w:val="0"/>
      <w:marRight w:val="0"/>
      <w:marTop w:val="0"/>
      <w:marBottom w:val="0"/>
      <w:divBdr>
        <w:top w:val="none" w:sz="0" w:space="0" w:color="auto"/>
        <w:left w:val="none" w:sz="0" w:space="0" w:color="auto"/>
        <w:bottom w:val="none" w:sz="0" w:space="0" w:color="auto"/>
        <w:right w:val="none" w:sz="0" w:space="0" w:color="auto"/>
      </w:divBdr>
      <w:divsChild>
        <w:div w:id="1734506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953137">
              <w:marLeft w:val="0"/>
              <w:marRight w:val="0"/>
              <w:marTop w:val="0"/>
              <w:marBottom w:val="0"/>
              <w:divBdr>
                <w:top w:val="none" w:sz="0" w:space="0" w:color="auto"/>
                <w:left w:val="none" w:sz="0" w:space="0" w:color="auto"/>
                <w:bottom w:val="none" w:sz="0" w:space="0" w:color="auto"/>
                <w:right w:val="none" w:sz="0" w:space="0" w:color="auto"/>
              </w:divBdr>
              <w:divsChild>
                <w:div w:id="164909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56397">
      <w:bodyDiv w:val="1"/>
      <w:marLeft w:val="0"/>
      <w:marRight w:val="0"/>
      <w:marTop w:val="0"/>
      <w:marBottom w:val="0"/>
      <w:divBdr>
        <w:top w:val="none" w:sz="0" w:space="0" w:color="auto"/>
        <w:left w:val="none" w:sz="0" w:space="0" w:color="auto"/>
        <w:bottom w:val="none" w:sz="0" w:space="0" w:color="auto"/>
        <w:right w:val="none" w:sz="0" w:space="0" w:color="auto"/>
      </w:divBdr>
      <w:divsChild>
        <w:div w:id="1188719785">
          <w:marLeft w:val="0"/>
          <w:marRight w:val="0"/>
          <w:marTop w:val="0"/>
          <w:marBottom w:val="0"/>
          <w:divBdr>
            <w:top w:val="none" w:sz="0" w:space="0" w:color="auto"/>
            <w:left w:val="none" w:sz="0" w:space="0" w:color="auto"/>
            <w:bottom w:val="none" w:sz="0" w:space="0" w:color="auto"/>
            <w:right w:val="none" w:sz="0" w:space="0" w:color="auto"/>
          </w:divBdr>
          <w:divsChild>
            <w:div w:id="2136559286">
              <w:marLeft w:val="0"/>
              <w:marRight w:val="0"/>
              <w:marTop w:val="0"/>
              <w:marBottom w:val="0"/>
              <w:divBdr>
                <w:top w:val="none" w:sz="0" w:space="0" w:color="auto"/>
                <w:left w:val="none" w:sz="0" w:space="0" w:color="auto"/>
                <w:bottom w:val="none" w:sz="0" w:space="0" w:color="auto"/>
                <w:right w:val="none" w:sz="0" w:space="0" w:color="auto"/>
              </w:divBdr>
              <w:divsChild>
                <w:div w:id="39238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216085">
      <w:bodyDiv w:val="1"/>
      <w:marLeft w:val="0"/>
      <w:marRight w:val="0"/>
      <w:marTop w:val="0"/>
      <w:marBottom w:val="0"/>
      <w:divBdr>
        <w:top w:val="none" w:sz="0" w:space="0" w:color="auto"/>
        <w:left w:val="none" w:sz="0" w:space="0" w:color="auto"/>
        <w:bottom w:val="none" w:sz="0" w:space="0" w:color="auto"/>
        <w:right w:val="none" w:sz="0" w:space="0" w:color="auto"/>
      </w:divBdr>
    </w:div>
    <w:div w:id="867136965">
      <w:bodyDiv w:val="1"/>
      <w:marLeft w:val="0"/>
      <w:marRight w:val="0"/>
      <w:marTop w:val="0"/>
      <w:marBottom w:val="0"/>
      <w:divBdr>
        <w:top w:val="none" w:sz="0" w:space="0" w:color="auto"/>
        <w:left w:val="none" w:sz="0" w:space="0" w:color="auto"/>
        <w:bottom w:val="none" w:sz="0" w:space="0" w:color="auto"/>
        <w:right w:val="none" w:sz="0" w:space="0" w:color="auto"/>
      </w:divBdr>
      <w:divsChild>
        <w:div w:id="69543820">
          <w:marLeft w:val="0"/>
          <w:marRight w:val="0"/>
          <w:marTop w:val="0"/>
          <w:marBottom w:val="0"/>
          <w:divBdr>
            <w:top w:val="none" w:sz="0" w:space="0" w:color="auto"/>
            <w:left w:val="none" w:sz="0" w:space="0" w:color="auto"/>
            <w:bottom w:val="none" w:sz="0" w:space="0" w:color="auto"/>
            <w:right w:val="none" w:sz="0" w:space="0" w:color="auto"/>
          </w:divBdr>
          <w:divsChild>
            <w:div w:id="1155533241">
              <w:marLeft w:val="0"/>
              <w:marRight w:val="0"/>
              <w:marTop w:val="0"/>
              <w:marBottom w:val="0"/>
              <w:divBdr>
                <w:top w:val="none" w:sz="0" w:space="0" w:color="auto"/>
                <w:left w:val="none" w:sz="0" w:space="0" w:color="auto"/>
                <w:bottom w:val="none" w:sz="0" w:space="0" w:color="auto"/>
                <w:right w:val="none" w:sz="0" w:space="0" w:color="auto"/>
              </w:divBdr>
              <w:divsChild>
                <w:div w:id="172440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89872">
      <w:bodyDiv w:val="1"/>
      <w:marLeft w:val="0"/>
      <w:marRight w:val="0"/>
      <w:marTop w:val="0"/>
      <w:marBottom w:val="0"/>
      <w:divBdr>
        <w:top w:val="none" w:sz="0" w:space="0" w:color="auto"/>
        <w:left w:val="none" w:sz="0" w:space="0" w:color="auto"/>
        <w:bottom w:val="none" w:sz="0" w:space="0" w:color="auto"/>
        <w:right w:val="none" w:sz="0" w:space="0" w:color="auto"/>
      </w:divBdr>
    </w:div>
    <w:div w:id="915480947">
      <w:bodyDiv w:val="1"/>
      <w:marLeft w:val="0"/>
      <w:marRight w:val="0"/>
      <w:marTop w:val="0"/>
      <w:marBottom w:val="0"/>
      <w:divBdr>
        <w:top w:val="none" w:sz="0" w:space="0" w:color="auto"/>
        <w:left w:val="none" w:sz="0" w:space="0" w:color="auto"/>
        <w:bottom w:val="none" w:sz="0" w:space="0" w:color="auto"/>
        <w:right w:val="none" w:sz="0" w:space="0" w:color="auto"/>
      </w:divBdr>
      <w:divsChild>
        <w:div w:id="372385109">
          <w:marLeft w:val="0"/>
          <w:marRight w:val="0"/>
          <w:marTop w:val="0"/>
          <w:marBottom w:val="0"/>
          <w:divBdr>
            <w:top w:val="none" w:sz="0" w:space="0" w:color="auto"/>
            <w:left w:val="none" w:sz="0" w:space="0" w:color="auto"/>
            <w:bottom w:val="none" w:sz="0" w:space="0" w:color="auto"/>
            <w:right w:val="none" w:sz="0" w:space="0" w:color="auto"/>
          </w:divBdr>
          <w:divsChild>
            <w:div w:id="885868643">
              <w:marLeft w:val="0"/>
              <w:marRight w:val="0"/>
              <w:marTop w:val="0"/>
              <w:marBottom w:val="0"/>
              <w:divBdr>
                <w:top w:val="none" w:sz="0" w:space="0" w:color="auto"/>
                <w:left w:val="none" w:sz="0" w:space="0" w:color="auto"/>
                <w:bottom w:val="none" w:sz="0" w:space="0" w:color="auto"/>
                <w:right w:val="none" w:sz="0" w:space="0" w:color="auto"/>
              </w:divBdr>
              <w:divsChild>
                <w:div w:id="49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879970">
      <w:bodyDiv w:val="1"/>
      <w:marLeft w:val="0"/>
      <w:marRight w:val="0"/>
      <w:marTop w:val="0"/>
      <w:marBottom w:val="0"/>
      <w:divBdr>
        <w:top w:val="none" w:sz="0" w:space="0" w:color="auto"/>
        <w:left w:val="none" w:sz="0" w:space="0" w:color="auto"/>
        <w:bottom w:val="none" w:sz="0" w:space="0" w:color="auto"/>
        <w:right w:val="none" w:sz="0" w:space="0" w:color="auto"/>
      </w:divBdr>
      <w:divsChild>
        <w:div w:id="655107953">
          <w:marLeft w:val="0"/>
          <w:marRight w:val="0"/>
          <w:marTop w:val="0"/>
          <w:marBottom w:val="0"/>
          <w:divBdr>
            <w:top w:val="none" w:sz="0" w:space="0" w:color="auto"/>
            <w:left w:val="none" w:sz="0" w:space="0" w:color="auto"/>
            <w:bottom w:val="none" w:sz="0" w:space="0" w:color="auto"/>
            <w:right w:val="none" w:sz="0" w:space="0" w:color="auto"/>
          </w:divBdr>
          <w:divsChild>
            <w:div w:id="2074547309">
              <w:marLeft w:val="0"/>
              <w:marRight w:val="0"/>
              <w:marTop w:val="0"/>
              <w:marBottom w:val="0"/>
              <w:divBdr>
                <w:top w:val="none" w:sz="0" w:space="0" w:color="auto"/>
                <w:left w:val="none" w:sz="0" w:space="0" w:color="auto"/>
                <w:bottom w:val="none" w:sz="0" w:space="0" w:color="auto"/>
                <w:right w:val="none" w:sz="0" w:space="0" w:color="auto"/>
              </w:divBdr>
              <w:divsChild>
                <w:div w:id="1315065171">
                  <w:marLeft w:val="0"/>
                  <w:marRight w:val="0"/>
                  <w:marTop w:val="0"/>
                  <w:marBottom w:val="0"/>
                  <w:divBdr>
                    <w:top w:val="none" w:sz="0" w:space="0" w:color="auto"/>
                    <w:left w:val="none" w:sz="0" w:space="0" w:color="auto"/>
                    <w:bottom w:val="none" w:sz="0" w:space="0" w:color="auto"/>
                    <w:right w:val="none" w:sz="0" w:space="0" w:color="auto"/>
                  </w:divBdr>
                  <w:divsChild>
                    <w:div w:id="6705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32876">
      <w:bodyDiv w:val="1"/>
      <w:marLeft w:val="0"/>
      <w:marRight w:val="0"/>
      <w:marTop w:val="0"/>
      <w:marBottom w:val="0"/>
      <w:divBdr>
        <w:top w:val="none" w:sz="0" w:space="0" w:color="auto"/>
        <w:left w:val="none" w:sz="0" w:space="0" w:color="auto"/>
        <w:bottom w:val="none" w:sz="0" w:space="0" w:color="auto"/>
        <w:right w:val="none" w:sz="0" w:space="0" w:color="auto"/>
      </w:divBdr>
    </w:div>
    <w:div w:id="948853578">
      <w:bodyDiv w:val="1"/>
      <w:marLeft w:val="0"/>
      <w:marRight w:val="0"/>
      <w:marTop w:val="0"/>
      <w:marBottom w:val="0"/>
      <w:divBdr>
        <w:top w:val="none" w:sz="0" w:space="0" w:color="auto"/>
        <w:left w:val="none" w:sz="0" w:space="0" w:color="auto"/>
        <w:bottom w:val="none" w:sz="0" w:space="0" w:color="auto"/>
        <w:right w:val="none" w:sz="0" w:space="0" w:color="auto"/>
      </w:divBdr>
      <w:divsChild>
        <w:div w:id="244337514">
          <w:marLeft w:val="0"/>
          <w:marRight w:val="0"/>
          <w:marTop w:val="0"/>
          <w:marBottom w:val="0"/>
          <w:divBdr>
            <w:top w:val="none" w:sz="0" w:space="0" w:color="auto"/>
            <w:left w:val="none" w:sz="0" w:space="0" w:color="auto"/>
            <w:bottom w:val="none" w:sz="0" w:space="0" w:color="auto"/>
            <w:right w:val="none" w:sz="0" w:space="0" w:color="auto"/>
          </w:divBdr>
          <w:divsChild>
            <w:div w:id="1148523008">
              <w:marLeft w:val="0"/>
              <w:marRight w:val="0"/>
              <w:marTop w:val="0"/>
              <w:marBottom w:val="0"/>
              <w:divBdr>
                <w:top w:val="none" w:sz="0" w:space="0" w:color="auto"/>
                <w:left w:val="none" w:sz="0" w:space="0" w:color="auto"/>
                <w:bottom w:val="none" w:sz="0" w:space="0" w:color="auto"/>
                <w:right w:val="none" w:sz="0" w:space="0" w:color="auto"/>
              </w:divBdr>
              <w:divsChild>
                <w:div w:id="177545543">
                  <w:marLeft w:val="0"/>
                  <w:marRight w:val="0"/>
                  <w:marTop w:val="0"/>
                  <w:marBottom w:val="0"/>
                  <w:divBdr>
                    <w:top w:val="none" w:sz="0" w:space="0" w:color="auto"/>
                    <w:left w:val="none" w:sz="0" w:space="0" w:color="auto"/>
                    <w:bottom w:val="none" w:sz="0" w:space="0" w:color="auto"/>
                    <w:right w:val="none" w:sz="0" w:space="0" w:color="auto"/>
                  </w:divBdr>
                  <w:divsChild>
                    <w:div w:id="21058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487537">
      <w:bodyDiv w:val="1"/>
      <w:marLeft w:val="0"/>
      <w:marRight w:val="0"/>
      <w:marTop w:val="0"/>
      <w:marBottom w:val="0"/>
      <w:divBdr>
        <w:top w:val="none" w:sz="0" w:space="0" w:color="auto"/>
        <w:left w:val="none" w:sz="0" w:space="0" w:color="auto"/>
        <w:bottom w:val="none" w:sz="0" w:space="0" w:color="auto"/>
        <w:right w:val="none" w:sz="0" w:space="0" w:color="auto"/>
      </w:divBdr>
    </w:div>
    <w:div w:id="979919308">
      <w:bodyDiv w:val="1"/>
      <w:marLeft w:val="0"/>
      <w:marRight w:val="0"/>
      <w:marTop w:val="0"/>
      <w:marBottom w:val="0"/>
      <w:divBdr>
        <w:top w:val="none" w:sz="0" w:space="0" w:color="auto"/>
        <w:left w:val="none" w:sz="0" w:space="0" w:color="auto"/>
        <w:bottom w:val="none" w:sz="0" w:space="0" w:color="auto"/>
        <w:right w:val="none" w:sz="0" w:space="0" w:color="auto"/>
      </w:divBdr>
      <w:divsChild>
        <w:div w:id="1293289988">
          <w:marLeft w:val="0"/>
          <w:marRight w:val="0"/>
          <w:marTop w:val="0"/>
          <w:marBottom w:val="0"/>
          <w:divBdr>
            <w:top w:val="none" w:sz="0" w:space="0" w:color="auto"/>
            <w:left w:val="none" w:sz="0" w:space="0" w:color="auto"/>
            <w:bottom w:val="none" w:sz="0" w:space="0" w:color="auto"/>
            <w:right w:val="none" w:sz="0" w:space="0" w:color="auto"/>
          </w:divBdr>
          <w:divsChild>
            <w:div w:id="753356177">
              <w:marLeft w:val="0"/>
              <w:marRight w:val="0"/>
              <w:marTop w:val="0"/>
              <w:marBottom w:val="0"/>
              <w:divBdr>
                <w:top w:val="none" w:sz="0" w:space="0" w:color="auto"/>
                <w:left w:val="none" w:sz="0" w:space="0" w:color="auto"/>
                <w:bottom w:val="none" w:sz="0" w:space="0" w:color="auto"/>
                <w:right w:val="none" w:sz="0" w:space="0" w:color="auto"/>
              </w:divBdr>
              <w:divsChild>
                <w:div w:id="804935494">
                  <w:marLeft w:val="0"/>
                  <w:marRight w:val="0"/>
                  <w:marTop w:val="0"/>
                  <w:marBottom w:val="0"/>
                  <w:divBdr>
                    <w:top w:val="none" w:sz="0" w:space="0" w:color="auto"/>
                    <w:left w:val="none" w:sz="0" w:space="0" w:color="auto"/>
                    <w:bottom w:val="none" w:sz="0" w:space="0" w:color="auto"/>
                    <w:right w:val="none" w:sz="0" w:space="0" w:color="auto"/>
                  </w:divBdr>
                  <w:divsChild>
                    <w:div w:id="21708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975638">
      <w:bodyDiv w:val="1"/>
      <w:marLeft w:val="0"/>
      <w:marRight w:val="0"/>
      <w:marTop w:val="0"/>
      <w:marBottom w:val="0"/>
      <w:divBdr>
        <w:top w:val="none" w:sz="0" w:space="0" w:color="auto"/>
        <w:left w:val="none" w:sz="0" w:space="0" w:color="auto"/>
        <w:bottom w:val="none" w:sz="0" w:space="0" w:color="auto"/>
        <w:right w:val="none" w:sz="0" w:space="0" w:color="auto"/>
      </w:divBdr>
    </w:div>
    <w:div w:id="989020230">
      <w:bodyDiv w:val="1"/>
      <w:marLeft w:val="0"/>
      <w:marRight w:val="0"/>
      <w:marTop w:val="0"/>
      <w:marBottom w:val="0"/>
      <w:divBdr>
        <w:top w:val="none" w:sz="0" w:space="0" w:color="auto"/>
        <w:left w:val="none" w:sz="0" w:space="0" w:color="auto"/>
        <w:bottom w:val="none" w:sz="0" w:space="0" w:color="auto"/>
        <w:right w:val="none" w:sz="0" w:space="0" w:color="auto"/>
      </w:divBdr>
      <w:divsChild>
        <w:div w:id="2132435032">
          <w:marLeft w:val="0"/>
          <w:marRight w:val="0"/>
          <w:marTop w:val="0"/>
          <w:marBottom w:val="0"/>
          <w:divBdr>
            <w:top w:val="none" w:sz="0" w:space="0" w:color="auto"/>
            <w:left w:val="none" w:sz="0" w:space="0" w:color="auto"/>
            <w:bottom w:val="none" w:sz="0" w:space="0" w:color="auto"/>
            <w:right w:val="none" w:sz="0" w:space="0" w:color="auto"/>
          </w:divBdr>
          <w:divsChild>
            <w:div w:id="297999966">
              <w:marLeft w:val="0"/>
              <w:marRight w:val="0"/>
              <w:marTop w:val="0"/>
              <w:marBottom w:val="0"/>
              <w:divBdr>
                <w:top w:val="none" w:sz="0" w:space="0" w:color="auto"/>
                <w:left w:val="none" w:sz="0" w:space="0" w:color="auto"/>
                <w:bottom w:val="none" w:sz="0" w:space="0" w:color="auto"/>
                <w:right w:val="none" w:sz="0" w:space="0" w:color="auto"/>
              </w:divBdr>
              <w:divsChild>
                <w:div w:id="1729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840512">
      <w:bodyDiv w:val="1"/>
      <w:marLeft w:val="0"/>
      <w:marRight w:val="0"/>
      <w:marTop w:val="0"/>
      <w:marBottom w:val="0"/>
      <w:divBdr>
        <w:top w:val="none" w:sz="0" w:space="0" w:color="auto"/>
        <w:left w:val="none" w:sz="0" w:space="0" w:color="auto"/>
        <w:bottom w:val="none" w:sz="0" w:space="0" w:color="auto"/>
        <w:right w:val="none" w:sz="0" w:space="0" w:color="auto"/>
      </w:divBdr>
      <w:divsChild>
        <w:div w:id="552229686">
          <w:marLeft w:val="0"/>
          <w:marRight w:val="0"/>
          <w:marTop w:val="0"/>
          <w:marBottom w:val="0"/>
          <w:divBdr>
            <w:top w:val="none" w:sz="0" w:space="0" w:color="auto"/>
            <w:left w:val="none" w:sz="0" w:space="0" w:color="auto"/>
            <w:bottom w:val="none" w:sz="0" w:space="0" w:color="auto"/>
            <w:right w:val="none" w:sz="0" w:space="0" w:color="auto"/>
          </w:divBdr>
          <w:divsChild>
            <w:div w:id="640813141">
              <w:marLeft w:val="0"/>
              <w:marRight w:val="0"/>
              <w:marTop w:val="0"/>
              <w:marBottom w:val="0"/>
              <w:divBdr>
                <w:top w:val="none" w:sz="0" w:space="0" w:color="auto"/>
                <w:left w:val="none" w:sz="0" w:space="0" w:color="auto"/>
                <w:bottom w:val="none" w:sz="0" w:space="0" w:color="auto"/>
                <w:right w:val="none" w:sz="0" w:space="0" w:color="auto"/>
              </w:divBdr>
              <w:divsChild>
                <w:div w:id="1192183120">
                  <w:marLeft w:val="0"/>
                  <w:marRight w:val="0"/>
                  <w:marTop w:val="0"/>
                  <w:marBottom w:val="0"/>
                  <w:divBdr>
                    <w:top w:val="none" w:sz="0" w:space="0" w:color="auto"/>
                    <w:left w:val="none" w:sz="0" w:space="0" w:color="auto"/>
                    <w:bottom w:val="none" w:sz="0" w:space="0" w:color="auto"/>
                    <w:right w:val="none" w:sz="0" w:space="0" w:color="auto"/>
                  </w:divBdr>
                  <w:divsChild>
                    <w:div w:id="86409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101884">
      <w:bodyDiv w:val="1"/>
      <w:marLeft w:val="0"/>
      <w:marRight w:val="0"/>
      <w:marTop w:val="0"/>
      <w:marBottom w:val="0"/>
      <w:divBdr>
        <w:top w:val="none" w:sz="0" w:space="0" w:color="auto"/>
        <w:left w:val="none" w:sz="0" w:space="0" w:color="auto"/>
        <w:bottom w:val="none" w:sz="0" w:space="0" w:color="auto"/>
        <w:right w:val="none" w:sz="0" w:space="0" w:color="auto"/>
      </w:divBdr>
      <w:divsChild>
        <w:div w:id="1898130423">
          <w:marLeft w:val="0"/>
          <w:marRight w:val="0"/>
          <w:marTop w:val="0"/>
          <w:marBottom w:val="0"/>
          <w:divBdr>
            <w:top w:val="none" w:sz="0" w:space="0" w:color="auto"/>
            <w:left w:val="none" w:sz="0" w:space="0" w:color="auto"/>
            <w:bottom w:val="none" w:sz="0" w:space="0" w:color="auto"/>
            <w:right w:val="none" w:sz="0" w:space="0" w:color="auto"/>
          </w:divBdr>
          <w:divsChild>
            <w:div w:id="1179125113">
              <w:marLeft w:val="0"/>
              <w:marRight w:val="0"/>
              <w:marTop w:val="0"/>
              <w:marBottom w:val="0"/>
              <w:divBdr>
                <w:top w:val="none" w:sz="0" w:space="0" w:color="auto"/>
                <w:left w:val="none" w:sz="0" w:space="0" w:color="auto"/>
                <w:bottom w:val="none" w:sz="0" w:space="0" w:color="auto"/>
                <w:right w:val="none" w:sz="0" w:space="0" w:color="auto"/>
              </w:divBdr>
              <w:divsChild>
                <w:div w:id="502210961">
                  <w:marLeft w:val="0"/>
                  <w:marRight w:val="0"/>
                  <w:marTop w:val="0"/>
                  <w:marBottom w:val="0"/>
                  <w:divBdr>
                    <w:top w:val="none" w:sz="0" w:space="0" w:color="auto"/>
                    <w:left w:val="none" w:sz="0" w:space="0" w:color="auto"/>
                    <w:bottom w:val="none" w:sz="0" w:space="0" w:color="auto"/>
                    <w:right w:val="none" w:sz="0" w:space="0" w:color="auto"/>
                  </w:divBdr>
                  <w:divsChild>
                    <w:div w:id="70236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257623">
      <w:bodyDiv w:val="1"/>
      <w:marLeft w:val="0"/>
      <w:marRight w:val="0"/>
      <w:marTop w:val="0"/>
      <w:marBottom w:val="0"/>
      <w:divBdr>
        <w:top w:val="none" w:sz="0" w:space="0" w:color="auto"/>
        <w:left w:val="none" w:sz="0" w:space="0" w:color="auto"/>
        <w:bottom w:val="none" w:sz="0" w:space="0" w:color="auto"/>
        <w:right w:val="none" w:sz="0" w:space="0" w:color="auto"/>
      </w:divBdr>
    </w:div>
    <w:div w:id="1010378005">
      <w:bodyDiv w:val="1"/>
      <w:marLeft w:val="0"/>
      <w:marRight w:val="0"/>
      <w:marTop w:val="0"/>
      <w:marBottom w:val="0"/>
      <w:divBdr>
        <w:top w:val="none" w:sz="0" w:space="0" w:color="auto"/>
        <w:left w:val="none" w:sz="0" w:space="0" w:color="auto"/>
        <w:bottom w:val="none" w:sz="0" w:space="0" w:color="auto"/>
        <w:right w:val="none" w:sz="0" w:space="0" w:color="auto"/>
      </w:divBdr>
    </w:div>
    <w:div w:id="1015688610">
      <w:bodyDiv w:val="1"/>
      <w:marLeft w:val="0"/>
      <w:marRight w:val="0"/>
      <w:marTop w:val="0"/>
      <w:marBottom w:val="0"/>
      <w:divBdr>
        <w:top w:val="none" w:sz="0" w:space="0" w:color="auto"/>
        <w:left w:val="none" w:sz="0" w:space="0" w:color="auto"/>
        <w:bottom w:val="none" w:sz="0" w:space="0" w:color="auto"/>
        <w:right w:val="none" w:sz="0" w:space="0" w:color="auto"/>
      </w:divBdr>
      <w:divsChild>
        <w:div w:id="1848055371">
          <w:marLeft w:val="0"/>
          <w:marRight w:val="0"/>
          <w:marTop w:val="0"/>
          <w:marBottom w:val="0"/>
          <w:divBdr>
            <w:top w:val="none" w:sz="0" w:space="0" w:color="auto"/>
            <w:left w:val="none" w:sz="0" w:space="0" w:color="auto"/>
            <w:bottom w:val="none" w:sz="0" w:space="0" w:color="auto"/>
            <w:right w:val="none" w:sz="0" w:space="0" w:color="auto"/>
          </w:divBdr>
          <w:divsChild>
            <w:div w:id="1572688611">
              <w:marLeft w:val="0"/>
              <w:marRight w:val="0"/>
              <w:marTop w:val="0"/>
              <w:marBottom w:val="0"/>
              <w:divBdr>
                <w:top w:val="none" w:sz="0" w:space="0" w:color="auto"/>
                <w:left w:val="none" w:sz="0" w:space="0" w:color="auto"/>
                <w:bottom w:val="none" w:sz="0" w:space="0" w:color="auto"/>
                <w:right w:val="none" w:sz="0" w:space="0" w:color="auto"/>
              </w:divBdr>
              <w:divsChild>
                <w:div w:id="1731348521">
                  <w:marLeft w:val="0"/>
                  <w:marRight w:val="0"/>
                  <w:marTop w:val="0"/>
                  <w:marBottom w:val="0"/>
                  <w:divBdr>
                    <w:top w:val="none" w:sz="0" w:space="0" w:color="auto"/>
                    <w:left w:val="none" w:sz="0" w:space="0" w:color="auto"/>
                    <w:bottom w:val="none" w:sz="0" w:space="0" w:color="auto"/>
                    <w:right w:val="none" w:sz="0" w:space="0" w:color="auto"/>
                  </w:divBdr>
                  <w:divsChild>
                    <w:div w:id="153688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529541">
      <w:bodyDiv w:val="1"/>
      <w:marLeft w:val="0"/>
      <w:marRight w:val="0"/>
      <w:marTop w:val="0"/>
      <w:marBottom w:val="0"/>
      <w:divBdr>
        <w:top w:val="none" w:sz="0" w:space="0" w:color="auto"/>
        <w:left w:val="none" w:sz="0" w:space="0" w:color="auto"/>
        <w:bottom w:val="none" w:sz="0" w:space="0" w:color="auto"/>
        <w:right w:val="none" w:sz="0" w:space="0" w:color="auto"/>
      </w:divBdr>
    </w:div>
    <w:div w:id="1058627203">
      <w:bodyDiv w:val="1"/>
      <w:marLeft w:val="0"/>
      <w:marRight w:val="0"/>
      <w:marTop w:val="0"/>
      <w:marBottom w:val="0"/>
      <w:divBdr>
        <w:top w:val="none" w:sz="0" w:space="0" w:color="auto"/>
        <w:left w:val="none" w:sz="0" w:space="0" w:color="auto"/>
        <w:bottom w:val="none" w:sz="0" w:space="0" w:color="auto"/>
        <w:right w:val="none" w:sz="0" w:space="0" w:color="auto"/>
      </w:divBdr>
    </w:div>
    <w:div w:id="1103452713">
      <w:bodyDiv w:val="1"/>
      <w:marLeft w:val="0"/>
      <w:marRight w:val="0"/>
      <w:marTop w:val="0"/>
      <w:marBottom w:val="0"/>
      <w:divBdr>
        <w:top w:val="none" w:sz="0" w:space="0" w:color="auto"/>
        <w:left w:val="none" w:sz="0" w:space="0" w:color="auto"/>
        <w:bottom w:val="none" w:sz="0" w:space="0" w:color="auto"/>
        <w:right w:val="none" w:sz="0" w:space="0" w:color="auto"/>
      </w:divBdr>
      <w:divsChild>
        <w:div w:id="10958283">
          <w:marLeft w:val="0"/>
          <w:marRight w:val="0"/>
          <w:marTop w:val="0"/>
          <w:marBottom w:val="0"/>
          <w:divBdr>
            <w:top w:val="none" w:sz="0" w:space="0" w:color="auto"/>
            <w:left w:val="none" w:sz="0" w:space="0" w:color="auto"/>
            <w:bottom w:val="none" w:sz="0" w:space="0" w:color="auto"/>
            <w:right w:val="none" w:sz="0" w:space="0" w:color="auto"/>
          </w:divBdr>
          <w:divsChild>
            <w:div w:id="1520588002">
              <w:marLeft w:val="0"/>
              <w:marRight w:val="0"/>
              <w:marTop w:val="0"/>
              <w:marBottom w:val="0"/>
              <w:divBdr>
                <w:top w:val="none" w:sz="0" w:space="0" w:color="auto"/>
                <w:left w:val="none" w:sz="0" w:space="0" w:color="auto"/>
                <w:bottom w:val="none" w:sz="0" w:space="0" w:color="auto"/>
                <w:right w:val="none" w:sz="0" w:space="0" w:color="auto"/>
              </w:divBdr>
              <w:divsChild>
                <w:div w:id="98723982">
                  <w:marLeft w:val="0"/>
                  <w:marRight w:val="0"/>
                  <w:marTop w:val="0"/>
                  <w:marBottom w:val="0"/>
                  <w:divBdr>
                    <w:top w:val="none" w:sz="0" w:space="0" w:color="auto"/>
                    <w:left w:val="none" w:sz="0" w:space="0" w:color="auto"/>
                    <w:bottom w:val="none" w:sz="0" w:space="0" w:color="auto"/>
                    <w:right w:val="none" w:sz="0" w:space="0" w:color="auto"/>
                  </w:divBdr>
                </w:div>
                <w:div w:id="123786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574735">
      <w:bodyDiv w:val="1"/>
      <w:marLeft w:val="0"/>
      <w:marRight w:val="0"/>
      <w:marTop w:val="0"/>
      <w:marBottom w:val="0"/>
      <w:divBdr>
        <w:top w:val="none" w:sz="0" w:space="0" w:color="auto"/>
        <w:left w:val="none" w:sz="0" w:space="0" w:color="auto"/>
        <w:bottom w:val="none" w:sz="0" w:space="0" w:color="auto"/>
        <w:right w:val="none" w:sz="0" w:space="0" w:color="auto"/>
      </w:divBdr>
    </w:div>
    <w:div w:id="1121916601">
      <w:bodyDiv w:val="1"/>
      <w:marLeft w:val="0"/>
      <w:marRight w:val="0"/>
      <w:marTop w:val="0"/>
      <w:marBottom w:val="0"/>
      <w:divBdr>
        <w:top w:val="none" w:sz="0" w:space="0" w:color="auto"/>
        <w:left w:val="none" w:sz="0" w:space="0" w:color="auto"/>
        <w:bottom w:val="none" w:sz="0" w:space="0" w:color="auto"/>
        <w:right w:val="none" w:sz="0" w:space="0" w:color="auto"/>
      </w:divBdr>
      <w:divsChild>
        <w:div w:id="1268922510">
          <w:marLeft w:val="0"/>
          <w:marRight w:val="0"/>
          <w:marTop w:val="0"/>
          <w:marBottom w:val="0"/>
          <w:divBdr>
            <w:top w:val="none" w:sz="0" w:space="0" w:color="auto"/>
            <w:left w:val="none" w:sz="0" w:space="0" w:color="auto"/>
            <w:bottom w:val="none" w:sz="0" w:space="0" w:color="auto"/>
            <w:right w:val="none" w:sz="0" w:space="0" w:color="auto"/>
          </w:divBdr>
          <w:divsChild>
            <w:div w:id="1171678634">
              <w:marLeft w:val="0"/>
              <w:marRight w:val="0"/>
              <w:marTop w:val="0"/>
              <w:marBottom w:val="0"/>
              <w:divBdr>
                <w:top w:val="none" w:sz="0" w:space="0" w:color="auto"/>
                <w:left w:val="none" w:sz="0" w:space="0" w:color="auto"/>
                <w:bottom w:val="none" w:sz="0" w:space="0" w:color="auto"/>
                <w:right w:val="none" w:sz="0" w:space="0" w:color="auto"/>
              </w:divBdr>
              <w:divsChild>
                <w:div w:id="252592248">
                  <w:marLeft w:val="0"/>
                  <w:marRight w:val="0"/>
                  <w:marTop w:val="0"/>
                  <w:marBottom w:val="0"/>
                  <w:divBdr>
                    <w:top w:val="none" w:sz="0" w:space="0" w:color="auto"/>
                    <w:left w:val="none" w:sz="0" w:space="0" w:color="auto"/>
                    <w:bottom w:val="none" w:sz="0" w:space="0" w:color="auto"/>
                    <w:right w:val="none" w:sz="0" w:space="0" w:color="auto"/>
                  </w:divBdr>
                  <w:divsChild>
                    <w:div w:id="58866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335209">
      <w:bodyDiv w:val="1"/>
      <w:marLeft w:val="0"/>
      <w:marRight w:val="0"/>
      <w:marTop w:val="0"/>
      <w:marBottom w:val="0"/>
      <w:divBdr>
        <w:top w:val="none" w:sz="0" w:space="0" w:color="auto"/>
        <w:left w:val="none" w:sz="0" w:space="0" w:color="auto"/>
        <w:bottom w:val="none" w:sz="0" w:space="0" w:color="auto"/>
        <w:right w:val="none" w:sz="0" w:space="0" w:color="auto"/>
      </w:divBdr>
      <w:divsChild>
        <w:div w:id="356197917">
          <w:marLeft w:val="0"/>
          <w:marRight w:val="0"/>
          <w:marTop w:val="0"/>
          <w:marBottom w:val="0"/>
          <w:divBdr>
            <w:top w:val="none" w:sz="0" w:space="0" w:color="auto"/>
            <w:left w:val="none" w:sz="0" w:space="0" w:color="auto"/>
            <w:bottom w:val="none" w:sz="0" w:space="0" w:color="auto"/>
            <w:right w:val="none" w:sz="0" w:space="0" w:color="auto"/>
          </w:divBdr>
          <w:divsChild>
            <w:div w:id="1452554461">
              <w:marLeft w:val="0"/>
              <w:marRight w:val="0"/>
              <w:marTop w:val="0"/>
              <w:marBottom w:val="0"/>
              <w:divBdr>
                <w:top w:val="none" w:sz="0" w:space="0" w:color="auto"/>
                <w:left w:val="none" w:sz="0" w:space="0" w:color="auto"/>
                <w:bottom w:val="none" w:sz="0" w:space="0" w:color="auto"/>
                <w:right w:val="none" w:sz="0" w:space="0" w:color="auto"/>
              </w:divBdr>
              <w:divsChild>
                <w:div w:id="75925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004412">
      <w:bodyDiv w:val="1"/>
      <w:marLeft w:val="0"/>
      <w:marRight w:val="0"/>
      <w:marTop w:val="0"/>
      <w:marBottom w:val="0"/>
      <w:divBdr>
        <w:top w:val="none" w:sz="0" w:space="0" w:color="auto"/>
        <w:left w:val="none" w:sz="0" w:space="0" w:color="auto"/>
        <w:bottom w:val="none" w:sz="0" w:space="0" w:color="auto"/>
        <w:right w:val="none" w:sz="0" w:space="0" w:color="auto"/>
      </w:divBdr>
      <w:divsChild>
        <w:div w:id="1459379375">
          <w:marLeft w:val="0"/>
          <w:marRight w:val="0"/>
          <w:marTop w:val="0"/>
          <w:marBottom w:val="0"/>
          <w:divBdr>
            <w:top w:val="none" w:sz="0" w:space="0" w:color="auto"/>
            <w:left w:val="none" w:sz="0" w:space="0" w:color="auto"/>
            <w:bottom w:val="none" w:sz="0" w:space="0" w:color="auto"/>
            <w:right w:val="none" w:sz="0" w:space="0" w:color="auto"/>
          </w:divBdr>
          <w:divsChild>
            <w:div w:id="124129654">
              <w:marLeft w:val="0"/>
              <w:marRight w:val="0"/>
              <w:marTop w:val="0"/>
              <w:marBottom w:val="0"/>
              <w:divBdr>
                <w:top w:val="none" w:sz="0" w:space="0" w:color="auto"/>
                <w:left w:val="none" w:sz="0" w:space="0" w:color="auto"/>
                <w:bottom w:val="none" w:sz="0" w:space="0" w:color="auto"/>
                <w:right w:val="none" w:sz="0" w:space="0" w:color="auto"/>
              </w:divBdr>
              <w:divsChild>
                <w:div w:id="995693229">
                  <w:marLeft w:val="0"/>
                  <w:marRight w:val="0"/>
                  <w:marTop w:val="0"/>
                  <w:marBottom w:val="0"/>
                  <w:divBdr>
                    <w:top w:val="none" w:sz="0" w:space="0" w:color="auto"/>
                    <w:left w:val="none" w:sz="0" w:space="0" w:color="auto"/>
                    <w:bottom w:val="none" w:sz="0" w:space="0" w:color="auto"/>
                    <w:right w:val="none" w:sz="0" w:space="0" w:color="auto"/>
                  </w:divBdr>
                  <w:divsChild>
                    <w:div w:id="146253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74350">
      <w:bodyDiv w:val="1"/>
      <w:marLeft w:val="0"/>
      <w:marRight w:val="0"/>
      <w:marTop w:val="0"/>
      <w:marBottom w:val="0"/>
      <w:divBdr>
        <w:top w:val="none" w:sz="0" w:space="0" w:color="auto"/>
        <w:left w:val="none" w:sz="0" w:space="0" w:color="auto"/>
        <w:bottom w:val="none" w:sz="0" w:space="0" w:color="auto"/>
        <w:right w:val="none" w:sz="0" w:space="0" w:color="auto"/>
      </w:divBdr>
      <w:divsChild>
        <w:div w:id="235748531">
          <w:marLeft w:val="0"/>
          <w:marRight w:val="0"/>
          <w:marTop w:val="0"/>
          <w:marBottom w:val="0"/>
          <w:divBdr>
            <w:top w:val="none" w:sz="0" w:space="0" w:color="auto"/>
            <w:left w:val="none" w:sz="0" w:space="0" w:color="auto"/>
            <w:bottom w:val="none" w:sz="0" w:space="0" w:color="auto"/>
            <w:right w:val="none" w:sz="0" w:space="0" w:color="auto"/>
          </w:divBdr>
          <w:divsChild>
            <w:div w:id="2028016348">
              <w:marLeft w:val="0"/>
              <w:marRight w:val="0"/>
              <w:marTop w:val="0"/>
              <w:marBottom w:val="0"/>
              <w:divBdr>
                <w:top w:val="none" w:sz="0" w:space="0" w:color="auto"/>
                <w:left w:val="none" w:sz="0" w:space="0" w:color="auto"/>
                <w:bottom w:val="none" w:sz="0" w:space="0" w:color="auto"/>
                <w:right w:val="none" w:sz="0" w:space="0" w:color="auto"/>
              </w:divBdr>
              <w:divsChild>
                <w:div w:id="204918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11711">
      <w:bodyDiv w:val="1"/>
      <w:marLeft w:val="0"/>
      <w:marRight w:val="0"/>
      <w:marTop w:val="0"/>
      <w:marBottom w:val="0"/>
      <w:divBdr>
        <w:top w:val="none" w:sz="0" w:space="0" w:color="auto"/>
        <w:left w:val="none" w:sz="0" w:space="0" w:color="auto"/>
        <w:bottom w:val="none" w:sz="0" w:space="0" w:color="auto"/>
        <w:right w:val="none" w:sz="0" w:space="0" w:color="auto"/>
      </w:divBdr>
      <w:divsChild>
        <w:div w:id="942691783">
          <w:marLeft w:val="0"/>
          <w:marRight w:val="0"/>
          <w:marTop w:val="0"/>
          <w:marBottom w:val="0"/>
          <w:divBdr>
            <w:top w:val="none" w:sz="0" w:space="0" w:color="auto"/>
            <w:left w:val="none" w:sz="0" w:space="0" w:color="auto"/>
            <w:bottom w:val="none" w:sz="0" w:space="0" w:color="auto"/>
            <w:right w:val="none" w:sz="0" w:space="0" w:color="auto"/>
          </w:divBdr>
          <w:divsChild>
            <w:div w:id="1093933649">
              <w:marLeft w:val="0"/>
              <w:marRight w:val="0"/>
              <w:marTop w:val="0"/>
              <w:marBottom w:val="0"/>
              <w:divBdr>
                <w:top w:val="none" w:sz="0" w:space="0" w:color="auto"/>
                <w:left w:val="none" w:sz="0" w:space="0" w:color="auto"/>
                <w:bottom w:val="none" w:sz="0" w:space="0" w:color="auto"/>
                <w:right w:val="none" w:sz="0" w:space="0" w:color="auto"/>
              </w:divBdr>
              <w:divsChild>
                <w:div w:id="2047363969">
                  <w:marLeft w:val="0"/>
                  <w:marRight w:val="0"/>
                  <w:marTop w:val="0"/>
                  <w:marBottom w:val="0"/>
                  <w:divBdr>
                    <w:top w:val="none" w:sz="0" w:space="0" w:color="auto"/>
                    <w:left w:val="none" w:sz="0" w:space="0" w:color="auto"/>
                    <w:bottom w:val="none" w:sz="0" w:space="0" w:color="auto"/>
                    <w:right w:val="none" w:sz="0" w:space="0" w:color="auto"/>
                  </w:divBdr>
                </w:div>
              </w:divsChild>
            </w:div>
            <w:div w:id="1875968624">
              <w:marLeft w:val="0"/>
              <w:marRight w:val="0"/>
              <w:marTop w:val="0"/>
              <w:marBottom w:val="0"/>
              <w:divBdr>
                <w:top w:val="none" w:sz="0" w:space="0" w:color="auto"/>
                <w:left w:val="none" w:sz="0" w:space="0" w:color="auto"/>
                <w:bottom w:val="none" w:sz="0" w:space="0" w:color="auto"/>
                <w:right w:val="none" w:sz="0" w:space="0" w:color="auto"/>
              </w:divBdr>
              <w:divsChild>
                <w:div w:id="3544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20968">
      <w:bodyDiv w:val="1"/>
      <w:marLeft w:val="0"/>
      <w:marRight w:val="0"/>
      <w:marTop w:val="0"/>
      <w:marBottom w:val="0"/>
      <w:divBdr>
        <w:top w:val="none" w:sz="0" w:space="0" w:color="auto"/>
        <w:left w:val="none" w:sz="0" w:space="0" w:color="auto"/>
        <w:bottom w:val="none" w:sz="0" w:space="0" w:color="auto"/>
        <w:right w:val="none" w:sz="0" w:space="0" w:color="auto"/>
      </w:divBdr>
    </w:div>
    <w:div w:id="1195576859">
      <w:bodyDiv w:val="1"/>
      <w:marLeft w:val="0"/>
      <w:marRight w:val="0"/>
      <w:marTop w:val="0"/>
      <w:marBottom w:val="0"/>
      <w:divBdr>
        <w:top w:val="none" w:sz="0" w:space="0" w:color="auto"/>
        <w:left w:val="none" w:sz="0" w:space="0" w:color="auto"/>
        <w:bottom w:val="none" w:sz="0" w:space="0" w:color="auto"/>
        <w:right w:val="none" w:sz="0" w:space="0" w:color="auto"/>
      </w:divBdr>
    </w:div>
    <w:div w:id="1220480567">
      <w:bodyDiv w:val="1"/>
      <w:marLeft w:val="0"/>
      <w:marRight w:val="0"/>
      <w:marTop w:val="0"/>
      <w:marBottom w:val="0"/>
      <w:divBdr>
        <w:top w:val="none" w:sz="0" w:space="0" w:color="auto"/>
        <w:left w:val="none" w:sz="0" w:space="0" w:color="auto"/>
        <w:bottom w:val="none" w:sz="0" w:space="0" w:color="auto"/>
        <w:right w:val="none" w:sz="0" w:space="0" w:color="auto"/>
      </w:divBdr>
      <w:divsChild>
        <w:div w:id="259603655">
          <w:marLeft w:val="0"/>
          <w:marRight w:val="0"/>
          <w:marTop w:val="0"/>
          <w:marBottom w:val="0"/>
          <w:divBdr>
            <w:top w:val="none" w:sz="0" w:space="0" w:color="auto"/>
            <w:left w:val="none" w:sz="0" w:space="0" w:color="auto"/>
            <w:bottom w:val="none" w:sz="0" w:space="0" w:color="auto"/>
            <w:right w:val="none" w:sz="0" w:space="0" w:color="auto"/>
          </w:divBdr>
          <w:divsChild>
            <w:div w:id="1083064081">
              <w:marLeft w:val="0"/>
              <w:marRight w:val="0"/>
              <w:marTop w:val="0"/>
              <w:marBottom w:val="0"/>
              <w:divBdr>
                <w:top w:val="none" w:sz="0" w:space="0" w:color="auto"/>
                <w:left w:val="none" w:sz="0" w:space="0" w:color="auto"/>
                <w:bottom w:val="none" w:sz="0" w:space="0" w:color="auto"/>
                <w:right w:val="none" w:sz="0" w:space="0" w:color="auto"/>
              </w:divBdr>
              <w:divsChild>
                <w:div w:id="77949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129797">
          <w:marLeft w:val="0"/>
          <w:marRight w:val="0"/>
          <w:marTop w:val="0"/>
          <w:marBottom w:val="0"/>
          <w:divBdr>
            <w:top w:val="none" w:sz="0" w:space="0" w:color="auto"/>
            <w:left w:val="none" w:sz="0" w:space="0" w:color="auto"/>
            <w:bottom w:val="none" w:sz="0" w:space="0" w:color="auto"/>
            <w:right w:val="none" w:sz="0" w:space="0" w:color="auto"/>
          </w:divBdr>
          <w:divsChild>
            <w:div w:id="901134983">
              <w:marLeft w:val="0"/>
              <w:marRight w:val="0"/>
              <w:marTop w:val="0"/>
              <w:marBottom w:val="0"/>
              <w:divBdr>
                <w:top w:val="none" w:sz="0" w:space="0" w:color="auto"/>
                <w:left w:val="none" w:sz="0" w:space="0" w:color="auto"/>
                <w:bottom w:val="none" w:sz="0" w:space="0" w:color="auto"/>
                <w:right w:val="none" w:sz="0" w:space="0" w:color="auto"/>
              </w:divBdr>
              <w:divsChild>
                <w:div w:id="1833989046">
                  <w:marLeft w:val="0"/>
                  <w:marRight w:val="0"/>
                  <w:marTop w:val="0"/>
                  <w:marBottom w:val="0"/>
                  <w:divBdr>
                    <w:top w:val="none" w:sz="0" w:space="0" w:color="auto"/>
                    <w:left w:val="none" w:sz="0" w:space="0" w:color="auto"/>
                    <w:bottom w:val="none" w:sz="0" w:space="0" w:color="auto"/>
                    <w:right w:val="none" w:sz="0" w:space="0" w:color="auto"/>
                  </w:divBdr>
                </w:div>
              </w:divsChild>
            </w:div>
            <w:div w:id="1808163066">
              <w:marLeft w:val="0"/>
              <w:marRight w:val="0"/>
              <w:marTop w:val="0"/>
              <w:marBottom w:val="0"/>
              <w:divBdr>
                <w:top w:val="none" w:sz="0" w:space="0" w:color="auto"/>
                <w:left w:val="none" w:sz="0" w:space="0" w:color="auto"/>
                <w:bottom w:val="none" w:sz="0" w:space="0" w:color="auto"/>
                <w:right w:val="none" w:sz="0" w:space="0" w:color="auto"/>
              </w:divBdr>
              <w:divsChild>
                <w:div w:id="19299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83313">
      <w:bodyDiv w:val="1"/>
      <w:marLeft w:val="0"/>
      <w:marRight w:val="0"/>
      <w:marTop w:val="0"/>
      <w:marBottom w:val="0"/>
      <w:divBdr>
        <w:top w:val="none" w:sz="0" w:space="0" w:color="auto"/>
        <w:left w:val="none" w:sz="0" w:space="0" w:color="auto"/>
        <w:bottom w:val="none" w:sz="0" w:space="0" w:color="auto"/>
        <w:right w:val="none" w:sz="0" w:space="0" w:color="auto"/>
      </w:divBdr>
      <w:divsChild>
        <w:div w:id="1423842568">
          <w:marLeft w:val="0"/>
          <w:marRight w:val="0"/>
          <w:marTop w:val="0"/>
          <w:marBottom w:val="0"/>
          <w:divBdr>
            <w:top w:val="none" w:sz="0" w:space="0" w:color="auto"/>
            <w:left w:val="none" w:sz="0" w:space="0" w:color="auto"/>
            <w:bottom w:val="none" w:sz="0" w:space="0" w:color="auto"/>
            <w:right w:val="none" w:sz="0" w:space="0" w:color="auto"/>
          </w:divBdr>
          <w:divsChild>
            <w:div w:id="714888560">
              <w:marLeft w:val="0"/>
              <w:marRight w:val="0"/>
              <w:marTop w:val="0"/>
              <w:marBottom w:val="0"/>
              <w:divBdr>
                <w:top w:val="none" w:sz="0" w:space="0" w:color="auto"/>
                <w:left w:val="none" w:sz="0" w:space="0" w:color="auto"/>
                <w:bottom w:val="none" w:sz="0" w:space="0" w:color="auto"/>
                <w:right w:val="none" w:sz="0" w:space="0" w:color="auto"/>
              </w:divBdr>
              <w:divsChild>
                <w:div w:id="192236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269864">
      <w:bodyDiv w:val="1"/>
      <w:marLeft w:val="0"/>
      <w:marRight w:val="0"/>
      <w:marTop w:val="0"/>
      <w:marBottom w:val="0"/>
      <w:divBdr>
        <w:top w:val="none" w:sz="0" w:space="0" w:color="auto"/>
        <w:left w:val="none" w:sz="0" w:space="0" w:color="auto"/>
        <w:bottom w:val="none" w:sz="0" w:space="0" w:color="auto"/>
        <w:right w:val="none" w:sz="0" w:space="0" w:color="auto"/>
      </w:divBdr>
    </w:div>
    <w:div w:id="1285884636">
      <w:bodyDiv w:val="1"/>
      <w:marLeft w:val="0"/>
      <w:marRight w:val="0"/>
      <w:marTop w:val="0"/>
      <w:marBottom w:val="0"/>
      <w:divBdr>
        <w:top w:val="none" w:sz="0" w:space="0" w:color="auto"/>
        <w:left w:val="none" w:sz="0" w:space="0" w:color="auto"/>
        <w:bottom w:val="none" w:sz="0" w:space="0" w:color="auto"/>
        <w:right w:val="none" w:sz="0" w:space="0" w:color="auto"/>
      </w:divBdr>
      <w:divsChild>
        <w:div w:id="1187938168">
          <w:marLeft w:val="0"/>
          <w:marRight w:val="0"/>
          <w:marTop w:val="0"/>
          <w:marBottom w:val="0"/>
          <w:divBdr>
            <w:top w:val="none" w:sz="0" w:space="0" w:color="auto"/>
            <w:left w:val="none" w:sz="0" w:space="0" w:color="auto"/>
            <w:bottom w:val="none" w:sz="0" w:space="0" w:color="auto"/>
            <w:right w:val="none" w:sz="0" w:space="0" w:color="auto"/>
          </w:divBdr>
          <w:divsChild>
            <w:div w:id="1587375407">
              <w:marLeft w:val="0"/>
              <w:marRight w:val="0"/>
              <w:marTop w:val="0"/>
              <w:marBottom w:val="0"/>
              <w:divBdr>
                <w:top w:val="none" w:sz="0" w:space="0" w:color="auto"/>
                <w:left w:val="none" w:sz="0" w:space="0" w:color="auto"/>
                <w:bottom w:val="none" w:sz="0" w:space="0" w:color="auto"/>
                <w:right w:val="none" w:sz="0" w:space="0" w:color="auto"/>
              </w:divBdr>
              <w:divsChild>
                <w:div w:id="1393501992">
                  <w:marLeft w:val="0"/>
                  <w:marRight w:val="0"/>
                  <w:marTop w:val="0"/>
                  <w:marBottom w:val="0"/>
                  <w:divBdr>
                    <w:top w:val="none" w:sz="0" w:space="0" w:color="auto"/>
                    <w:left w:val="none" w:sz="0" w:space="0" w:color="auto"/>
                    <w:bottom w:val="none" w:sz="0" w:space="0" w:color="auto"/>
                    <w:right w:val="none" w:sz="0" w:space="0" w:color="auto"/>
                  </w:divBdr>
                  <w:divsChild>
                    <w:div w:id="1299186300">
                      <w:marLeft w:val="0"/>
                      <w:marRight w:val="0"/>
                      <w:marTop w:val="0"/>
                      <w:marBottom w:val="0"/>
                      <w:divBdr>
                        <w:top w:val="none" w:sz="0" w:space="0" w:color="auto"/>
                        <w:left w:val="none" w:sz="0" w:space="0" w:color="auto"/>
                        <w:bottom w:val="none" w:sz="0" w:space="0" w:color="auto"/>
                        <w:right w:val="none" w:sz="0" w:space="0" w:color="auto"/>
                      </w:divBdr>
                    </w:div>
                  </w:divsChild>
                </w:div>
                <w:div w:id="2030636829">
                  <w:marLeft w:val="0"/>
                  <w:marRight w:val="0"/>
                  <w:marTop w:val="0"/>
                  <w:marBottom w:val="0"/>
                  <w:divBdr>
                    <w:top w:val="none" w:sz="0" w:space="0" w:color="auto"/>
                    <w:left w:val="none" w:sz="0" w:space="0" w:color="auto"/>
                    <w:bottom w:val="none" w:sz="0" w:space="0" w:color="auto"/>
                    <w:right w:val="none" w:sz="0" w:space="0" w:color="auto"/>
                  </w:divBdr>
                  <w:divsChild>
                    <w:div w:id="88614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165583">
      <w:bodyDiv w:val="1"/>
      <w:marLeft w:val="0"/>
      <w:marRight w:val="0"/>
      <w:marTop w:val="0"/>
      <w:marBottom w:val="0"/>
      <w:divBdr>
        <w:top w:val="none" w:sz="0" w:space="0" w:color="auto"/>
        <w:left w:val="none" w:sz="0" w:space="0" w:color="auto"/>
        <w:bottom w:val="none" w:sz="0" w:space="0" w:color="auto"/>
        <w:right w:val="none" w:sz="0" w:space="0" w:color="auto"/>
      </w:divBdr>
      <w:divsChild>
        <w:div w:id="1673870345">
          <w:marLeft w:val="0"/>
          <w:marRight w:val="0"/>
          <w:marTop w:val="0"/>
          <w:marBottom w:val="0"/>
          <w:divBdr>
            <w:top w:val="none" w:sz="0" w:space="0" w:color="auto"/>
            <w:left w:val="none" w:sz="0" w:space="0" w:color="auto"/>
            <w:bottom w:val="none" w:sz="0" w:space="0" w:color="auto"/>
            <w:right w:val="none" w:sz="0" w:space="0" w:color="auto"/>
          </w:divBdr>
          <w:divsChild>
            <w:div w:id="650595663">
              <w:marLeft w:val="0"/>
              <w:marRight w:val="0"/>
              <w:marTop w:val="0"/>
              <w:marBottom w:val="0"/>
              <w:divBdr>
                <w:top w:val="none" w:sz="0" w:space="0" w:color="auto"/>
                <w:left w:val="none" w:sz="0" w:space="0" w:color="auto"/>
                <w:bottom w:val="none" w:sz="0" w:space="0" w:color="auto"/>
                <w:right w:val="none" w:sz="0" w:space="0" w:color="auto"/>
              </w:divBdr>
              <w:divsChild>
                <w:div w:id="131048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938157">
      <w:bodyDiv w:val="1"/>
      <w:marLeft w:val="0"/>
      <w:marRight w:val="0"/>
      <w:marTop w:val="0"/>
      <w:marBottom w:val="0"/>
      <w:divBdr>
        <w:top w:val="none" w:sz="0" w:space="0" w:color="auto"/>
        <w:left w:val="none" w:sz="0" w:space="0" w:color="auto"/>
        <w:bottom w:val="none" w:sz="0" w:space="0" w:color="auto"/>
        <w:right w:val="none" w:sz="0" w:space="0" w:color="auto"/>
      </w:divBdr>
      <w:divsChild>
        <w:div w:id="246618172">
          <w:marLeft w:val="0"/>
          <w:marRight w:val="0"/>
          <w:marTop w:val="0"/>
          <w:marBottom w:val="0"/>
          <w:divBdr>
            <w:top w:val="none" w:sz="0" w:space="0" w:color="auto"/>
            <w:left w:val="none" w:sz="0" w:space="0" w:color="auto"/>
            <w:bottom w:val="none" w:sz="0" w:space="0" w:color="auto"/>
            <w:right w:val="none" w:sz="0" w:space="0" w:color="auto"/>
          </w:divBdr>
          <w:divsChild>
            <w:div w:id="90010152">
              <w:marLeft w:val="0"/>
              <w:marRight w:val="0"/>
              <w:marTop w:val="0"/>
              <w:marBottom w:val="0"/>
              <w:divBdr>
                <w:top w:val="none" w:sz="0" w:space="0" w:color="auto"/>
                <w:left w:val="none" w:sz="0" w:space="0" w:color="auto"/>
                <w:bottom w:val="none" w:sz="0" w:space="0" w:color="auto"/>
                <w:right w:val="none" w:sz="0" w:space="0" w:color="auto"/>
              </w:divBdr>
              <w:divsChild>
                <w:div w:id="2552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867878">
      <w:bodyDiv w:val="1"/>
      <w:marLeft w:val="0"/>
      <w:marRight w:val="0"/>
      <w:marTop w:val="0"/>
      <w:marBottom w:val="0"/>
      <w:divBdr>
        <w:top w:val="none" w:sz="0" w:space="0" w:color="auto"/>
        <w:left w:val="none" w:sz="0" w:space="0" w:color="auto"/>
        <w:bottom w:val="none" w:sz="0" w:space="0" w:color="auto"/>
        <w:right w:val="none" w:sz="0" w:space="0" w:color="auto"/>
      </w:divBdr>
      <w:divsChild>
        <w:div w:id="318074359">
          <w:marLeft w:val="0"/>
          <w:marRight w:val="0"/>
          <w:marTop w:val="0"/>
          <w:marBottom w:val="0"/>
          <w:divBdr>
            <w:top w:val="none" w:sz="0" w:space="0" w:color="auto"/>
            <w:left w:val="none" w:sz="0" w:space="0" w:color="auto"/>
            <w:bottom w:val="none" w:sz="0" w:space="0" w:color="auto"/>
            <w:right w:val="none" w:sz="0" w:space="0" w:color="auto"/>
          </w:divBdr>
          <w:divsChild>
            <w:div w:id="1916235968">
              <w:marLeft w:val="0"/>
              <w:marRight w:val="0"/>
              <w:marTop w:val="0"/>
              <w:marBottom w:val="0"/>
              <w:divBdr>
                <w:top w:val="none" w:sz="0" w:space="0" w:color="auto"/>
                <w:left w:val="none" w:sz="0" w:space="0" w:color="auto"/>
                <w:bottom w:val="none" w:sz="0" w:space="0" w:color="auto"/>
                <w:right w:val="none" w:sz="0" w:space="0" w:color="auto"/>
              </w:divBdr>
              <w:divsChild>
                <w:div w:id="32852997">
                  <w:marLeft w:val="0"/>
                  <w:marRight w:val="0"/>
                  <w:marTop w:val="0"/>
                  <w:marBottom w:val="0"/>
                  <w:divBdr>
                    <w:top w:val="none" w:sz="0" w:space="0" w:color="auto"/>
                    <w:left w:val="none" w:sz="0" w:space="0" w:color="auto"/>
                    <w:bottom w:val="none" w:sz="0" w:space="0" w:color="auto"/>
                    <w:right w:val="none" w:sz="0" w:space="0" w:color="auto"/>
                  </w:divBdr>
                  <w:divsChild>
                    <w:div w:id="190802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147528">
      <w:bodyDiv w:val="1"/>
      <w:marLeft w:val="0"/>
      <w:marRight w:val="0"/>
      <w:marTop w:val="0"/>
      <w:marBottom w:val="0"/>
      <w:divBdr>
        <w:top w:val="none" w:sz="0" w:space="0" w:color="auto"/>
        <w:left w:val="none" w:sz="0" w:space="0" w:color="auto"/>
        <w:bottom w:val="none" w:sz="0" w:space="0" w:color="auto"/>
        <w:right w:val="none" w:sz="0" w:space="0" w:color="auto"/>
      </w:divBdr>
      <w:divsChild>
        <w:div w:id="2009093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027705">
              <w:marLeft w:val="0"/>
              <w:marRight w:val="0"/>
              <w:marTop w:val="0"/>
              <w:marBottom w:val="0"/>
              <w:divBdr>
                <w:top w:val="none" w:sz="0" w:space="0" w:color="auto"/>
                <w:left w:val="none" w:sz="0" w:space="0" w:color="auto"/>
                <w:bottom w:val="none" w:sz="0" w:space="0" w:color="auto"/>
                <w:right w:val="none" w:sz="0" w:space="0" w:color="auto"/>
              </w:divBdr>
              <w:divsChild>
                <w:div w:id="1841046436">
                  <w:marLeft w:val="0"/>
                  <w:marRight w:val="0"/>
                  <w:marTop w:val="0"/>
                  <w:marBottom w:val="0"/>
                  <w:divBdr>
                    <w:top w:val="none" w:sz="0" w:space="0" w:color="auto"/>
                    <w:left w:val="none" w:sz="0" w:space="0" w:color="auto"/>
                    <w:bottom w:val="none" w:sz="0" w:space="0" w:color="auto"/>
                    <w:right w:val="none" w:sz="0" w:space="0" w:color="auto"/>
                  </w:divBdr>
                  <w:divsChild>
                    <w:div w:id="94785634">
                      <w:marLeft w:val="0"/>
                      <w:marRight w:val="0"/>
                      <w:marTop w:val="0"/>
                      <w:marBottom w:val="0"/>
                      <w:divBdr>
                        <w:top w:val="none" w:sz="0" w:space="0" w:color="auto"/>
                        <w:left w:val="none" w:sz="0" w:space="0" w:color="auto"/>
                        <w:bottom w:val="none" w:sz="0" w:space="0" w:color="auto"/>
                        <w:right w:val="none" w:sz="0" w:space="0" w:color="auto"/>
                      </w:divBdr>
                    </w:div>
                    <w:div w:id="290946034">
                      <w:marLeft w:val="0"/>
                      <w:marRight w:val="0"/>
                      <w:marTop w:val="0"/>
                      <w:marBottom w:val="0"/>
                      <w:divBdr>
                        <w:top w:val="none" w:sz="0" w:space="0" w:color="auto"/>
                        <w:left w:val="none" w:sz="0" w:space="0" w:color="auto"/>
                        <w:bottom w:val="none" w:sz="0" w:space="0" w:color="auto"/>
                        <w:right w:val="none" w:sz="0" w:space="0" w:color="auto"/>
                      </w:divBdr>
                    </w:div>
                    <w:div w:id="534584142">
                      <w:marLeft w:val="0"/>
                      <w:marRight w:val="0"/>
                      <w:marTop w:val="0"/>
                      <w:marBottom w:val="0"/>
                      <w:divBdr>
                        <w:top w:val="none" w:sz="0" w:space="0" w:color="auto"/>
                        <w:left w:val="none" w:sz="0" w:space="0" w:color="auto"/>
                        <w:bottom w:val="none" w:sz="0" w:space="0" w:color="auto"/>
                        <w:right w:val="none" w:sz="0" w:space="0" w:color="auto"/>
                      </w:divBdr>
                    </w:div>
                    <w:div w:id="1106729790">
                      <w:marLeft w:val="0"/>
                      <w:marRight w:val="0"/>
                      <w:marTop w:val="0"/>
                      <w:marBottom w:val="0"/>
                      <w:divBdr>
                        <w:top w:val="none" w:sz="0" w:space="0" w:color="auto"/>
                        <w:left w:val="none" w:sz="0" w:space="0" w:color="auto"/>
                        <w:bottom w:val="none" w:sz="0" w:space="0" w:color="auto"/>
                        <w:right w:val="none" w:sz="0" w:space="0" w:color="auto"/>
                      </w:divBdr>
                      <w:divsChild>
                        <w:div w:id="1107432818">
                          <w:marLeft w:val="0"/>
                          <w:marRight w:val="0"/>
                          <w:marTop w:val="0"/>
                          <w:marBottom w:val="0"/>
                          <w:divBdr>
                            <w:top w:val="none" w:sz="0" w:space="0" w:color="auto"/>
                            <w:left w:val="none" w:sz="0" w:space="0" w:color="auto"/>
                            <w:bottom w:val="none" w:sz="0" w:space="0" w:color="auto"/>
                            <w:right w:val="none" w:sz="0" w:space="0" w:color="auto"/>
                          </w:divBdr>
                          <w:divsChild>
                            <w:div w:id="26491771">
                              <w:marLeft w:val="0"/>
                              <w:marRight w:val="0"/>
                              <w:marTop w:val="0"/>
                              <w:marBottom w:val="0"/>
                              <w:divBdr>
                                <w:top w:val="none" w:sz="0" w:space="0" w:color="auto"/>
                                <w:left w:val="none" w:sz="0" w:space="0" w:color="auto"/>
                                <w:bottom w:val="none" w:sz="0" w:space="0" w:color="auto"/>
                                <w:right w:val="none" w:sz="0" w:space="0" w:color="auto"/>
                              </w:divBdr>
                            </w:div>
                            <w:div w:id="79719808">
                              <w:marLeft w:val="0"/>
                              <w:marRight w:val="0"/>
                              <w:marTop w:val="0"/>
                              <w:marBottom w:val="0"/>
                              <w:divBdr>
                                <w:top w:val="none" w:sz="0" w:space="0" w:color="auto"/>
                                <w:left w:val="none" w:sz="0" w:space="0" w:color="auto"/>
                                <w:bottom w:val="none" w:sz="0" w:space="0" w:color="auto"/>
                                <w:right w:val="none" w:sz="0" w:space="0" w:color="auto"/>
                              </w:divBdr>
                            </w:div>
                            <w:div w:id="158080682">
                              <w:marLeft w:val="0"/>
                              <w:marRight w:val="0"/>
                              <w:marTop w:val="0"/>
                              <w:marBottom w:val="0"/>
                              <w:divBdr>
                                <w:top w:val="none" w:sz="0" w:space="0" w:color="auto"/>
                                <w:left w:val="none" w:sz="0" w:space="0" w:color="auto"/>
                                <w:bottom w:val="none" w:sz="0" w:space="0" w:color="auto"/>
                                <w:right w:val="none" w:sz="0" w:space="0" w:color="auto"/>
                              </w:divBdr>
                            </w:div>
                            <w:div w:id="194661284">
                              <w:marLeft w:val="0"/>
                              <w:marRight w:val="0"/>
                              <w:marTop w:val="0"/>
                              <w:marBottom w:val="0"/>
                              <w:divBdr>
                                <w:top w:val="none" w:sz="0" w:space="0" w:color="auto"/>
                                <w:left w:val="none" w:sz="0" w:space="0" w:color="auto"/>
                                <w:bottom w:val="none" w:sz="0" w:space="0" w:color="auto"/>
                                <w:right w:val="none" w:sz="0" w:space="0" w:color="auto"/>
                              </w:divBdr>
                            </w:div>
                            <w:div w:id="202140835">
                              <w:marLeft w:val="0"/>
                              <w:marRight w:val="0"/>
                              <w:marTop w:val="0"/>
                              <w:marBottom w:val="0"/>
                              <w:divBdr>
                                <w:top w:val="none" w:sz="0" w:space="0" w:color="auto"/>
                                <w:left w:val="none" w:sz="0" w:space="0" w:color="auto"/>
                                <w:bottom w:val="none" w:sz="0" w:space="0" w:color="auto"/>
                                <w:right w:val="none" w:sz="0" w:space="0" w:color="auto"/>
                              </w:divBdr>
                            </w:div>
                            <w:div w:id="259489223">
                              <w:marLeft w:val="0"/>
                              <w:marRight w:val="0"/>
                              <w:marTop w:val="0"/>
                              <w:marBottom w:val="0"/>
                              <w:divBdr>
                                <w:top w:val="none" w:sz="0" w:space="0" w:color="auto"/>
                                <w:left w:val="none" w:sz="0" w:space="0" w:color="auto"/>
                                <w:bottom w:val="none" w:sz="0" w:space="0" w:color="auto"/>
                                <w:right w:val="none" w:sz="0" w:space="0" w:color="auto"/>
                              </w:divBdr>
                            </w:div>
                            <w:div w:id="291785763">
                              <w:marLeft w:val="0"/>
                              <w:marRight w:val="0"/>
                              <w:marTop w:val="0"/>
                              <w:marBottom w:val="0"/>
                              <w:divBdr>
                                <w:top w:val="none" w:sz="0" w:space="0" w:color="auto"/>
                                <w:left w:val="none" w:sz="0" w:space="0" w:color="auto"/>
                                <w:bottom w:val="none" w:sz="0" w:space="0" w:color="auto"/>
                                <w:right w:val="none" w:sz="0" w:space="0" w:color="auto"/>
                              </w:divBdr>
                            </w:div>
                            <w:div w:id="372268193">
                              <w:marLeft w:val="0"/>
                              <w:marRight w:val="0"/>
                              <w:marTop w:val="0"/>
                              <w:marBottom w:val="0"/>
                              <w:divBdr>
                                <w:top w:val="none" w:sz="0" w:space="0" w:color="auto"/>
                                <w:left w:val="none" w:sz="0" w:space="0" w:color="auto"/>
                                <w:bottom w:val="none" w:sz="0" w:space="0" w:color="auto"/>
                                <w:right w:val="none" w:sz="0" w:space="0" w:color="auto"/>
                              </w:divBdr>
                            </w:div>
                            <w:div w:id="421142697">
                              <w:marLeft w:val="0"/>
                              <w:marRight w:val="0"/>
                              <w:marTop w:val="0"/>
                              <w:marBottom w:val="0"/>
                              <w:divBdr>
                                <w:top w:val="none" w:sz="0" w:space="0" w:color="auto"/>
                                <w:left w:val="none" w:sz="0" w:space="0" w:color="auto"/>
                                <w:bottom w:val="none" w:sz="0" w:space="0" w:color="auto"/>
                                <w:right w:val="none" w:sz="0" w:space="0" w:color="auto"/>
                              </w:divBdr>
                            </w:div>
                            <w:div w:id="440220222">
                              <w:marLeft w:val="0"/>
                              <w:marRight w:val="0"/>
                              <w:marTop w:val="0"/>
                              <w:marBottom w:val="0"/>
                              <w:divBdr>
                                <w:top w:val="none" w:sz="0" w:space="0" w:color="auto"/>
                                <w:left w:val="none" w:sz="0" w:space="0" w:color="auto"/>
                                <w:bottom w:val="none" w:sz="0" w:space="0" w:color="auto"/>
                                <w:right w:val="none" w:sz="0" w:space="0" w:color="auto"/>
                              </w:divBdr>
                            </w:div>
                            <w:div w:id="549652634">
                              <w:marLeft w:val="0"/>
                              <w:marRight w:val="0"/>
                              <w:marTop w:val="0"/>
                              <w:marBottom w:val="0"/>
                              <w:divBdr>
                                <w:top w:val="none" w:sz="0" w:space="0" w:color="auto"/>
                                <w:left w:val="none" w:sz="0" w:space="0" w:color="auto"/>
                                <w:bottom w:val="none" w:sz="0" w:space="0" w:color="auto"/>
                                <w:right w:val="none" w:sz="0" w:space="0" w:color="auto"/>
                              </w:divBdr>
                            </w:div>
                            <w:div w:id="619726861">
                              <w:marLeft w:val="0"/>
                              <w:marRight w:val="0"/>
                              <w:marTop w:val="0"/>
                              <w:marBottom w:val="0"/>
                              <w:divBdr>
                                <w:top w:val="none" w:sz="0" w:space="0" w:color="auto"/>
                                <w:left w:val="none" w:sz="0" w:space="0" w:color="auto"/>
                                <w:bottom w:val="none" w:sz="0" w:space="0" w:color="auto"/>
                                <w:right w:val="none" w:sz="0" w:space="0" w:color="auto"/>
                              </w:divBdr>
                            </w:div>
                            <w:div w:id="666396412">
                              <w:marLeft w:val="0"/>
                              <w:marRight w:val="0"/>
                              <w:marTop w:val="0"/>
                              <w:marBottom w:val="0"/>
                              <w:divBdr>
                                <w:top w:val="none" w:sz="0" w:space="0" w:color="auto"/>
                                <w:left w:val="none" w:sz="0" w:space="0" w:color="auto"/>
                                <w:bottom w:val="none" w:sz="0" w:space="0" w:color="auto"/>
                                <w:right w:val="none" w:sz="0" w:space="0" w:color="auto"/>
                              </w:divBdr>
                            </w:div>
                            <w:div w:id="669138183">
                              <w:marLeft w:val="0"/>
                              <w:marRight w:val="0"/>
                              <w:marTop w:val="0"/>
                              <w:marBottom w:val="0"/>
                              <w:divBdr>
                                <w:top w:val="none" w:sz="0" w:space="0" w:color="auto"/>
                                <w:left w:val="none" w:sz="0" w:space="0" w:color="auto"/>
                                <w:bottom w:val="none" w:sz="0" w:space="0" w:color="auto"/>
                                <w:right w:val="none" w:sz="0" w:space="0" w:color="auto"/>
                              </w:divBdr>
                            </w:div>
                            <w:div w:id="685864485">
                              <w:marLeft w:val="0"/>
                              <w:marRight w:val="0"/>
                              <w:marTop w:val="0"/>
                              <w:marBottom w:val="0"/>
                              <w:divBdr>
                                <w:top w:val="none" w:sz="0" w:space="0" w:color="auto"/>
                                <w:left w:val="none" w:sz="0" w:space="0" w:color="auto"/>
                                <w:bottom w:val="none" w:sz="0" w:space="0" w:color="auto"/>
                                <w:right w:val="none" w:sz="0" w:space="0" w:color="auto"/>
                              </w:divBdr>
                            </w:div>
                            <w:div w:id="712775386">
                              <w:marLeft w:val="0"/>
                              <w:marRight w:val="0"/>
                              <w:marTop w:val="0"/>
                              <w:marBottom w:val="0"/>
                              <w:divBdr>
                                <w:top w:val="none" w:sz="0" w:space="0" w:color="auto"/>
                                <w:left w:val="none" w:sz="0" w:space="0" w:color="auto"/>
                                <w:bottom w:val="none" w:sz="0" w:space="0" w:color="auto"/>
                                <w:right w:val="none" w:sz="0" w:space="0" w:color="auto"/>
                              </w:divBdr>
                            </w:div>
                            <w:div w:id="791676896">
                              <w:marLeft w:val="0"/>
                              <w:marRight w:val="0"/>
                              <w:marTop w:val="0"/>
                              <w:marBottom w:val="0"/>
                              <w:divBdr>
                                <w:top w:val="none" w:sz="0" w:space="0" w:color="auto"/>
                                <w:left w:val="none" w:sz="0" w:space="0" w:color="auto"/>
                                <w:bottom w:val="none" w:sz="0" w:space="0" w:color="auto"/>
                                <w:right w:val="none" w:sz="0" w:space="0" w:color="auto"/>
                              </w:divBdr>
                            </w:div>
                            <w:div w:id="944383088">
                              <w:marLeft w:val="0"/>
                              <w:marRight w:val="0"/>
                              <w:marTop w:val="0"/>
                              <w:marBottom w:val="0"/>
                              <w:divBdr>
                                <w:top w:val="none" w:sz="0" w:space="0" w:color="auto"/>
                                <w:left w:val="none" w:sz="0" w:space="0" w:color="auto"/>
                                <w:bottom w:val="none" w:sz="0" w:space="0" w:color="auto"/>
                                <w:right w:val="none" w:sz="0" w:space="0" w:color="auto"/>
                              </w:divBdr>
                            </w:div>
                            <w:div w:id="964891560">
                              <w:marLeft w:val="0"/>
                              <w:marRight w:val="0"/>
                              <w:marTop w:val="0"/>
                              <w:marBottom w:val="0"/>
                              <w:divBdr>
                                <w:top w:val="none" w:sz="0" w:space="0" w:color="auto"/>
                                <w:left w:val="none" w:sz="0" w:space="0" w:color="auto"/>
                                <w:bottom w:val="none" w:sz="0" w:space="0" w:color="auto"/>
                                <w:right w:val="none" w:sz="0" w:space="0" w:color="auto"/>
                              </w:divBdr>
                            </w:div>
                            <w:div w:id="1111165133">
                              <w:marLeft w:val="0"/>
                              <w:marRight w:val="0"/>
                              <w:marTop w:val="0"/>
                              <w:marBottom w:val="0"/>
                              <w:divBdr>
                                <w:top w:val="none" w:sz="0" w:space="0" w:color="auto"/>
                                <w:left w:val="none" w:sz="0" w:space="0" w:color="auto"/>
                                <w:bottom w:val="none" w:sz="0" w:space="0" w:color="auto"/>
                                <w:right w:val="none" w:sz="0" w:space="0" w:color="auto"/>
                              </w:divBdr>
                            </w:div>
                            <w:div w:id="1216283905">
                              <w:marLeft w:val="0"/>
                              <w:marRight w:val="0"/>
                              <w:marTop w:val="0"/>
                              <w:marBottom w:val="0"/>
                              <w:divBdr>
                                <w:top w:val="none" w:sz="0" w:space="0" w:color="auto"/>
                                <w:left w:val="none" w:sz="0" w:space="0" w:color="auto"/>
                                <w:bottom w:val="none" w:sz="0" w:space="0" w:color="auto"/>
                                <w:right w:val="none" w:sz="0" w:space="0" w:color="auto"/>
                              </w:divBdr>
                            </w:div>
                            <w:div w:id="1279488780">
                              <w:marLeft w:val="0"/>
                              <w:marRight w:val="0"/>
                              <w:marTop w:val="0"/>
                              <w:marBottom w:val="0"/>
                              <w:divBdr>
                                <w:top w:val="none" w:sz="0" w:space="0" w:color="auto"/>
                                <w:left w:val="none" w:sz="0" w:space="0" w:color="auto"/>
                                <w:bottom w:val="none" w:sz="0" w:space="0" w:color="auto"/>
                                <w:right w:val="none" w:sz="0" w:space="0" w:color="auto"/>
                              </w:divBdr>
                            </w:div>
                            <w:div w:id="1522665487">
                              <w:marLeft w:val="0"/>
                              <w:marRight w:val="0"/>
                              <w:marTop w:val="0"/>
                              <w:marBottom w:val="0"/>
                              <w:divBdr>
                                <w:top w:val="none" w:sz="0" w:space="0" w:color="auto"/>
                                <w:left w:val="none" w:sz="0" w:space="0" w:color="auto"/>
                                <w:bottom w:val="none" w:sz="0" w:space="0" w:color="auto"/>
                                <w:right w:val="none" w:sz="0" w:space="0" w:color="auto"/>
                              </w:divBdr>
                            </w:div>
                            <w:div w:id="1633707023">
                              <w:marLeft w:val="0"/>
                              <w:marRight w:val="0"/>
                              <w:marTop w:val="0"/>
                              <w:marBottom w:val="0"/>
                              <w:divBdr>
                                <w:top w:val="none" w:sz="0" w:space="0" w:color="auto"/>
                                <w:left w:val="none" w:sz="0" w:space="0" w:color="auto"/>
                                <w:bottom w:val="none" w:sz="0" w:space="0" w:color="auto"/>
                                <w:right w:val="none" w:sz="0" w:space="0" w:color="auto"/>
                              </w:divBdr>
                            </w:div>
                            <w:div w:id="1657690069">
                              <w:marLeft w:val="0"/>
                              <w:marRight w:val="0"/>
                              <w:marTop w:val="0"/>
                              <w:marBottom w:val="0"/>
                              <w:divBdr>
                                <w:top w:val="none" w:sz="0" w:space="0" w:color="auto"/>
                                <w:left w:val="none" w:sz="0" w:space="0" w:color="auto"/>
                                <w:bottom w:val="none" w:sz="0" w:space="0" w:color="auto"/>
                                <w:right w:val="none" w:sz="0" w:space="0" w:color="auto"/>
                              </w:divBdr>
                            </w:div>
                            <w:div w:id="1676767028">
                              <w:marLeft w:val="0"/>
                              <w:marRight w:val="0"/>
                              <w:marTop w:val="0"/>
                              <w:marBottom w:val="0"/>
                              <w:divBdr>
                                <w:top w:val="none" w:sz="0" w:space="0" w:color="auto"/>
                                <w:left w:val="none" w:sz="0" w:space="0" w:color="auto"/>
                                <w:bottom w:val="none" w:sz="0" w:space="0" w:color="auto"/>
                                <w:right w:val="none" w:sz="0" w:space="0" w:color="auto"/>
                              </w:divBdr>
                            </w:div>
                            <w:div w:id="1776706589">
                              <w:marLeft w:val="0"/>
                              <w:marRight w:val="0"/>
                              <w:marTop w:val="0"/>
                              <w:marBottom w:val="0"/>
                              <w:divBdr>
                                <w:top w:val="none" w:sz="0" w:space="0" w:color="auto"/>
                                <w:left w:val="none" w:sz="0" w:space="0" w:color="auto"/>
                                <w:bottom w:val="none" w:sz="0" w:space="0" w:color="auto"/>
                                <w:right w:val="none" w:sz="0" w:space="0" w:color="auto"/>
                              </w:divBdr>
                            </w:div>
                            <w:div w:id="1887595328">
                              <w:marLeft w:val="0"/>
                              <w:marRight w:val="0"/>
                              <w:marTop w:val="0"/>
                              <w:marBottom w:val="0"/>
                              <w:divBdr>
                                <w:top w:val="none" w:sz="0" w:space="0" w:color="auto"/>
                                <w:left w:val="none" w:sz="0" w:space="0" w:color="auto"/>
                                <w:bottom w:val="none" w:sz="0" w:space="0" w:color="auto"/>
                                <w:right w:val="none" w:sz="0" w:space="0" w:color="auto"/>
                              </w:divBdr>
                            </w:div>
                            <w:div w:id="1930691978">
                              <w:marLeft w:val="0"/>
                              <w:marRight w:val="0"/>
                              <w:marTop w:val="0"/>
                              <w:marBottom w:val="0"/>
                              <w:divBdr>
                                <w:top w:val="none" w:sz="0" w:space="0" w:color="auto"/>
                                <w:left w:val="none" w:sz="0" w:space="0" w:color="auto"/>
                                <w:bottom w:val="none" w:sz="0" w:space="0" w:color="auto"/>
                                <w:right w:val="none" w:sz="0" w:space="0" w:color="auto"/>
                              </w:divBdr>
                            </w:div>
                            <w:div w:id="1964579711">
                              <w:marLeft w:val="0"/>
                              <w:marRight w:val="0"/>
                              <w:marTop w:val="0"/>
                              <w:marBottom w:val="0"/>
                              <w:divBdr>
                                <w:top w:val="none" w:sz="0" w:space="0" w:color="auto"/>
                                <w:left w:val="none" w:sz="0" w:space="0" w:color="auto"/>
                                <w:bottom w:val="none" w:sz="0" w:space="0" w:color="auto"/>
                                <w:right w:val="none" w:sz="0" w:space="0" w:color="auto"/>
                              </w:divBdr>
                            </w:div>
                            <w:div w:id="2019190741">
                              <w:marLeft w:val="0"/>
                              <w:marRight w:val="0"/>
                              <w:marTop w:val="0"/>
                              <w:marBottom w:val="0"/>
                              <w:divBdr>
                                <w:top w:val="none" w:sz="0" w:space="0" w:color="auto"/>
                                <w:left w:val="none" w:sz="0" w:space="0" w:color="auto"/>
                                <w:bottom w:val="none" w:sz="0" w:space="0" w:color="auto"/>
                                <w:right w:val="none" w:sz="0" w:space="0" w:color="auto"/>
                              </w:divBdr>
                            </w:div>
                            <w:div w:id="20398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12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179465">
      <w:bodyDiv w:val="1"/>
      <w:marLeft w:val="0"/>
      <w:marRight w:val="0"/>
      <w:marTop w:val="0"/>
      <w:marBottom w:val="0"/>
      <w:divBdr>
        <w:top w:val="none" w:sz="0" w:space="0" w:color="auto"/>
        <w:left w:val="none" w:sz="0" w:space="0" w:color="auto"/>
        <w:bottom w:val="none" w:sz="0" w:space="0" w:color="auto"/>
        <w:right w:val="none" w:sz="0" w:space="0" w:color="auto"/>
      </w:divBdr>
      <w:divsChild>
        <w:div w:id="2054769147">
          <w:marLeft w:val="0"/>
          <w:marRight w:val="0"/>
          <w:marTop w:val="0"/>
          <w:marBottom w:val="0"/>
          <w:divBdr>
            <w:top w:val="none" w:sz="0" w:space="0" w:color="auto"/>
            <w:left w:val="none" w:sz="0" w:space="0" w:color="auto"/>
            <w:bottom w:val="none" w:sz="0" w:space="0" w:color="auto"/>
            <w:right w:val="none" w:sz="0" w:space="0" w:color="auto"/>
          </w:divBdr>
          <w:divsChild>
            <w:div w:id="630481273">
              <w:marLeft w:val="0"/>
              <w:marRight w:val="0"/>
              <w:marTop w:val="0"/>
              <w:marBottom w:val="0"/>
              <w:divBdr>
                <w:top w:val="none" w:sz="0" w:space="0" w:color="auto"/>
                <w:left w:val="none" w:sz="0" w:space="0" w:color="auto"/>
                <w:bottom w:val="none" w:sz="0" w:space="0" w:color="auto"/>
                <w:right w:val="none" w:sz="0" w:space="0" w:color="auto"/>
              </w:divBdr>
              <w:divsChild>
                <w:div w:id="645234420">
                  <w:marLeft w:val="0"/>
                  <w:marRight w:val="0"/>
                  <w:marTop w:val="0"/>
                  <w:marBottom w:val="0"/>
                  <w:divBdr>
                    <w:top w:val="none" w:sz="0" w:space="0" w:color="auto"/>
                    <w:left w:val="none" w:sz="0" w:space="0" w:color="auto"/>
                    <w:bottom w:val="none" w:sz="0" w:space="0" w:color="auto"/>
                    <w:right w:val="none" w:sz="0" w:space="0" w:color="auto"/>
                  </w:divBdr>
                  <w:divsChild>
                    <w:div w:id="1249777333">
                      <w:marLeft w:val="0"/>
                      <w:marRight w:val="0"/>
                      <w:marTop w:val="0"/>
                      <w:marBottom w:val="0"/>
                      <w:divBdr>
                        <w:top w:val="none" w:sz="0" w:space="0" w:color="auto"/>
                        <w:left w:val="none" w:sz="0" w:space="0" w:color="auto"/>
                        <w:bottom w:val="none" w:sz="0" w:space="0" w:color="auto"/>
                        <w:right w:val="none" w:sz="0" w:space="0" w:color="auto"/>
                      </w:divBdr>
                      <w:divsChild>
                        <w:div w:id="75782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89336">
                  <w:marLeft w:val="0"/>
                  <w:marRight w:val="0"/>
                  <w:marTop w:val="0"/>
                  <w:marBottom w:val="0"/>
                  <w:divBdr>
                    <w:top w:val="none" w:sz="0" w:space="0" w:color="auto"/>
                    <w:left w:val="none" w:sz="0" w:space="0" w:color="auto"/>
                    <w:bottom w:val="none" w:sz="0" w:space="0" w:color="auto"/>
                    <w:right w:val="none" w:sz="0" w:space="0" w:color="auto"/>
                  </w:divBdr>
                  <w:divsChild>
                    <w:div w:id="1854952912">
                      <w:marLeft w:val="0"/>
                      <w:marRight w:val="0"/>
                      <w:marTop w:val="0"/>
                      <w:marBottom w:val="0"/>
                      <w:divBdr>
                        <w:top w:val="none" w:sz="0" w:space="0" w:color="auto"/>
                        <w:left w:val="none" w:sz="0" w:space="0" w:color="auto"/>
                        <w:bottom w:val="none" w:sz="0" w:space="0" w:color="auto"/>
                        <w:right w:val="none" w:sz="0" w:space="0" w:color="auto"/>
                      </w:divBdr>
                      <w:divsChild>
                        <w:div w:id="16863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8017">
                  <w:marLeft w:val="0"/>
                  <w:marRight w:val="0"/>
                  <w:marTop w:val="0"/>
                  <w:marBottom w:val="0"/>
                  <w:divBdr>
                    <w:top w:val="none" w:sz="0" w:space="0" w:color="auto"/>
                    <w:left w:val="none" w:sz="0" w:space="0" w:color="auto"/>
                    <w:bottom w:val="none" w:sz="0" w:space="0" w:color="auto"/>
                    <w:right w:val="none" w:sz="0" w:space="0" w:color="auto"/>
                  </w:divBdr>
                  <w:divsChild>
                    <w:div w:id="616370732">
                      <w:marLeft w:val="0"/>
                      <w:marRight w:val="0"/>
                      <w:marTop w:val="0"/>
                      <w:marBottom w:val="0"/>
                      <w:divBdr>
                        <w:top w:val="none" w:sz="0" w:space="0" w:color="auto"/>
                        <w:left w:val="none" w:sz="0" w:space="0" w:color="auto"/>
                        <w:bottom w:val="none" w:sz="0" w:space="0" w:color="auto"/>
                        <w:right w:val="none" w:sz="0" w:space="0" w:color="auto"/>
                      </w:divBdr>
                      <w:divsChild>
                        <w:div w:id="76765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739935">
      <w:bodyDiv w:val="1"/>
      <w:marLeft w:val="0"/>
      <w:marRight w:val="0"/>
      <w:marTop w:val="0"/>
      <w:marBottom w:val="0"/>
      <w:divBdr>
        <w:top w:val="none" w:sz="0" w:space="0" w:color="auto"/>
        <w:left w:val="none" w:sz="0" w:space="0" w:color="auto"/>
        <w:bottom w:val="none" w:sz="0" w:space="0" w:color="auto"/>
        <w:right w:val="none" w:sz="0" w:space="0" w:color="auto"/>
      </w:divBdr>
      <w:divsChild>
        <w:div w:id="882401802">
          <w:marLeft w:val="0"/>
          <w:marRight w:val="0"/>
          <w:marTop w:val="0"/>
          <w:marBottom w:val="0"/>
          <w:divBdr>
            <w:top w:val="none" w:sz="0" w:space="0" w:color="auto"/>
            <w:left w:val="none" w:sz="0" w:space="0" w:color="auto"/>
            <w:bottom w:val="none" w:sz="0" w:space="0" w:color="auto"/>
            <w:right w:val="none" w:sz="0" w:space="0" w:color="auto"/>
          </w:divBdr>
          <w:divsChild>
            <w:div w:id="1436898521">
              <w:marLeft w:val="0"/>
              <w:marRight w:val="0"/>
              <w:marTop w:val="0"/>
              <w:marBottom w:val="0"/>
              <w:divBdr>
                <w:top w:val="none" w:sz="0" w:space="0" w:color="auto"/>
                <w:left w:val="none" w:sz="0" w:space="0" w:color="auto"/>
                <w:bottom w:val="none" w:sz="0" w:space="0" w:color="auto"/>
                <w:right w:val="none" w:sz="0" w:space="0" w:color="auto"/>
              </w:divBdr>
              <w:divsChild>
                <w:div w:id="58788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174009">
      <w:bodyDiv w:val="1"/>
      <w:marLeft w:val="0"/>
      <w:marRight w:val="0"/>
      <w:marTop w:val="0"/>
      <w:marBottom w:val="0"/>
      <w:divBdr>
        <w:top w:val="none" w:sz="0" w:space="0" w:color="auto"/>
        <w:left w:val="none" w:sz="0" w:space="0" w:color="auto"/>
        <w:bottom w:val="none" w:sz="0" w:space="0" w:color="auto"/>
        <w:right w:val="none" w:sz="0" w:space="0" w:color="auto"/>
      </w:divBdr>
      <w:divsChild>
        <w:div w:id="1294168274">
          <w:marLeft w:val="0"/>
          <w:marRight w:val="0"/>
          <w:marTop w:val="0"/>
          <w:marBottom w:val="0"/>
          <w:divBdr>
            <w:top w:val="none" w:sz="0" w:space="0" w:color="auto"/>
            <w:left w:val="none" w:sz="0" w:space="0" w:color="auto"/>
            <w:bottom w:val="none" w:sz="0" w:space="0" w:color="auto"/>
            <w:right w:val="none" w:sz="0" w:space="0" w:color="auto"/>
          </w:divBdr>
          <w:divsChild>
            <w:div w:id="1248075436">
              <w:marLeft w:val="0"/>
              <w:marRight w:val="0"/>
              <w:marTop w:val="0"/>
              <w:marBottom w:val="0"/>
              <w:divBdr>
                <w:top w:val="none" w:sz="0" w:space="0" w:color="auto"/>
                <w:left w:val="none" w:sz="0" w:space="0" w:color="auto"/>
                <w:bottom w:val="none" w:sz="0" w:space="0" w:color="auto"/>
                <w:right w:val="none" w:sz="0" w:space="0" w:color="auto"/>
              </w:divBdr>
              <w:divsChild>
                <w:div w:id="416706716">
                  <w:marLeft w:val="0"/>
                  <w:marRight w:val="0"/>
                  <w:marTop w:val="0"/>
                  <w:marBottom w:val="0"/>
                  <w:divBdr>
                    <w:top w:val="none" w:sz="0" w:space="0" w:color="auto"/>
                    <w:left w:val="none" w:sz="0" w:space="0" w:color="auto"/>
                    <w:bottom w:val="none" w:sz="0" w:space="0" w:color="auto"/>
                    <w:right w:val="none" w:sz="0" w:space="0" w:color="auto"/>
                  </w:divBdr>
                  <w:divsChild>
                    <w:div w:id="145031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687764">
      <w:bodyDiv w:val="1"/>
      <w:marLeft w:val="0"/>
      <w:marRight w:val="0"/>
      <w:marTop w:val="0"/>
      <w:marBottom w:val="0"/>
      <w:divBdr>
        <w:top w:val="none" w:sz="0" w:space="0" w:color="auto"/>
        <w:left w:val="none" w:sz="0" w:space="0" w:color="auto"/>
        <w:bottom w:val="none" w:sz="0" w:space="0" w:color="auto"/>
        <w:right w:val="none" w:sz="0" w:space="0" w:color="auto"/>
      </w:divBdr>
      <w:divsChild>
        <w:div w:id="779837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2439299">
              <w:marLeft w:val="0"/>
              <w:marRight w:val="0"/>
              <w:marTop w:val="0"/>
              <w:marBottom w:val="0"/>
              <w:divBdr>
                <w:top w:val="none" w:sz="0" w:space="0" w:color="auto"/>
                <w:left w:val="none" w:sz="0" w:space="0" w:color="auto"/>
                <w:bottom w:val="none" w:sz="0" w:space="0" w:color="auto"/>
                <w:right w:val="none" w:sz="0" w:space="0" w:color="auto"/>
              </w:divBdr>
              <w:divsChild>
                <w:div w:id="179582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627056">
      <w:bodyDiv w:val="1"/>
      <w:marLeft w:val="0"/>
      <w:marRight w:val="0"/>
      <w:marTop w:val="0"/>
      <w:marBottom w:val="0"/>
      <w:divBdr>
        <w:top w:val="none" w:sz="0" w:space="0" w:color="auto"/>
        <w:left w:val="none" w:sz="0" w:space="0" w:color="auto"/>
        <w:bottom w:val="none" w:sz="0" w:space="0" w:color="auto"/>
        <w:right w:val="none" w:sz="0" w:space="0" w:color="auto"/>
      </w:divBdr>
    </w:div>
    <w:div w:id="1390425364">
      <w:bodyDiv w:val="1"/>
      <w:marLeft w:val="0"/>
      <w:marRight w:val="0"/>
      <w:marTop w:val="0"/>
      <w:marBottom w:val="0"/>
      <w:divBdr>
        <w:top w:val="none" w:sz="0" w:space="0" w:color="auto"/>
        <w:left w:val="none" w:sz="0" w:space="0" w:color="auto"/>
        <w:bottom w:val="none" w:sz="0" w:space="0" w:color="auto"/>
        <w:right w:val="none" w:sz="0" w:space="0" w:color="auto"/>
      </w:divBdr>
      <w:divsChild>
        <w:div w:id="1031102663">
          <w:marLeft w:val="0"/>
          <w:marRight w:val="0"/>
          <w:marTop w:val="0"/>
          <w:marBottom w:val="0"/>
          <w:divBdr>
            <w:top w:val="none" w:sz="0" w:space="0" w:color="auto"/>
            <w:left w:val="none" w:sz="0" w:space="0" w:color="auto"/>
            <w:bottom w:val="none" w:sz="0" w:space="0" w:color="auto"/>
            <w:right w:val="none" w:sz="0" w:space="0" w:color="auto"/>
          </w:divBdr>
          <w:divsChild>
            <w:div w:id="807238527">
              <w:marLeft w:val="0"/>
              <w:marRight w:val="0"/>
              <w:marTop w:val="0"/>
              <w:marBottom w:val="0"/>
              <w:divBdr>
                <w:top w:val="none" w:sz="0" w:space="0" w:color="auto"/>
                <w:left w:val="none" w:sz="0" w:space="0" w:color="auto"/>
                <w:bottom w:val="none" w:sz="0" w:space="0" w:color="auto"/>
                <w:right w:val="none" w:sz="0" w:space="0" w:color="auto"/>
              </w:divBdr>
            </w:div>
            <w:div w:id="1536887533">
              <w:marLeft w:val="0"/>
              <w:marRight w:val="0"/>
              <w:marTop w:val="0"/>
              <w:marBottom w:val="0"/>
              <w:divBdr>
                <w:top w:val="none" w:sz="0" w:space="0" w:color="auto"/>
                <w:left w:val="none" w:sz="0" w:space="0" w:color="auto"/>
                <w:bottom w:val="none" w:sz="0" w:space="0" w:color="auto"/>
                <w:right w:val="none" w:sz="0" w:space="0" w:color="auto"/>
              </w:divBdr>
            </w:div>
            <w:div w:id="1577546832">
              <w:marLeft w:val="0"/>
              <w:marRight w:val="0"/>
              <w:marTop w:val="0"/>
              <w:marBottom w:val="0"/>
              <w:divBdr>
                <w:top w:val="none" w:sz="0" w:space="0" w:color="auto"/>
                <w:left w:val="none" w:sz="0" w:space="0" w:color="auto"/>
                <w:bottom w:val="none" w:sz="0" w:space="0" w:color="auto"/>
                <w:right w:val="none" w:sz="0" w:space="0" w:color="auto"/>
              </w:divBdr>
            </w:div>
            <w:div w:id="1808089982">
              <w:marLeft w:val="0"/>
              <w:marRight w:val="0"/>
              <w:marTop w:val="0"/>
              <w:marBottom w:val="0"/>
              <w:divBdr>
                <w:top w:val="none" w:sz="0" w:space="0" w:color="auto"/>
                <w:left w:val="none" w:sz="0" w:space="0" w:color="auto"/>
                <w:bottom w:val="none" w:sz="0" w:space="0" w:color="auto"/>
                <w:right w:val="none" w:sz="0" w:space="0" w:color="auto"/>
              </w:divBdr>
            </w:div>
            <w:div w:id="2145734169">
              <w:marLeft w:val="0"/>
              <w:marRight w:val="0"/>
              <w:marTop w:val="0"/>
              <w:marBottom w:val="0"/>
              <w:divBdr>
                <w:top w:val="none" w:sz="0" w:space="0" w:color="auto"/>
                <w:left w:val="none" w:sz="0" w:space="0" w:color="auto"/>
                <w:bottom w:val="none" w:sz="0" w:space="0" w:color="auto"/>
                <w:right w:val="none" w:sz="0" w:space="0" w:color="auto"/>
              </w:divBdr>
            </w:div>
          </w:divsChild>
        </w:div>
        <w:div w:id="1229078581">
          <w:marLeft w:val="0"/>
          <w:marRight w:val="0"/>
          <w:marTop w:val="0"/>
          <w:marBottom w:val="0"/>
          <w:divBdr>
            <w:top w:val="none" w:sz="0" w:space="0" w:color="auto"/>
            <w:left w:val="none" w:sz="0" w:space="0" w:color="auto"/>
            <w:bottom w:val="none" w:sz="0" w:space="0" w:color="auto"/>
            <w:right w:val="none" w:sz="0" w:space="0" w:color="auto"/>
          </w:divBdr>
        </w:div>
        <w:div w:id="1418480315">
          <w:marLeft w:val="0"/>
          <w:marRight w:val="0"/>
          <w:marTop w:val="0"/>
          <w:marBottom w:val="0"/>
          <w:divBdr>
            <w:top w:val="none" w:sz="0" w:space="0" w:color="auto"/>
            <w:left w:val="none" w:sz="0" w:space="0" w:color="auto"/>
            <w:bottom w:val="none" w:sz="0" w:space="0" w:color="auto"/>
            <w:right w:val="none" w:sz="0" w:space="0" w:color="auto"/>
          </w:divBdr>
        </w:div>
        <w:div w:id="1990359939">
          <w:marLeft w:val="0"/>
          <w:marRight w:val="0"/>
          <w:marTop w:val="0"/>
          <w:marBottom w:val="0"/>
          <w:divBdr>
            <w:top w:val="none" w:sz="0" w:space="0" w:color="auto"/>
            <w:left w:val="none" w:sz="0" w:space="0" w:color="auto"/>
            <w:bottom w:val="none" w:sz="0" w:space="0" w:color="auto"/>
            <w:right w:val="none" w:sz="0" w:space="0" w:color="auto"/>
          </w:divBdr>
        </w:div>
      </w:divsChild>
    </w:div>
    <w:div w:id="1391265854">
      <w:bodyDiv w:val="1"/>
      <w:marLeft w:val="0"/>
      <w:marRight w:val="0"/>
      <w:marTop w:val="0"/>
      <w:marBottom w:val="0"/>
      <w:divBdr>
        <w:top w:val="none" w:sz="0" w:space="0" w:color="auto"/>
        <w:left w:val="none" w:sz="0" w:space="0" w:color="auto"/>
        <w:bottom w:val="none" w:sz="0" w:space="0" w:color="auto"/>
        <w:right w:val="none" w:sz="0" w:space="0" w:color="auto"/>
      </w:divBdr>
    </w:div>
    <w:div w:id="1393386615">
      <w:bodyDiv w:val="1"/>
      <w:marLeft w:val="0"/>
      <w:marRight w:val="0"/>
      <w:marTop w:val="0"/>
      <w:marBottom w:val="0"/>
      <w:divBdr>
        <w:top w:val="none" w:sz="0" w:space="0" w:color="auto"/>
        <w:left w:val="none" w:sz="0" w:space="0" w:color="auto"/>
        <w:bottom w:val="none" w:sz="0" w:space="0" w:color="auto"/>
        <w:right w:val="none" w:sz="0" w:space="0" w:color="auto"/>
      </w:divBdr>
      <w:divsChild>
        <w:div w:id="2123718488">
          <w:marLeft w:val="0"/>
          <w:marRight w:val="0"/>
          <w:marTop w:val="0"/>
          <w:marBottom w:val="0"/>
          <w:divBdr>
            <w:top w:val="none" w:sz="0" w:space="0" w:color="auto"/>
            <w:left w:val="none" w:sz="0" w:space="0" w:color="auto"/>
            <w:bottom w:val="none" w:sz="0" w:space="0" w:color="auto"/>
            <w:right w:val="none" w:sz="0" w:space="0" w:color="auto"/>
          </w:divBdr>
          <w:divsChild>
            <w:div w:id="278874697">
              <w:marLeft w:val="0"/>
              <w:marRight w:val="0"/>
              <w:marTop w:val="0"/>
              <w:marBottom w:val="0"/>
              <w:divBdr>
                <w:top w:val="none" w:sz="0" w:space="0" w:color="auto"/>
                <w:left w:val="none" w:sz="0" w:space="0" w:color="auto"/>
                <w:bottom w:val="none" w:sz="0" w:space="0" w:color="auto"/>
                <w:right w:val="none" w:sz="0" w:space="0" w:color="auto"/>
              </w:divBdr>
              <w:divsChild>
                <w:div w:id="928467133">
                  <w:marLeft w:val="0"/>
                  <w:marRight w:val="0"/>
                  <w:marTop w:val="0"/>
                  <w:marBottom w:val="0"/>
                  <w:divBdr>
                    <w:top w:val="none" w:sz="0" w:space="0" w:color="auto"/>
                    <w:left w:val="none" w:sz="0" w:space="0" w:color="auto"/>
                    <w:bottom w:val="none" w:sz="0" w:space="0" w:color="auto"/>
                    <w:right w:val="none" w:sz="0" w:space="0" w:color="auto"/>
                  </w:divBdr>
                  <w:divsChild>
                    <w:div w:id="155793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522988">
      <w:bodyDiv w:val="1"/>
      <w:marLeft w:val="0"/>
      <w:marRight w:val="0"/>
      <w:marTop w:val="0"/>
      <w:marBottom w:val="0"/>
      <w:divBdr>
        <w:top w:val="none" w:sz="0" w:space="0" w:color="auto"/>
        <w:left w:val="none" w:sz="0" w:space="0" w:color="auto"/>
        <w:bottom w:val="none" w:sz="0" w:space="0" w:color="auto"/>
        <w:right w:val="none" w:sz="0" w:space="0" w:color="auto"/>
      </w:divBdr>
      <w:divsChild>
        <w:div w:id="1517500929">
          <w:marLeft w:val="0"/>
          <w:marRight w:val="0"/>
          <w:marTop w:val="0"/>
          <w:marBottom w:val="300"/>
          <w:divBdr>
            <w:top w:val="none" w:sz="0" w:space="0" w:color="auto"/>
            <w:left w:val="none" w:sz="0" w:space="0" w:color="auto"/>
            <w:bottom w:val="none" w:sz="0" w:space="0" w:color="auto"/>
            <w:right w:val="none" w:sz="0" w:space="0" w:color="auto"/>
          </w:divBdr>
        </w:div>
      </w:divsChild>
    </w:div>
    <w:div w:id="1406219030">
      <w:bodyDiv w:val="1"/>
      <w:marLeft w:val="0"/>
      <w:marRight w:val="0"/>
      <w:marTop w:val="0"/>
      <w:marBottom w:val="0"/>
      <w:divBdr>
        <w:top w:val="none" w:sz="0" w:space="0" w:color="auto"/>
        <w:left w:val="none" w:sz="0" w:space="0" w:color="auto"/>
        <w:bottom w:val="none" w:sz="0" w:space="0" w:color="auto"/>
        <w:right w:val="none" w:sz="0" w:space="0" w:color="auto"/>
      </w:divBdr>
      <w:divsChild>
        <w:div w:id="1643189101">
          <w:marLeft w:val="0"/>
          <w:marRight w:val="0"/>
          <w:marTop w:val="0"/>
          <w:marBottom w:val="0"/>
          <w:divBdr>
            <w:top w:val="none" w:sz="0" w:space="0" w:color="auto"/>
            <w:left w:val="none" w:sz="0" w:space="0" w:color="auto"/>
            <w:bottom w:val="none" w:sz="0" w:space="0" w:color="auto"/>
            <w:right w:val="none" w:sz="0" w:space="0" w:color="auto"/>
          </w:divBdr>
          <w:divsChild>
            <w:div w:id="1673993744">
              <w:marLeft w:val="0"/>
              <w:marRight w:val="0"/>
              <w:marTop w:val="0"/>
              <w:marBottom w:val="0"/>
              <w:divBdr>
                <w:top w:val="none" w:sz="0" w:space="0" w:color="auto"/>
                <w:left w:val="none" w:sz="0" w:space="0" w:color="auto"/>
                <w:bottom w:val="none" w:sz="0" w:space="0" w:color="auto"/>
                <w:right w:val="none" w:sz="0" w:space="0" w:color="auto"/>
              </w:divBdr>
              <w:divsChild>
                <w:div w:id="84023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42715">
      <w:bodyDiv w:val="1"/>
      <w:marLeft w:val="0"/>
      <w:marRight w:val="0"/>
      <w:marTop w:val="0"/>
      <w:marBottom w:val="0"/>
      <w:divBdr>
        <w:top w:val="none" w:sz="0" w:space="0" w:color="auto"/>
        <w:left w:val="none" w:sz="0" w:space="0" w:color="auto"/>
        <w:bottom w:val="none" w:sz="0" w:space="0" w:color="auto"/>
        <w:right w:val="none" w:sz="0" w:space="0" w:color="auto"/>
      </w:divBdr>
    </w:div>
    <w:div w:id="1425146123">
      <w:bodyDiv w:val="1"/>
      <w:marLeft w:val="0"/>
      <w:marRight w:val="0"/>
      <w:marTop w:val="0"/>
      <w:marBottom w:val="0"/>
      <w:divBdr>
        <w:top w:val="none" w:sz="0" w:space="0" w:color="auto"/>
        <w:left w:val="none" w:sz="0" w:space="0" w:color="auto"/>
        <w:bottom w:val="none" w:sz="0" w:space="0" w:color="auto"/>
        <w:right w:val="none" w:sz="0" w:space="0" w:color="auto"/>
      </w:divBdr>
      <w:divsChild>
        <w:div w:id="311444363">
          <w:marLeft w:val="0"/>
          <w:marRight w:val="0"/>
          <w:marTop w:val="0"/>
          <w:marBottom w:val="0"/>
          <w:divBdr>
            <w:top w:val="none" w:sz="0" w:space="0" w:color="auto"/>
            <w:left w:val="none" w:sz="0" w:space="0" w:color="auto"/>
            <w:bottom w:val="none" w:sz="0" w:space="0" w:color="auto"/>
            <w:right w:val="none" w:sz="0" w:space="0" w:color="auto"/>
          </w:divBdr>
          <w:divsChild>
            <w:div w:id="2006935880">
              <w:marLeft w:val="0"/>
              <w:marRight w:val="0"/>
              <w:marTop w:val="0"/>
              <w:marBottom w:val="0"/>
              <w:divBdr>
                <w:top w:val="none" w:sz="0" w:space="0" w:color="auto"/>
                <w:left w:val="none" w:sz="0" w:space="0" w:color="auto"/>
                <w:bottom w:val="none" w:sz="0" w:space="0" w:color="auto"/>
                <w:right w:val="none" w:sz="0" w:space="0" w:color="auto"/>
              </w:divBdr>
              <w:divsChild>
                <w:div w:id="45447740">
                  <w:marLeft w:val="0"/>
                  <w:marRight w:val="0"/>
                  <w:marTop w:val="0"/>
                  <w:marBottom w:val="0"/>
                  <w:divBdr>
                    <w:top w:val="none" w:sz="0" w:space="0" w:color="auto"/>
                    <w:left w:val="none" w:sz="0" w:space="0" w:color="auto"/>
                    <w:bottom w:val="none" w:sz="0" w:space="0" w:color="auto"/>
                    <w:right w:val="none" w:sz="0" w:space="0" w:color="auto"/>
                  </w:divBdr>
                  <w:divsChild>
                    <w:div w:id="106697861">
                      <w:marLeft w:val="0"/>
                      <w:marRight w:val="0"/>
                      <w:marTop w:val="0"/>
                      <w:marBottom w:val="0"/>
                      <w:divBdr>
                        <w:top w:val="none" w:sz="0" w:space="0" w:color="auto"/>
                        <w:left w:val="none" w:sz="0" w:space="0" w:color="auto"/>
                        <w:bottom w:val="none" w:sz="0" w:space="0" w:color="auto"/>
                        <w:right w:val="none" w:sz="0" w:space="0" w:color="auto"/>
                      </w:divBdr>
                      <w:divsChild>
                        <w:div w:id="654727585">
                          <w:marLeft w:val="0"/>
                          <w:marRight w:val="0"/>
                          <w:marTop w:val="0"/>
                          <w:marBottom w:val="0"/>
                          <w:divBdr>
                            <w:top w:val="none" w:sz="0" w:space="0" w:color="auto"/>
                            <w:left w:val="none" w:sz="0" w:space="0" w:color="auto"/>
                            <w:bottom w:val="none" w:sz="0" w:space="0" w:color="auto"/>
                            <w:right w:val="none" w:sz="0" w:space="0" w:color="auto"/>
                          </w:divBdr>
                        </w:div>
                      </w:divsChild>
                    </w:div>
                    <w:div w:id="730738909">
                      <w:marLeft w:val="0"/>
                      <w:marRight w:val="0"/>
                      <w:marTop w:val="0"/>
                      <w:marBottom w:val="0"/>
                      <w:divBdr>
                        <w:top w:val="none" w:sz="0" w:space="0" w:color="auto"/>
                        <w:left w:val="none" w:sz="0" w:space="0" w:color="auto"/>
                        <w:bottom w:val="none" w:sz="0" w:space="0" w:color="auto"/>
                        <w:right w:val="none" w:sz="0" w:space="0" w:color="auto"/>
                      </w:divBdr>
                      <w:divsChild>
                        <w:div w:id="2141023221">
                          <w:marLeft w:val="0"/>
                          <w:marRight w:val="0"/>
                          <w:marTop w:val="0"/>
                          <w:marBottom w:val="0"/>
                          <w:divBdr>
                            <w:top w:val="none" w:sz="0" w:space="0" w:color="auto"/>
                            <w:left w:val="none" w:sz="0" w:space="0" w:color="auto"/>
                            <w:bottom w:val="none" w:sz="0" w:space="0" w:color="auto"/>
                            <w:right w:val="none" w:sz="0" w:space="0" w:color="auto"/>
                          </w:divBdr>
                          <w:divsChild>
                            <w:div w:id="9161327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3384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236991">
          <w:marLeft w:val="0"/>
          <w:marRight w:val="0"/>
          <w:marTop w:val="0"/>
          <w:marBottom w:val="0"/>
          <w:divBdr>
            <w:top w:val="none" w:sz="0" w:space="0" w:color="auto"/>
            <w:left w:val="none" w:sz="0" w:space="0" w:color="auto"/>
            <w:bottom w:val="none" w:sz="0" w:space="0" w:color="auto"/>
            <w:right w:val="none" w:sz="0" w:space="0" w:color="auto"/>
          </w:divBdr>
          <w:divsChild>
            <w:div w:id="1601066271">
              <w:marLeft w:val="0"/>
              <w:marRight w:val="0"/>
              <w:marTop w:val="0"/>
              <w:marBottom w:val="0"/>
              <w:divBdr>
                <w:top w:val="none" w:sz="0" w:space="0" w:color="auto"/>
                <w:left w:val="none" w:sz="0" w:space="0" w:color="auto"/>
                <w:bottom w:val="none" w:sz="0" w:space="0" w:color="auto"/>
                <w:right w:val="none" w:sz="0" w:space="0" w:color="auto"/>
              </w:divBdr>
              <w:divsChild>
                <w:div w:id="2031294371">
                  <w:marLeft w:val="0"/>
                  <w:marRight w:val="0"/>
                  <w:marTop w:val="0"/>
                  <w:marBottom w:val="0"/>
                  <w:divBdr>
                    <w:top w:val="none" w:sz="0" w:space="0" w:color="auto"/>
                    <w:left w:val="none" w:sz="0" w:space="0" w:color="auto"/>
                    <w:bottom w:val="none" w:sz="0" w:space="0" w:color="auto"/>
                    <w:right w:val="none" w:sz="0" w:space="0" w:color="auto"/>
                  </w:divBdr>
                  <w:divsChild>
                    <w:div w:id="1184129747">
                      <w:marLeft w:val="0"/>
                      <w:marRight w:val="0"/>
                      <w:marTop w:val="0"/>
                      <w:marBottom w:val="0"/>
                      <w:divBdr>
                        <w:top w:val="none" w:sz="0" w:space="0" w:color="auto"/>
                        <w:left w:val="none" w:sz="0" w:space="0" w:color="auto"/>
                        <w:bottom w:val="none" w:sz="0" w:space="0" w:color="auto"/>
                        <w:right w:val="none" w:sz="0" w:space="0" w:color="auto"/>
                      </w:divBdr>
                      <w:divsChild>
                        <w:div w:id="288827814">
                          <w:marLeft w:val="0"/>
                          <w:marRight w:val="0"/>
                          <w:marTop w:val="0"/>
                          <w:marBottom w:val="0"/>
                          <w:divBdr>
                            <w:top w:val="none" w:sz="0" w:space="0" w:color="auto"/>
                            <w:left w:val="none" w:sz="0" w:space="0" w:color="auto"/>
                            <w:bottom w:val="none" w:sz="0" w:space="0" w:color="auto"/>
                            <w:right w:val="none" w:sz="0" w:space="0" w:color="auto"/>
                          </w:divBdr>
                          <w:divsChild>
                            <w:div w:id="24222308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95600158">
                      <w:marLeft w:val="0"/>
                      <w:marRight w:val="0"/>
                      <w:marTop w:val="0"/>
                      <w:marBottom w:val="0"/>
                      <w:divBdr>
                        <w:top w:val="none" w:sz="0" w:space="0" w:color="auto"/>
                        <w:left w:val="none" w:sz="0" w:space="0" w:color="auto"/>
                        <w:bottom w:val="none" w:sz="0" w:space="0" w:color="auto"/>
                        <w:right w:val="none" w:sz="0" w:space="0" w:color="auto"/>
                      </w:divBdr>
                      <w:divsChild>
                        <w:div w:id="1469278367">
                          <w:marLeft w:val="0"/>
                          <w:marRight w:val="0"/>
                          <w:marTop w:val="0"/>
                          <w:marBottom w:val="0"/>
                          <w:divBdr>
                            <w:top w:val="none" w:sz="0" w:space="0" w:color="auto"/>
                            <w:left w:val="none" w:sz="0" w:space="0" w:color="auto"/>
                            <w:bottom w:val="none" w:sz="0" w:space="0" w:color="auto"/>
                            <w:right w:val="none" w:sz="0" w:space="0" w:color="auto"/>
                          </w:divBdr>
                        </w:div>
                      </w:divsChild>
                    </w:div>
                    <w:div w:id="191982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54266">
          <w:marLeft w:val="0"/>
          <w:marRight w:val="0"/>
          <w:marTop w:val="0"/>
          <w:marBottom w:val="0"/>
          <w:divBdr>
            <w:top w:val="none" w:sz="0" w:space="0" w:color="auto"/>
            <w:left w:val="none" w:sz="0" w:space="0" w:color="auto"/>
            <w:bottom w:val="none" w:sz="0" w:space="0" w:color="auto"/>
            <w:right w:val="none" w:sz="0" w:space="0" w:color="auto"/>
          </w:divBdr>
          <w:divsChild>
            <w:div w:id="904878314">
              <w:marLeft w:val="0"/>
              <w:marRight w:val="0"/>
              <w:marTop w:val="0"/>
              <w:marBottom w:val="0"/>
              <w:divBdr>
                <w:top w:val="none" w:sz="0" w:space="0" w:color="auto"/>
                <w:left w:val="none" w:sz="0" w:space="0" w:color="auto"/>
                <w:bottom w:val="none" w:sz="0" w:space="0" w:color="auto"/>
                <w:right w:val="none" w:sz="0" w:space="0" w:color="auto"/>
              </w:divBdr>
              <w:divsChild>
                <w:div w:id="622732325">
                  <w:marLeft w:val="0"/>
                  <w:marRight w:val="0"/>
                  <w:marTop w:val="0"/>
                  <w:marBottom w:val="0"/>
                  <w:divBdr>
                    <w:top w:val="none" w:sz="0" w:space="0" w:color="auto"/>
                    <w:left w:val="none" w:sz="0" w:space="0" w:color="auto"/>
                    <w:bottom w:val="none" w:sz="0" w:space="0" w:color="auto"/>
                    <w:right w:val="none" w:sz="0" w:space="0" w:color="auto"/>
                  </w:divBdr>
                  <w:divsChild>
                    <w:div w:id="161481490">
                      <w:marLeft w:val="0"/>
                      <w:marRight w:val="0"/>
                      <w:marTop w:val="0"/>
                      <w:marBottom w:val="0"/>
                      <w:divBdr>
                        <w:top w:val="none" w:sz="0" w:space="0" w:color="auto"/>
                        <w:left w:val="none" w:sz="0" w:space="0" w:color="auto"/>
                        <w:bottom w:val="none" w:sz="0" w:space="0" w:color="auto"/>
                        <w:right w:val="none" w:sz="0" w:space="0" w:color="auto"/>
                      </w:divBdr>
                      <w:divsChild>
                        <w:div w:id="727798009">
                          <w:marLeft w:val="0"/>
                          <w:marRight w:val="0"/>
                          <w:marTop w:val="0"/>
                          <w:marBottom w:val="0"/>
                          <w:divBdr>
                            <w:top w:val="none" w:sz="0" w:space="0" w:color="auto"/>
                            <w:left w:val="none" w:sz="0" w:space="0" w:color="auto"/>
                            <w:bottom w:val="none" w:sz="0" w:space="0" w:color="auto"/>
                            <w:right w:val="none" w:sz="0" w:space="0" w:color="auto"/>
                          </w:divBdr>
                          <w:divsChild>
                            <w:div w:id="1685701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42111632">
                      <w:marLeft w:val="0"/>
                      <w:marRight w:val="0"/>
                      <w:marTop w:val="0"/>
                      <w:marBottom w:val="0"/>
                      <w:divBdr>
                        <w:top w:val="none" w:sz="0" w:space="0" w:color="auto"/>
                        <w:left w:val="none" w:sz="0" w:space="0" w:color="auto"/>
                        <w:bottom w:val="none" w:sz="0" w:space="0" w:color="auto"/>
                        <w:right w:val="none" w:sz="0" w:space="0" w:color="auto"/>
                      </w:divBdr>
                      <w:divsChild>
                        <w:div w:id="1623805295">
                          <w:marLeft w:val="0"/>
                          <w:marRight w:val="0"/>
                          <w:marTop w:val="0"/>
                          <w:marBottom w:val="0"/>
                          <w:divBdr>
                            <w:top w:val="none" w:sz="0" w:space="0" w:color="auto"/>
                            <w:left w:val="none" w:sz="0" w:space="0" w:color="auto"/>
                            <w:bottom w:val="none" w:sz="0" w:space="0" w:color="auto"/>
                            <w:right w:val="none" w:sz="0" w:space="0" w:color="auto"/>
                          </w:divBdr>
                        </w:div>
                      </w:divsChild>
                    </w:div>
                    <w:div w:id="165387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17499">
          <w:marLeft w:val="0"/>
          <w:marRight w:val="0"/>
          <w:marTop w:val="0"/>
          <w:marBottom w:val="0"/>
          <w:divBdr>
            <w:top w:val="none" w:sz="0" w:space="0" w:color="auto"/>
            <w:left w:val="none" w:sz="0" w:space="0" w:color="auto"/>
            <w:bottom w:val="none" w:sz="0" w:space="0" w:color="auto"/>
            <w:right w:val="none" w:sz="0" w:space="0" w:color="auto"/>
          </w:divBdr>
          <w:divsChild>
            <w:div w:id="1002976288">
              <w:marLeft w:val="0"/>
              <w:marRight w:val="0"/>
              <w:marTop w:val="0"/>
              <w:marBottom w:val="0"/>
              <w:divBdr>
                <w:top w:val="none" w:sz="0" w:space="0" w:color="auto"/>
                <w:left w:val="none" w:sz="0" w:space="0" w:color="auto"/>
                <w:bottom w:val="none" w:sz="0" w:space="0" w:color="auto"/>
                <w:right w:val="none" w:sz="0" w:space="0" w:color="auto"/>
              </w:divBdr>
              <w:divsChild>
                <w:div w:id="870387461">
                  <w:marLeft w:val="0"/>
                  <w:marRight w:val="0"/>
                  <w:marTop w:val="0"/>
                  <w:marBottom w:val="0"/>
                  <w:divBdr>
                    <w:top w:val="none" w:sz="0" w:space="0" w:color="auto"/>
                    <w:left w:val="none" w:sz="0" w:space="0" w:color="auto"/>
                    <w:bottom w:val="none" w:sz="0" w:space="0" w:color="auto"/>
                    <w:right w:val="none" w:sz="0" w:space="0" w:color="auto"/>
                  </w:divBdr>
                  <w:divsChild>
                    <w:div w:id="106052035">
                      <w:marLeft w:val="0"/>
                      <w:marRight w:val="0"/>
                      <w:marTop w:val="0"/>
                      <w:marBottom w:val="0"/>
                      <w:divBdr>
                        <w:top w:val="none" w:sz="0" w:space="0" w:color="auto"/>
                        <w:left w:val="none" w:sz="0" w:space="0" w:color="auto"/>
                        <w:bottom w:val="none" w:sz="0" w:space="0" w:color="auto"/>
                        <w:right w:val="none" w:sz="0" w:space="0" w:color="auto"/>
                      </w:divBdr>
                      <w:divsChild>
                        <w:div w:id="730154239">
                          <w:marLeft w:val="0"/>
                          <w:marRight w:val="0"/>
                          <w:marTop w:val="0"/>
                          <w:marBottom w:val="0"/>
                          <w:divBdr>
                            <w:top w:val="none" w:sz="0" w:space="0" w:color="auto"/>
                            <w:left w:val="none" w:sz="0" w:space="0" w:color="auto"/>
                            <w:bottom w:val="none" w:sz="0" w:space="0" w:color="auto"/>
                            <w:right w:val="none" w:sz="0" w:space="0" w:color="auto"/>
                          </w:divBdr>
                          <w:divsChild>
                            <w:div w:id="57181291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93949530">
                      <w:marLeft w:val="0"/>
                      <w:marRight w:val="0"/>
                      <w:marTop w:val="0"/>
                      <w:marBottom w:val="0"/>
                      <w:divBdr>
                        <w:top w:val="none" w:sz="0" w:space="0" w:color="auto"/>
                        <w:left w:val="none" w:sz="0" w:space="0" w:color="auto"/>
                        <w:bottom w:val="none" w:sz="0" w:space="0" w:color="auto"/>
                        <w:right w:val="none" w:sz="0" w:space="0" w:color="auto"/>
                      </w:divBdr>
                      <w:divsChild>
                        <w:div w:id="229925799">
                          <w:marLeft w:val="0"/>
                          <w:marRight w:val="0"/>
                          <w:marTop w:val="0"/>
                          <w:marBottom w:val="0"/>
                          <w:divBdr>
                            <w:top w:val="none" w:sz="0" w:space="0" w:color="auto"/>
                            <w:left w:val="none" w:sz="0" w:space="0" w:color="auto"/>
                            <w:bottom w:val="none" w:sz="0" w:space="0" w:color="auto"/>
                            <w:right w:val="none" w:sz="0" w:space="0" w:color="auto"/>
                          </w:divBdr>
                        </w:div>
                      </w:divsChild>
                    </w:div>
                    <w:div w:id="55621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370610">
          <w:marLeft w:val="0"/>
          <w:marRight w:val="0"/>
          <w:marTop w:val="0"/>
          <w:marBottom w:val="0"/>
          <w:divBdr>
            <w:top w:val="none" w:sz="0" w:space="0" w:color="auto"/>
            <w:left w:val="none" w:sz="0" w:space="0" w:color="auto"/>
            <w:bottom w:val="none" w:sz="0" w:space="0" w:color="auto"/>
            <w:right w:val="none" w:sz="0" w:space="0" w:color="auto"/>
          </w:divBdr>
          <w:divsChild>
            <w:div w:id="72943279">
              <w:marLeft w:val="0"/>
              <w:marRight w:val="0"/>
              <w:marTop w:val="0"/>
              <w:marBottom w:val="0"/>
              <w:divBdr>
                <w:top w:val="none" w:sz="0" w:space="0" w:color="auto"/>
                <w:left w:val="none" w:sz="0" w:space="0" w:color="auto"/>
                <w:bottom w:val="none" w:sz="0" w:space="0" w:color="auto"/>
                <w:right w:val="none" w:sz="0" w:space="0" w:color="auto"/>
              </w:divBdr>
              <w:divsChild>
                <w:div w:id="352654571">
                  <w:marLeft w:val="0"/>
                  <w:marRight w:val="0"/>
                  <w:marTop w:val="0"/>
                  <w:marBottom w:val="0"/>
                  <w:divBdr>
                    <w:top w:val="none" w:sz="0" w:space="0" w:color="auto"/>
                    <w:left w:val="none" w:sz="0" w:space="0" w:color="auto"/>
                    <w:bottom w:val="none" w:sz="0" w:space="0" w:color="auto"/>
                    <w:right w:val="none" w:sz="0" w:space="0" w:color="auto"/>
                  </w:divBdr>
                  <w:divsChild>
                    <w:div w:id="341474896">
                      <w:marLeft w:val="0"/>
                      <w:marRight w:val="0"/>
                      <w:marTop w:val="0"/>
                      <w:marBottom w:val="0"/>
                      <w:divBdr>
                        <w:top w:val="none" w:sz="0" w:space="0" w:color="auto"/>
                        <w:left w:val="none" w:sz="0" w:space="0" w:color="auto"/>
                        <w:bottom w:val="none" w:sz="0" w:space="0" w:color="auto"/>
                        <w:right w:val="none" w:sz="0" w:space="0" w:color="auto"/>
                      </w:divBdr>
                      <w:divsChild>
                        <w:div w:id="375466728">
                          <w:marLeft w:val="0"/>
                          <w:marRight w:val="0"/>
                          <w:marTop w:val="0"/>
                          <w:marBottom w:val="0"/>
                          <w:divBdr>
                            <w:top w:val="none" w:sz="0" w:space="0" w:color="auto"/>
                            <w:left w:val="none" w:sz="0" w:space="0" w:color="auto"/>
                            <w:bottom w:val="none" w:sz="0" w:space="0" w:color="auto"/>
                            <w:right w:val="none" w:sz="0" w:space="0" w:color="auto"/>
                          </w:divBdr>
                          <w:divsChild>
                            <w:div w:id="11260214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89842814">
                      <w:marLeft w:val="0"/>
                      <w:marRight w:val="0"/>
                      <w:marTop w:val="0"/>
                      <w:marBottom w:val="0"/>
                      <w:divBdr>
                        <w:top w:val="none" w:sz="0" w:space="0" w:color="auto"/>
                        <w:left w:val="none" w:sz="0" w:space="0" w:color="auto"/>
                        <w:bottom w:val="none" w:sz="0" w:space="0" w:color="auto"/>
                        <w:right w:val="none" w:sz="0" w:space="0" w:color="auto"/>
                      </w:divBdr>
                      <w:divsChild>
                        <w:div w:id="1846050804">
                          <w:marLeft w:val="0"/>
                          <w:marRight w:val="0"/>
                          <w:marTop w:val="0"/>
                          <w:marBottom w:val="0"/>
                          <w:divBdr>
                            <w:top w:val="none" w:sz="0" w:space="0" w:color="auto"/>
                            <w:left w:val="none" w:sz="0" w:space="0" w:color="auto"/>
                            <w:bottom w:val="none" w:sz="0" w:space="0" w:color="auto"/>
                            <w:right w:val="none" w:sz="0" w:space="0" w:color="auto"/>
                          </w:divBdr>
                        </w:div>
                      </w:divsChild>
                    </w:div>
                    <w:div w:id="193721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72798">
          <w:marLeft w:val="0"/>
          <w:marRight w:val="0"/>
          <w:marTop w:val="0"/>
          <w:marBottom w:val="0"/>
          <w:divBdr>
            <w:top w:val="none" w:sz="0" w:space="0" w:color="auto"/>
            <w:left w:val="none" w:sz="0" w:space="0" w:color="auto"/>
            <w:bottom w:val="none" w:sz="0" w:space="0" w:color="auto"/>
            <w:right w:val="none" w:sz="0" w:space="0" w:color="auto"/>
          </w:divBdr>
          <w:divsChild>
            <w:div w:id="109324694">
              <w:marLeft w:val="0"/>
              <w:marRight w:val="0"/>
              <w:marTop w:val="0"/>
              <w:marBottom w:val="0"/>
              <w:divBdr>
                <w:top w:val="none" w:sz="0" w:space="0" w:color="auto"/>
                <w:left w:val="none" w:sz="0" w:space="0" w:color="auto"/>
                <w:bottom w:val="none" w:sz="0" w:space="0" w:color="auto"/>
                <w:right w:val="none" w:sz="0" w:space="0" w:color="auto"/>
              </w:divBdr>
              <w:divsChild>
                <w:div w:id="705107623">
                  <w:marLeft w:val="0"/>
                  <w:marRight w:val="0"/>
                  <w:marTop w:val="0"/>
                  <w:marBottom w:val="0"/>
                  <w:divBdr>
                    <w:top w:val="none" w:sz="0" w:space="0" w:color="auto"/>
                    <w:left w:val="none" w:sz="0" w:space="0" w:color="auto"/>
                    <w:bottom w:val="none" w:sz="0" w:space="0" w:color="auto"/>
                    <w:right w:val="none" w:sz="0" w:space="0" w:color="auto"/>
                  </w:divBdr>
                  <w:divsChild>
                    <w:div w:id="1570919205">
                      <w:marLeft w:val="0"/>
                      <w:marRight w:val="0"/>
                      <w:marTop w:val="0"/>
                      <w:marBottom w:val="0"/>
                      <w:divBdr>
                        <w:top w:val="none" w:sz="0" w:space="0" w:color="auto"/>
                        <w:left w:val="none" w:sz="0" w:space="0" w:color="auto"/>
                        <w:bottom w:val="none" w:sz="0" w:space="0" w:color="auto"/>
                        <w:right w:val="none" w:sz="0" w:space="0" w:color="auto"/>
                      </w:divBdr>
                      <w:divsChild>
                        <w:div w:id="1672564173">
                          <w:marLeft w:val="0"/>
                          <w:marRight w:val="0"/>
                          <w:marTop w:val="0"/>
                          <w:marBottom w:val="0"/>
                          <w:divBdr>
                            <w:top w:val="none" w:sz="0" w:space="0" w:color="auto"/>
                            <w:left w:val="none" w:sz="0" w:space="0" w:color="auto"/>
                            <w:bottom w:val="none" w:sz="0" w:space="0" w:color="auto"/>
                            <w:right w:val="none" w:sz="0" w:space="0" w:color="auto"/>
                          </w:divBdr>
                        </w:div>
                      </w:divsChild>
                    </w:div>
                    <w:div w:id="1629044629">
                      <w:marLeft w:val="0"/>
                      <w:marRight w:val="0"/>
                      <w:marTop w:val="0"/>
                      <w:marBottom w:val="0"/>
                      <w:divBdr>
                        <w:top w:val="none" w:sz="0" w:space="0" w:color="auto"/>
                        <w:left w:val="none" w:sz="0" w:space="0" w:color="auto"/>
                        <w:bottom w:val="none" w:sz="0" w:space="0" w:color="auto"/>
                        <w:right w:val="none" w:sz="0" w:space="0" w:color="auto"/>
                      </w:divBdr>
                      <w:divsChild>
                        <w:div w:id="1494225470">
                          <w:marLeft w:val="0"/>
                          <w:marRight w:val="0"/>
                          <w:marTop w:val="0"/>
                          <w:marBottom w:val="0"/>
                          <w:divBdr>
                            <w:top w:val="none" w:sz="0" w:space="0" w:color="auto"/>
                            <w:left w:val="none" w:sz="0" w:space="0" w:color="auto"/>
                            <w:bottom w:val="none" w:sz="0" w:space="0" w:color="auto"/>
                            <w:right w:val="none" w:sz="0" w:space="0" w:color="auto"/>
                          </w:divBdr>
                          <w:divsChild>
                            <w:div w:id="10232463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654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695929">
      <w:bodyDiv w:val="1"/>
      <w:marLeft w:val="0"/>
      <w:marRight w:val="0"/>
      <w:marTop w:val="0"/>
      <w:marBottom w:val="0"/>
      <w:divBdr>
        <w:top w:val="none" w:sz="0" w:space="0" w:color="auto"/>
        <w:left w:val="none" w:sz="0" w:space="0" w:color="auto"/>
        <w:bottom w:val="none" w:sz="0" w:space="0" w:color="auto"/>
        <w:right w:val="none" w:sz="0" w:space="0" w:color="auto"/>
      </w:divBdr>
    </w:div>
    <w:div w:id="1438719627">
      <w:bodyDiv w:val="1"/>
      <w:marLeft w:val="0"/>
      <w:marRight w:val="0"/>
      <w:marTop w:val="0"/>
      <w:marBottom w:val="0"/>
      <w:divBdr>
        <w:top w:val="none" w:sz="0" w:space="0" w:color="auto"/>
        <w:left w:val="none" w:sz="0" w:space="0" w:color="auto"/>
        <w:bottom w:val="none" w:sz="0" w:space="0" w:color="auto"/>
        <w:right w:val="none" w:sz="0" w:space="0" w:color="auto"/>
      </w:divBdr>
    </w:div>
    <w:div w:id="1445417255">
      <w:bodyDiv w:val="1"/>
      <w:marLeft w:val="0"/>
      <w:marRight w:val="0"/>
      <w:marTop w:val="0"/>
      <w:marBottom w:val="0"/>
      <w:divBdr>
        <w:top w:val="none" w:sz="0" w:space="0" w:color="auto"/>
        <w:left w:val="none" w:sz="0" w:space="0" w:color="auto"/>
        <w:bottom w:val="none" w:sz="0" w:space="0" w:color="auto"/>
        <w:right w:val="none" w:sz="0" w:space="0" w:color="auto"/>
      </w:divBdr>
    </w:div>
    <w:div w:id="1478886753">
      <w:bodyDiv w:val="1"/>
      <w:marLeft w:val="0"/>
      <w:marRight w:val="0"/>
      <w:marTop w:val="0"/>
      <w:marBottom w:val="0"/>
      <w:divBdr>
        <w:top w:val="none" w:sz="0" w:space="0" w:color="auto"/>
        <w:left w:val="none" w:sz="0" w:space="0" w:color="auto"/>
        <w:bottom w:val="none" w:sz="0" w:space="0" w:color="auto"/>
        <w:right w:val="none" w:sz="0" w:space="0" w:color="auto"/>
      </w:divBdr>
      <w:divsChild>
        <w:div w:id="1166822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6190558">
              <w:marLeft w:val="0"/>
              <w:marRight w:val="0"/>
              <w:marTop w:val="0"/>
              <w:marBottom w:val="0"/>
              <w:divBdr>
                <w:top w:val="none" w:sz="0" w:space="0" w:color="auto"/>
                <w:left w:val="none" w:sz="0" w:space="0" w:color="auto"/>
                <w:bottom w:val="none" w:sz="0" w:space="0" w:color="auto"/>
                <w:right w:val="none" w:sz="0" w:space="0" w:color="auto"/>
              </w:divBdr>
              <w:divsChild>
                <w:div w:id="1153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38477">
      <w:bodyDiv w:val="1"/>
      <w:marLeft w:val="0"/>
      <w:marRight w:val="0"/>
      <w:marTop w:val="0"/>
      <w:marBottom w:val="0"/>
      <w:divBdr>
        <w:top w:val="none" w:sz="0" w:space="0" w:color="auto"/>
        <w:left w:val="none" w:sz="0" w:space="0" w:color="auto"/>
        <w:bottom w:val="none" w:sz="0" w:space="0" w:color="auto"/>
        <w:right w:val="none" w:sz="0" w:space="0" w:color="auto"/>
      </w:divBdr>
      <w:divsChild>
        <w:div w:id="1851332322">
          <w:marLeft w:val="0"/>
          <w:marRight w:val="0"/>
          <w:marTop w:val="0"/>
          <w:marBottom w:val="0"/>
          <w:divBdr>
            <w:top w:val="none" w:sz="0" w:space="0" w:color="auto"/>
            <w:left w:val="none" w:sz="0" w:space="0" w:color="auto"/>
            <w:bottom w:val="none" w:sz="0" w:space="0" w:color="auto"/>
            <w:right w:val="none" w:sz="0" w:space="0" w:color="auto"/>
          </w:divBdr>
          <w:divsChild>
            <w:div w:id="754667842">
              <w:marLeft w:val="0"/>
              <w:marRight w:val="0"/>
              <w:marTop w:val="0"/>
              <w:marBottom w:val="0"/>
              <w:divBdr>
                <w:top w:val="none" w:sz="0" w:space="0" w:color="auto"/>
                <w:left w:val="none" w:sz="0" w:space="0" w:color="auto"/>
                <w:bottom w:val="none" w:sz="0" w:space="0" w:color="auto"/>
                <w:right w:val="none" w:sz="0" w:space="0" w:color="auto"/>
              </w:divBdr>
              <w:divsChild>
                <w:div w:id="23143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08385">
      <w:bodyDiv w:val="1"/>
      <w:marLeft w:val="0"/>
      <w:marRight w:val="0"/>
      <w:marTop w:val="0"/>
      <w:marBottom w:val="0"/>
      <w:divBdr>
        <w:top w:val="none" w:sz="0" w:space="0" w:color="auto"/>
        <w:left w:val="none" w:sz="0" w:space="0" w:color="auto"/>
        <w:bottom w:val="none" w:sz="0" w:space="0" w:color="auto"/>
        <w:right w:val="none" w:sz="0" w:space="0" w:color="auto"/>
      </w:divBdr>
    </w:div>
    <w:div w:id="1566990015">
      <w:bodyDiv w:val="1"/>
      <w:marLeft w:val="0"/>
      <w:marRight w:val="0"/>
      <w:marTop w:val="0"/>
      <w:marBottom w:val="0"/>
      <w:divBdr>
        <w:top w:val="none" w:sz="0" w:space="0" w:color="auto"/>
        <w:left w:val="none" w:sz="0" w:space="0" w:color="auto"/>
        <w:bottom w:val="none" w:sz="0" w:space="0" w:color="auto"/>
        <w:right w:val="none" w:sz="0" w:space="0" w:color="auto"/>
      </w:divBdr>
    </w:div>
    <w:div w:id="1590499124">
      <w:bodyDiv w:val="1"/>
      <w:marLeft w:val="0"/>
      <w:marRight w:val="0"/>
      <w:marTop w:val="0"/>
      <w:marBottom w:val="0"/>
      <w:divBdr>
        <w:top w:val="none" w:sz="0" w:space="0" w:color="auto"/>
        <w:left w:val="none" w:sz="0" w:space="0" w:color="auto"/>
        <w:bottom w:val="none" w:sz="0" w:space="0" w:color="auto"/>
        <w:right w:val="none" w:sz="0" w:space="0" w:color="auto"/>
      </w:divBdr>
    </w:div>
    <w:div w:id="1706250702">
      <w:bodyDiv w:val="1"/>
      <w:marLeft w:val="0"/>
      <w:marRight w:val="0"/>
      <w:marTop w:val="0"/>
      <w:marBottom w:val="0"/>
      <w:divBdr>
        <w:top w:val="none" w:sz="0" w:space="0" w:color="auto"/>
        <w:left w:val="none" w:sz="0" w:space="0" w:color="auto"/>
        <w:bottom w:val="none" w:sz="0" w:space="0" w:color="auto"/>
        <w:right w:val="none" w:sz="0" w:space="0" w:color="auto"/>
      </w:divBdr>
      <w:divsChild>
        <w:div w:id="307831973">
          <w:marLeft w:val="0"/>
          <w:marRight w:val="0"/>
          <w:marTop w:val="0"/>
          <w:marBottom w:val="0"/>
          <w:divBdr>
            <w:top w:val="none" w:sz="0" w:space="0" w:color="auto"/>
            <w:left w:val="none" w:sz="0" w:space="0" w:color="auto"/>
            <w:bottom w:val="none" w:sz="0" w:space="0" w:color="auto"/>
            <w:right w:val="none" w:sz="0" w:space="0" w:color="auto"/>
          </w:divBdr>
          <w:divsChild>
            <w:div w:id="1418285322">
              <w:marLeft w:val="0"/>
              <w:marRight w:val="0"/>
              <w:marTop w:val="0"/>
              <w:marBottom w:val="0"/>
              <w:divBdr>
                <w:top w:val="none" w:sz="0" w:space="0" w:color="auto"/>
                <w:left w:val="none" w:sz="0" w:space="0" w:color="auto"/>
                <w:bottom w:val="none" w:sz="0" w:space="0" w:color="auto"/>
                <w:right w:val="none" w:sz="0" w:space="0" w:color="auto"/>
              </w:divBdr>
              <w:divsChild>
                <w:div w:id="1559316861">
                  <w:marLeft w:val="0"/>
                  <w:marRight w:val="0"/>
                  <w:marTop w:val="0"/>
                  <w:marBottom w:val="0"/>
                  <w:divBdr>
                    <w:top w:val="none" w:sz="0" w:space="0" w:color="auto"/>
                    <w:left w:val="none" w:sz="0" w:space="0" w:color="auto"/>
                    <w:bottom w:val="none" w:sz="0" w:space="0" w:color="auto"/>
                    <w:right w:val="none" w:sz="0" w:space="0" w:color="auto"/>
                  </w:divBdr>
                  <w:divsChild>
                    <w:div w:id="22938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27652">
      <w:bodyDiv w:val="1"/>
      <w:marLeft w:val="0"/>
      <w:marRight w:val="0"/>
      <w:marTop w:val="0"/>
      <w:marBottom w:val="0"/>
      <w:divBdr>
        <w:top w:val="none" w:sz="0" w:space="0" w:color="auto"/>
        <w:left w:val="none" w:sz="0" w:space="0" w:color="auto"/>
        <w:bottom w:val="none" w:sz="0" w:space="0" w:color="auto"/>
        <w:right w:val="none" w:sz="0" w:space="0" w:color="auto"/>
      </w:divBdr>
      <w:divsChild>
        <w:div w:id="933396331">
          <w:marLeft w:val="0"/>
          <w:marRight w:val="0"/>
          <w:marTop w:val="0"/>
          <w:marBottom w:val="0"/>
          <w:divBdr>
            <w:top w:val="none" w:sz="0" w:space="0" w:color="auto"/>
            <w:left w:val="none" w:sz="0" w:space="0" w:color="auto"/>
            <w:bottom w:val="none" w:sz="0" w:space="0" w:color="auto"/>
            <w:right w:val="none" w:sz="0" w:space="0" w:color="auto"/>
          </w:divBdr>
          <w:divsChild>
            <w:div w:id="646279337">
              <w:marLeft w:val="0"/>
              <w:marRight w:val="0"/>
              <w:marTop w:val="0"/>
              <w:marBottom w:val="0"/>
              <w:divBdr>
                <w:top w:val="none" w:sz="0" w:space="0" w:color="auto"/>
                <w:left w:val="none" w:sz="0" w:space="0" w:color="auto"/>
                <w:bottom w:val="none" w:sz="0" w:space="0" w:color="auto"/>
                <w:right w:val="none" w:sz="0" w:space="0" w:color="auto"/>
              </w:divBdr>
            </w:div>
            <w:div w:id="697509338">
              <w:marLeft w:val="0"/>
              <w:marRight w:val="0"/>
              <w:marTop w:val="0"/>
              <w:marBottom w:val="0"/>
              <w:divBdr>
                <w:top w:val="none" w:sz="0" w:space="0" w:color="auto"/>
                <w:left w:val="none" w:sz="0" w:space="0" w:color="auto"/>
                <w:bottom w:val="none" w:sz="0" w:space="0" w:color="auto"/>
                <w:right w:val="none" w:sz="0" w:space="0" w:color="auto"/>
              </w:divBdr>
            </w:div>
          </w:divsChild>
        </w:div>
        <w:div w:id="1320381709">
          <w:marLeft w:val="0"/>
          <w:marRight w:val="0"/>
          <w:marTop w:val="0"/>
          <w:marBottom w:val="0"/>
          <w:divBdr>
            <w:top w:val="none" w:sz="0" w:space="0" w:color="auto"/>
            <w:left w:val="none" w:sz="0" w:space="0" w:color="auto"/>
            <w:bottom w:val="none" w:sz="0" w:space="0" w:color="auto"/>
            <w:right w:val="none" w:sz="0" w:space="0" w:color="auto"/>
          </w:divBdr>
        </w:div>
      </w:divsChild>
    </w:div>
    <w:div w:id="1712918474">
      <w:bodyDiv w:val="1"/>
      <w:marLeft w:val="0"/>
      <w:marRight w:val="0"/>
      <w:marTop w:val="0"/>
      <w:marBottom w:val="0"/>
      <w:divBdr>
        <w:top w:val="none" w:sz="0" w:space="0" w:color="auto"/>
        <w:left w:val="none" w:sz="0" w:space="0" w:color="auto"/>
        <w:bottom w:val="none" w:sz="0" w:space="0" w:color="auto"/>
        <w:right w:val="none" w:sz="0" w:space="0" w:color="auto"/>
      </w:divBdr>
    </w:div>
    <w:div w:id="1747923723">
      <w:bodyDiv w:val="1"/>
      <w:marLeft w:val="0"/>
      <w:marRight w:val="0"/>
      <w:marTop w:val="0"/>
      <w:marBottom w:val="0"/>
      <w:divBdr>
        <w:top w:val="none" w:sz="0" w:space="0" w:color="auto"/>
        <w:left w:val="none" w:sz="0" w:space="0" w:color="auto"/>
        <w:bottom w:val="none" w:sz="0" w:space="0" w:color="auto"/>
        <w:right w:val="none" w:sz="0" w:space="0" w:color="auto"/>
      </w:divBdr>
      <w:divsChild>
        <w:div w:id="2100326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8856280">
              <w:marLeft w:val="0"/>
              <w:marRight w:val="0"/>
              <w:marTop w:val="0"/>
              <w:marBottom w:val="0"/>
              <w:divBdr>
                <w:top w:val="none" w:sz="0" w:space="0" w:color="auto"/>
                <w:left w:val="none" w:sz="0" w:space="0" w:color="auto"/>
                <w:bottom w:val="none" w:sz="0" w:space="0" w:color="auto"/>
                <w:right w:val="none" w:sz="0" w:space="0" w:color="auto"/>
              </w:divBdr>
              <w:divsChild>
                <w:div w:id="88973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911157">
      <w:bodyDiv w:val="1"/>
      <w:marLeft w:val="0"/>
      <w:marRight w:val="0"/>
      <w:marTop w:val="0"/>
      <w:marBottom w:val="0"/>
      <w:divBdr>
        <w:top w:val="none" w:sz="0" w:space="0" w:color="auto"/>
        <w:left w:val="none" w:sz="0" w:space="0" w:color="auto"/>
        <w:bottom w:val="none" w:sz="0" w:space="0" w:color="auto"/>
        <w:right w:val="none" w:sz="0" w:space="0" w:color="auto"/>
      </w:divBdr>
      <w:divsChild>
        <w:div w:id="1314410564">
          <w:marLeft w:val="0"/>
          <w:marRight w:val="0"/>
          <w:marTop w:val="0"/>
          <w:marBottom w:val="0"/>
          <w:divBdr>
            <w:top w:val="none" w:sz="0" w:space="0" w:color="auto"/>
            <w:left w:val="none" w:sz="0" w:space="0" w:color="auto"/>
            <w:bottom w:val="none" w:sz="0" w:space="0" w:color="auto"/>
            <w:right w:val="none" w:sz="0" w:space="0" w:color="auto"/>
          </w:divBdr>
          <w:divsChild>
            <w:div w:id="158233356">
              <w:marLeft w:val="0"/>
              <w:marRight w:val="0"/>
              <w:marTop w:val="0"/>
              <w:marBottom w:val="0"/>
              <w:divBdr>
                <w:top w:val="none" w:sz="0" w:space="0" w:color="auto"/>
                <w:left w:val="none" w:sz="0" w:space="0" w:color="auto"/>
                <w:bottom w:val="none" w:sz="0" w:space="0" w:color="auto"/>
                <w:right w:val="none" w:sz="0" w:space="0" w:color="auto"/>
              </w:divBdr>
              <w:divsChild>
                <w:div w:id="99445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569003">
      <w:bodyDiv w:val="1"/>
      <w:marLeft w:val="0"/>
      <w:marRight w:val="0"/>
      <w:marTop w:val="0"/>
      <w:marBottom w:val="0"/>
      <w:divBdr>
        <w:top w:val="none" w:sz="0" w:space="0" w:color="auto"/>
        <w:left w:val="none" w:sz="0" w:space="0" w:color="auto"/>
        <w:bottom w:val="none" w:sz="0" w:space="0" w:color="auto"/>
        <w:right w:val="none" w:sz="0" w:space="0" w:color="auto"/>
      </w:divBdr>
      <w:divsChild>
        <w:div w:id="25643816">
          <w:marLeft w:val="0"/>
          <w:marRight w:val="0"/>
          <w:marTop w:val="0"/>
          <w:marBottom w:val="0"/>
          <w:divBdr>
            <w:top w:val="none" w:sz="0" w:space="0" w:color="auto"/>
            <w:left w:val="none" w:sz="0" w:space="0" w:color="auto"/>
            <w:bottom w:val="none" w:sz="0" w:space="0" w:color="auto"/>
            <w:right w:val="none" w:sz="0" w:space="0" w:color="auto"/>
          </w:divBdr>
          <w:divsChild>
            <w:div w:id="1773939328">
              <w:marLeft w:val="0"/>
              <w:marRight w:val="0"/>
              <w:marTop w:val="0"/>
              <w:marBottom w:val="0"/>
              <w:divBdr>
                <w:top w:val="none" w:sz="0" w:space="0" w:color="auto"/>
                <w:left w:val="none" w:sz="0" w:space="0" w:color="auto"/>
                <w:bottom w:val="none" w:sz="0" w:space="0" w:color="auto"/>
                <w:right w:val="none" w:sz="0" w:space="0" w:color="auto"/>
              </w:divBdr>
              <w:divsChild>
                <w:div w:id="152031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4545">
      <w:bodyDiv w:val="1"/>
      <w:marLeft w:val="0"/>
      <w:marRight w:val="0"/>
      <w:marTop w:val="0"/>
      <w:marBottom w:val="0"/>
      <w:divBdr>
        <w:top w:val="none" w:sz="0" w:space="0" w:color="auto"/>
        <w:left w:val="none" w:sz="0" w:space="0" w:color="auto"/>
        <w:bottom w:val="none" w:sz="0" w:space="0" w:color="auto"/>
        <w:right w:val="none" w:sz="0" w:space="0" w:color="auto"/>
      </w:divBdr>
      <w:divsChild>
        <w:div w:id="2140802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7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7319">
      <w:bodyDiv w:val="1"/>
      <w:marLeft w:val="0"/>
      <w:marRight w:val="0"/>
      <w:marTop w:val="0"/>
      <w:marBottom w:val="0"/>
      <w:divBdr>
        <w:top w:val="none" w:sz="0" w:space="0" w:color="auto"/>
        <w:left w:val="none" w:sz="0" w:space="0" w:color="auto"/>
        <w:bottom w:val="none" w:sz="0" w:space="0" w:color="auto"/>
        <w:right w:val="none" w:sz="0" w:space="0" w:color="auto"/>
      </w:divBdr>
      <w:divsChild>
        <w:div w:id="1773234032">
          <w:marLeft w:val="0"/>
          <w:marRight w:val="0"/>
          <w:marTop w:val="0"/>
          <w:marBottom w:val="0"/>
          <w:divBdr>
            <w:top w:val="none" w:sz="0" w:space="0" w:color="auto"/>
            <w:left w:val="none" w:sz="0" w:space="0" w:color="auto"/>
            <w:bottom w:val="none" w:sz="0" w:space="0" w:color="auto"/>
            <w:right w:val="none" w:sz="0" w:space="0" w:color="auto"/>
          </w:divBdr>
          <w:divsChild>
            <w:div w:id="420563365">
              <w:marLeft w:val="0"/>
              <w:marRight w:val="0"/>
              <w:marTop w:val="0"/>
              <w:marBottom w:val="0"/>
              <w:divBdr>
                <w:top w:val="none" w:sz="0" w:space="0" w:color="auto"/>
                <w:left w:val="none" w:sz="0" w:space="0" w:color="auto"/>
                <w:bottom w:val="none" w:sz="0" w:space="0" w:color="auto"/>
                <w:right w:val="none" w:sz="0" w:space="0" w:color="auto"/>
              </w:divBdr>
              <w:divsChild>
                <w:div w:id="1301809777">
                  <w:marLeft w:val="0"/>
                  <w:marRight w:val="0"/>
                  <w:marTop w:val="0"/>
                  <w:marBottom w:val="0"/>
                  <w:divBdr>
                    <w:top w:val="none" w:sz="0" w:space="0" w:color="auto"/>
                    <w:left w:val="none" w:sz="0" w:space="0" w:color="auto"/>
                    <w:bottom w:val="none" w:sz="0" w:space="0" w:color="auto"/>
                    <w:right w:val="none" w:sz="0" w:space="0" w:color="auto"/>
                  </w:divBdr>
                  <w:divsChild>
                    <w:div w:id="1616861982">
                      <w:marLeft w:val="0"/>
                      <w:marRight w:val="0"/>
                      <w:marTop w:val="0"/>
                      <w:marBottom w:val="0"/>
                      <w:divBdr>
                        <w:top w:val="none" w:sz="0" w:space="0" w:color="auto"/>
                        <w:left w:val="none" w:sz="0" w:space="0" w:color="auto"/>
                        <w:bottom w:val="none" w:sz="0" w:space="0" w:color="auto"/>
                        <w:right w:val="none" w:sz="0" w:space="0" w:color="auto"/>
                      </w:divBdr>
                    </w:div>
                    <w:div w:id="76653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906115">
      <w:bodyDiv w:val="1"/>
      <w:marLeft w:val="0"/>
      <w:marRight w:val="0"/>
      <w:marTop w:val="0"/>
      <w:marBottom w:val="0"/>
      <w:divBdr>
        <w:top w:val="none" w:sz="0" w:space="0" w:color="auto"/>
        <w:left w:val="none" w:sz="0" w:space="0" w:color="auto"/>
        <w:bottom w:val="none" w:sz="0" w:space="0" w:color="auto"/>
        <w:right w:val="none" w:sz="0" w:space="0" w:color="auto"/>
      </w:divBdr>
      <w:divsChild>
        <w:div w:id="73755305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822307781">
      <w:bodyDiv w:val="1"/>
      <w:marLeft w:val="0"/>
      <w:marRight w:val="0"/>
      <w:marTop w:val="0"/>
      <w:marBottom w:val="0"/>
      <w:divBdr>
        <w:top w:val="none" w:sz="0" w:space="0" w:color="auto"/>
        <w:left w:val="none" w:sz="0" w:space="0" w:color="auto"/>
        <w:bottom w:val="none" w:sz="0" w:space="0" w:color="auto"/>
        <w:right w:val="none" w:sz="0" w:space="0" w:color="auto"/>
      </w:divBdr>
    </w:div>
    <w:div w:id="1874806256">
      <w:bodyDiv w:val="1"/>
      <w:marLeft w:val="0"/>
      <w:marRight w:val="0"/>
      <w:marTop w:val="0"/>
      <w:marBottom w:val="0"/>
      <w:divBdr>
        <w:top w:val="none" w:sz="0" w:space="0" w:color="auto"/>
        <w:left w:val="none" w:sz="0" w:space="0" w:color="auto"/>
        <w:bottom w:val="none" w:sz="0" w:space="0" w:color="auto"/>
        <w:right w:val="none" w:sz="0" w:space="0" w:color="auto"/>
      </w:divBdr>
    </w:div>
    <w:div w:id="1968927345">
      <w:bodyDiv w:val="1"/>
      <w:marLeft w:val="0"/>
      <w:marRight w:val="0"/>
      <w:marTop w:val="0"/>
      <w:marBottom w:val="0"/>
      <w:divBdr>
        <w:top w:val="none" w:sz="0" w:space="0" w:color="auto"/>
        <w:left w:val="none" w:sz="0" w:space="0" w:color="auto"/>
        <w:bottom w:val="none" w:sz="0" w:space="0" w:color="auto"/>
        <w:right w:val="none" w:sz="0" w:space="0" w:color="auto"/>
      </w:divBdr>
      <w:divsChild>
        <w:div w:id="772476608">
          <w:marLeft w:val="0"/>
          <w:marRight w:val="0"/>
          <w:marTop w:val="0"/>
          <w:marBottom w:val="0"/>
          <w:divBdr>
            <w:top w:val="none" w:sz="0" w:space="0" w:color="auto"/>
            <w:left w:val="none" w:sz="0" w:space="0" w:color="auto"/>
            <w:bottom w:val="none" w:sz="0" w:space="0" w:color="auto"/>
            <w:right w:val="none" w:sz="0" w:space="0" w:color="auto"/>
          </w:divBdr>
          <w:divsChild>
            <w:div w:id="1037662308">
              <w:marLeft w:val="0"/>
              <w:marRight w:val="0"/>
              <w:marTop w:val="0"/>
              <w:marBottom w:val="0"/>
              <w:divBdr>
                <w:top w:val="none" w:sz="0" w:space="0" w:color="auto"/>
                <w:left w:val="none" w:sz="0" w:space="0" w:color="auto"/>
                <w:bottom w:val="none" w:sz="0" w:space="0" w:color="auto"/>
                <w:right w:val="none" w:sz="0" w:space="0" w:color="auto"/>
              </w:divBdr>
              <w:divsChild>
                <w:div w:id="72438311">
                  <w:marLeft w:val="0"/>
                  <w:marRight w:val="0"/>
                  <w:marTop w:val="0"/>
                  <w:marBottom w:val="0"/>
                  <w:divBdr>
                    <w:top w:val="none" w:sz="0" w:space="0" w:color="auto"/>
                    <w:left w:val="none" w:sz="0" w:space="0" w:color="auto"/>
                    <w:bottom w:val="none" w:sz="0" w:space="0" w:color="auto"/>
                    <w:right w:val="none" w:sz="0" w:space="0" w:color="auto"/>
                  </w:divBdr>
                  <w:divsChild>
                    <w:div w:id="1010834637">
                      <w:marLeft w:val="0"/>
                      <w:marRight w:val="0"/>
                      <w:marTop w:val="0"/>
                      <w:marBottom w:val="0"/>
                      <w:divBdr>
                        <w:top w:val="none" w:sz="0" w:space="0" w:color="auto"/>
                        <w:left w:val="none" w:sz="0" w:space="0" w:color="auto"/>
                        <w:bottom w:val="none" w:sz="0" w:space="0" w:color="auto"/>
                        <w:right w:val="none" w:sz="0" w:space="0" w:color="auto"/>
                      </w:divBdr>
                    </w:div>
                  </w:divsChild>
                </w:div>
                <w:div w:id="1474133553">
                  <w:marLeft w:val="0"/>
                  <w:marRight w:val="0"/>
                  <w:marTop w:val="0"/>
                  <w:marBottom w:val="0"/>
                  <w:divBdr>
                    <w:top w:val="none" w:sz="0" w:space="0" w:color="auto"/>
                    <w:left w:val="none" w:sz="0" w:space="0" w:color="auto"/>
                    <w:bottom w:val="none" w:sz="0" w:space="0" w:color="auto"/>
                    <w:right w:val="none" w:sz="0" w:space="0" w:color="auto"/>
                  </w:divBdr>
                  <w:divsChild>
                    <w:div w:id="27880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410439">
      <w:bodyDiv w:val="1"/>
      <w:marLeft w:val="0"/>
      <w:marRight w:val="0"/>
      <w:marTop w:val="0"/>
      <w:marBottom w:val="0"/>
      <w:divBdr>
        <w:top w:val="none" w:sz="0" w:space="0" w:color="auto"/>
        <w:left w:val="none" w:sz="0" w:space="0" w:color="auto"/>
        <w:bottom w:val="none" w:sz="0" w:space="0" w:color="auto"/>
        <w:right w:val="none" w:sz="0" w:space="0" w:color="auto"/>
      </w:divBdr>
      <w:divsChild>
        <w:div w:id="1701516165">
          <w:marLeft w:val="0"/>
          <w:marRight w:val="0"/>
          <w:marTop w:val="0"/>
          <w:marBottom w:val="0"/>
          <w:divBdr>
            <w:top w:val="none" w:sz="0" w:space="0" w:color="auto"/>
            <w:left w:val="none" w:sz="0" w:space="0" w:color="auto"/>
            <w:bottom w:val="none" w:sz="0" w:space="0" w:color="auto"/>
            <w:right w:val="none" w:sz="0" w:space="0" w:color="auto"/>
          </w:divBdr>
          <w:divsChild>
            <w:div w:id="1753546831">
              <w:marLeft w:val="0"/>
              <w:marRight w:val="0"/>
              <w:marTop w:val="0"/>
              <w:marBottom w:val="0"/>
              <w:divBdr>
                <w:top w:val="none" w:sz="0" w:space="0" w:color="auto"/>
                <w:left w:val="none" w:sz="0" w:space="0" w:color="auto"/>
                <w:bottom w:val="none" w:sz="0" w:space="0" w:color="auto"/>
                <w:right w:val="none" w:sz="0" w:space="0" w:color="auto"/>
              </w:divBdr>
              <w:divsChild>
                <w:div w:id="106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629033">
      <w:bodyDiv w:val="1"/>
      <w:marLeft w:val="0"/>
      <w:marRight w:val="0"/>
      <w:marTop w:val="0"/>
      <w:marBottom w:val="0"/>
      <w:divBdr>
        <w:top w:val="none" w:sz="0" w:space="0" w:color="auto"/>
        <w:left w:val="none" w:sz="0" w:space="0" w:color="auto"/>
        <w:bottom w:val="none" w:sz="0" w:space="0" w:color="auto"/>
        <w:right w:val="none" w:sz="0" w:space="0" w:color="auto"/>
      </w:divBdr>
      <w:divsChild>
        <w:div w:id="1938244275">
          <w:marLeft w:val="0"/>
          <w:marRight w:val="0"/>
          <w:marTop w:val="0"/>
          <w:marBottom w:val="0"/>
          <w:divBdr>
            <w:top w:val="none" w:sz="0" w:space="0" w:color="auto"/>
            <w:left w:val="none" w:sz="0" w:space="0" w:color="auto"/>
            <w:bottom w:val="none" w:sz="0" w:space="0" w:color="auto"/>
            <w:right w:val="none" w:sz="0" w:space="0" w:color="auto"/>
          </w:divBdr>
          <w:divsChild>
            <w:div w:id="528103497">
              <w:marLeft w:val="0"/>
              <w:marRight w:val="0"/>
              <w:marTop w:val="0"/>
              <w:marBottom w:val="0"/>
              <w:divBdr>
                <w:top w:val="none" w:sz="0" w:space="0" w:color="auto"/>
                <w:left w:val="none" w:sz="0" w:space="0" w:color="auto"/>
                <w:bottom w:val="none" w:sz="0" w:space="0" w:color="auto"/>
                <w:right w:val="none" w:sz="0" w:space="0" w:color="auto"/>
              </w:divBdr>
              <w:divsChild>
                <w:div w:id="147987599">
                  <w:marLeft w:val="0"/>
                  <w:marRight w:val="0"/>
                  <w:marTop w:val="0"/>
                  <w:marBottom w:val="0"/>
                  <w:divBdr>
                    <w:top w:val="none" w:sz="0" w:space="0" w:color="auto"/>
                    <w:left w:val="none" w:sz="0" w:space="0" w:color="auto"/>
                    <w:bottom w:val="none" w:sz="0" w:space="0" w:color="auto"/>
                    <w:right w:val="none" w:sz="0" w:space="0" w:color="auto"/>
                  </w:divBdr>
                  <w:divsChild>
                    <w:div w:id="144337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864382">
      <w:bodyDiv w:val="1"/>
      <w:marLeft w:val="0"/>
      <w:marRight w:val="0"/>
      <w:marTop w:val="0"/>
      <w:marBottom w:val="0"/>
      <w:divBdr>
        <w:top w:val="none" w:sz="0" w:space="0" w:color="auto"/>
        <w:left w:val="none" w:sz="0" w:space="0" w:color="auto"/>
        <w:bottom w:val="none" w:sz="0" w:space="0" w:color="auto"/>
        <w:right w:val="none" w:sz="0" w:space="0" w:color="auto"/>
      </w:divBdr>
    </w:div>
    <w:div w:id="1984919962">
      <w:bodyDiv w:val="1"/>
      <w:marLeft w:val="0"/>
      <w:marRight w:val="0"/>
      <w:marTop w:val="0"/>
      <w:marBottom w:val="0"/>
      <w:divBdr>
        <w:top w:val="none" w:sz="0" w:space="0" w:color="auto"/>
        <w:left w:val="none" w:sz="0" w:space="0" w:color="auto"/>
        <w:bottom w:val="none" w:sz="0" w:space="0" w:color="auto"/>
        <w:right w:val="none" w:sz="0" w:space="0" w:color="auto"/>
      </w:divBdr>
      <w:divsChild>
        <w:div w:id="1450978453">
          <w:marLeft w:val="0"/>
          <w:marRight w:val="0"/>
          <w:marTop w:val="0"/>
          <w:marBottom w:val="0"/>
          <w:divBdr>
            <w:top w:val="none" w:sz="0" w:space="0" w:color="auto"/>
            <w:left w:val="none" w:sz="0" w:space="0" w:color="auto"/>
            <w:bottom w:val="none" w:sz="0" w:space="0" w:color="auto"/>
            <w:right w:val="none" w:sz="0" w:space="0" w:color="auto"/>
          </w:divBdr>
          <w:divsChild>
            <w:div w:id="997882944">
              <w:marLeft w:val="0"/>
              <w:marRight w:val="0"/>
              <w:marTop w:val="0"/>
              <w:marBottom w:val="0"/>
              <w:divBdr>
                <w:top w:val="none" w:sz="0" w:space="0" w:color="auto"/>
                <w:left w:val="none" w:sz="0" w:space="0" w:color="auto"/>
                <w:bottom w:val="none" w:sz="0" w:space="0" w:color="auto"/>
                <w:right w:val="none" w:sz="0" w:space="0" w:color="auto"/>
              </w:divBdr>
              <w:divsChild>
                <w:div w:id="1033842209">
                  <w:marLeft w:val="0"/>
                  <w:marRight w:val="0"/>
                  <w:marTop w:val="0"/>
                  <w:marBottom w:val="0"/>
                  <w:divBdr>
                    <w:top w:val="none" w:sz="0" w:space="0" w:color="auto"/>
                    <w:left w:val="none" w:sz="0" w:space="0" w:color="auto"/>
                    <w:bottom w:val="none" w:sz="0" w:space="0" w:color="auto"/>
                    <w:right w:val="none" w:sz="0" w:space="0" w:color="auto"/>
                  </w:divBdr>
                  <w:divsChild>
                    <w:div w:id="62246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741082">
      <w:bodyDiv w:val="1"/>
      <w:marLeft w:val="0"/>
      <w:marRight w:val="0"/>
      <w:marTop w:val="0"/>
      <w:marBottom w:val="0"/>
      <w:divBdr>
        <w:top w:val="none" w:sz="0" w:space="0" w:color="auto"/>
        <w:left w:val="none" w:sz="0" w:space="0" w:color="auto"/>
        <w:bottom w:val="none" w:sz="0" w:space="0" w:color="auto"/>
        <w:right w:val="none" w:sz="0" w:space="0" w:color="auto"/>
      </w:divBdr>
      <w:divsChild>
        <w:div w:id="2099714223">
          <w:marLeft w:val="0"/>
          <w:marRight w:val="0"/>
          <w:marTop w:val="0"/>
          <w:marBottom w:val="0"/>
          <w:divBdr>
            <w:top w:val="none" w:sz="0" w:space="0" w:color="auto"/>
            <w:left w:val="none" w:sz="0" w:space="0" w:color="auto"/>
            <w:bottom w:val="none" w:sz="0" w:space="0" w:color="auto"/>
            <w:right w:val="none" w:sz="0" w:space="0" w:color="auto"/>
          </w:divBdr>
          <w:divsChild>
            <w:div w:id="199436344">
              <w:marLeft w:val="0"/>
              <w:marRight w:val="0"/>
              <w:marTop w:val="0"/>
              <w:marBottom w:val="0"/>
              <w:divBdr>
                <w:top w:val="none" w:sz="0" w:space="0" w:color="auto"/>
                <w:left w:val="none" w:sz="0" w:space="0" w:color="auto"/>
                <w:bottom w:val="none" w:sz="0" w:space="0" w:color="auto"/>
                <w:right w:val="none" w:sz="0" w:space="0" w:color="auto"/>
              </w:divBdr>
              <w:divsChild>
                <w:div w:id="211990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4811">
      <w:bodyDiv w:val="1"/>
      <w:marLeft w:val="0"/>
      <w:marRight w:val="0"/>
      <w:marTop w:val="0"/>
      <w:marBottom w:val="0"/>
      <w:divBdr>
        <w:top w:val="none" w:sz="0" w:space="0" w:color="auto"/>
        <w:left w:val="none" w:sz="0" w:space="0" w:color="auto"/>
        <w:bottom w:val="none" w:sz="0" w:space="0" w:color="auto"/>
        <w:right w:val="none" w:sz="0" w:space="0" w:color="auto"/>
      </w:divBdr>
    </w:div>
    <w:div w:id="2030906239">
      <w:bodyDiv w:val="1"/>
      <w:marLeft w:val="0"/>
      <w:marRight w:val="0"/>
      <w:marTop w:val="0"/>
      <w:marBottom w:val="0"/>
      <w:divBdr>
        <w:top w:val="none" w:sz="0" w:space="0" w:color="auto"/>
        <w:left w:val="none" w:sz="0" w:space="0" w:color="auto"/>
        <w:bottom w:val="none" w:sz="0" w:space="0" w:color="auto"/>
        <w:right w:val="none" w:sz="0" w:space="0" w:color="auto"/>
      </w:divBdr>
    </w:div>
    <w:div w:id="2042896490">
      <w:bodyDiv w:val="1"/>
      <w:marLeft w:val="0"/>
      <w:marRight w:val="0"/>
      <w:marTop w:val="0"/>
      <w:marBottom w:val="0"/>
      <w:divBdr>
        <w:top w:val="none" w:sz="0" w:space="0" w:color="auto"/>
        <w:left w:val="none" w:sz="0" w:space="0" w:color="auto"/>
        <w:bottom w:val="none" w:sz="0" w:space="0" w:color="auto"/>
        <w:right w:val="none" w:sz="0" w:space="0" w:color="auto"/>
      </w:divBdr>
      <w:divsChild>
        <w:div w:id="560823885">
          <w:marLeft w:val="0"/>
          <w:marRight w:val="0"/>
          <w:marTop w:val="0"/>
          <w:marBottom w:val="0"/>
          <w:divBdr>
            <w:top w:val="none" w:sz="0" w:space="0" w:color="auto"/>
            <w:left w:val="none" w:sz="0" w:space="0" w:color="auto"/>
            <w:bottom w:val="none" w:sz="0" w:space="0" w:color="auto"/>
            <w:right w:val="none" w:sz="0" w:space="0" w:color="auto"/>
          </w:divBdr>
          <w:divsChild>
            <w:div w:id="1209494226">
              <w:marLeft w:val="0"/>
              <w:marRight w:val="0"/>
              <w:marTop w:val="0"/>
              <w:marBottom w:val="0"/>
              <w:divBdr>
                <w:top w:val="none" w:sz="0" w:space="0" w:color="auto"/>
                <w:left w:val="none" w:sz="0" w:space="0" w:color="auto"/>
                <w:bottom w:val="none" w:sz="0" w:space="0" w:color="auto"/>
                <w:right w:val="none" w:sz="0" w:space="0" w:color="auto"/>
              </w:divBdr>
              <w:divsChild>
                <w:div w:id="20665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346463">
      <w:bodyDiv w:val="1"/>
      <w:marLeft w:val="0"/>
      <w:marRight w:val="0"/>
      <w:marTop w:val="0"/>
      <w:marBottom w:val="0"/>
      <w:divBdr>
        <w:top w:val="none" w:sz="0" w:space="0" w:color="auto"/>
        <w:left w:val="none" w:sz="0" w:space="0" w:color="auto"/>
        <w:bottom w:val="none" w:sz="0" w:space="0" w:color="auto"/>
        <w:right w:val="none" w:sz="0" w:space="0" w:color="auto"/>
      </w:divBdr>
    </w:div>
    <w:div w:id="2139226512">
      <w:bodyDiv w:val="1"/>
      <w:marLeft w:val="0"/>
      <w:marRight w:val="0"/>
      <w:marTop w:val="0"/>
      <w:marBottom w:val="0"/>
      <w:divBdr>
        <w:top w:val="none" w:sz="0" w:space="0" w:color="auto"/>
        <w:left w:val="none" w:sz="0" w:space="0" w:color="auto"/>
        <w:bottom w:val="none" w:sz="0" w:space="0" w:color="auto"/>
        <w:right w:val="none" w:sz="0" w:space="0" w:color="auto"/>
      </w:divBdr>
      <w:divsChild>
        <w:div w:id="1356275117">
          <w:marLeft w:val="0"/>
          <w:marRight w:val="0"/>
          <w:marTop w:val="0"/>
          <w:marBottom w:val="0"/>
          <w:divBdr>
            <w:top w:val="none" w:sz="0" w:space="0" w:color="auto"/>
            <w:left w:val="none" w:sz="0" w:space="0" w:color="auto"/>
            <w:bottom w:val="none" w:sz="0" w:space="0" w:color="auto"/>
            <w:right w:val="none" w:sz="0" w:space="0" w:color="auto"/>
          </w:divBdr>
        </w:div>
        <w:div w:id="2043558094">
          <w:marLeft w:val="0"/>
          <w:marRight w:val="0"/>
          <w:marTop w:val="0"/>
          <w:marBottom w:val="0"/>
          <w:divBdr>
            <w:top w:val="none" w:sz="0" w:space="0" w:color="auto"/>
            <w:left w:val="none" w:sz="0" w:space="0" w:color="auto"/>
            <w:bottom w:val="none" w:sz="0" w:space="0" w:color="auto"/>
            <w:right w:val="none" w:sz="0" w:space="0" w:color="auto"/>
          </w:divBdr>
          <w:divsChild>
            <w:div w:id="77404475">
              <w:marLeft w:val="0"/>
              <w:marRight w:val="0"/>
              <w:marTop w:val="0"/>
              <w:marBottom w:val="0"/>
              <w:divBdr>
                <w:top w:val="none" w:sz="0" w:space="0" w:color="auto"/>
                <w:left w:val="none" w:sz="0" w:space="0" w:color="auto"/>
                <w:bottom w:val="none" w:sz="0" w:space="0" w:color="auto"/>
                <w:right w:val="none" w:sz="0" w:space="0" w:color="auto"/>
              </w:divBdr>
              <w:divsChild>
                <w:div w:id="1120296430">
                  <w:marLeft w:val="0"/>
                  <w:marRight w:val="0"/>
                  <w:marTop w:val="0"/>
                  <w:marBottom w:val="0"/>
                  <w:divBdr>
                    <w:top w:val="none" w:sz="0" w:space="0" w:color="auto"/>
                    <w:left w:val="none" w:sz="0" w:space="0" w:color="auto"/>
                    <w:bottom w:val="none" w:sz="0" w:space="0" w:color="auto"/>
                    <w:right w:val="none" w:sz="0" w:space="0" w:color="auto"/>
                  </w:divBdr>
                  <w:divsChild>
                    <w:div w:id="1531527484">
                      <w:marLeft w:val="0"/>
                      <w:marRight w:val="0"/>
                      <w:marTop w:val="0"/>
                      <w:marBottom w:val="0"/>
                      <w:divBdr>
                        <w:top w:val="none" w:sz="0" w:space="0" w:color="auto"/>
                        <w:left w:val="none" w:sz="0" w:space="0" w:color="auto"/>
                        <w:bottom w:val="none" w:sz="0" w:space="0" w:color="auto"/>
                        <w:right w:val="none" w:sz="0" w:space="0" w:color="auto"/>
                      </w:divBdr>
                      <w:divsChild>
                        <w:div w:id="2080131133">
                          <w:marLeft w:val="0"/>
                          <w:marRight w:val="0"/>
                          <w:marTop w:val="0"/>
                          <w:marBottom w:val="0"/>
                          <w:divBdr>
                            <w:top w:val="none" w:sz="0" w:space="0" w:color="auto"/>
                            <w:left w:val="none" w:sz="0" w:space="0" w:color="auto"/>
                            <w:bottom w:val="none" w:sz="0" w:space="0" w:color="auto"/>
                            <w:right w:val="none" w:sz="0" w:space="0" w:color="auto"/>
                          </w:divBdr>
                          <w:divsChild>
                            <w:div w:id="1133137">
                              <w:marLeft w:val="0"/>
                              <w:marRight w:val="0"/>
                              <w:marTop w:val="0"/>
                              <w:marBottom w:val="0"/>
                              <w:divBdr>
                                <w:top w:val="none" w:sz="0" w:space="0" w:color="auto"/>
                                <w:left w:val="none" w:sz="0" w:space="0" w:color="auto"/>
                                <w:bottom w:val="none" w:sz="0" w:space="0" w:color="auto"/>
                                <w:right w:val="none" w:sz="0" w:space="0" w:color="auto"/>
                              </w:divBdr>
                              <w:divsChild>
                                <w:div w:id="430972737">
                                  <w:marLeft w:val="0"/>
                                  <w:marRight w:val="0"/>
                                  <w:marTop w:val="0"/>
                                  <w:marBottom w:val="0"/>
                                  <w:divBdr>
                                    <w:top w:val="none" w:sz="0" w:space="0" w:color="auto"/>
                                    <w:left w:val="none" w:sz="0" w:space="0" w:color="auto"/>
                                    <w:bottom w:val="none" w:sz="0" w:space="0" w:color="auto"/>
                                    <w:right w:val="none" w:sz="0" w:space="0" w:color="auto"/>
                                  </w:divBdr>
                                  <w:divsChild>
                                    <w:div w:id="254284769">
                                      <w:marLeft w:val="0"/>
                                      <w:marRight w:val="0"/>
                                      <w:marTop w:val="0"/>
                                      <w:marBottom w:val="0"/>
                                      <w:divBdr>
                                        <w:top w:val="none" w:sz="0" w:space="0" w:color="auto"/>
                                        <w:left w:val="none" w:sz="0" w:space="0" w:color="auto"/>
                                        <w:bottom w:val="none" w:sz="0" w:space="0" w:color="auto"/>
                                        <w:right w:val="none" w:sz="0" w:space="0" w:color="auto"/>
                                      </w:divBdr>
                                      <w:divsChild>
                                        <w:div w:id="176239986">
                                          <w:marLeft w:val="0"/>
                                          <w:marRight w:val="0"/>
                                          <w:marTop w:val="0"/>
                                          <w:marBottom w:val="0"/>
                                          <w:divBdr>
                                            <w:top w:val="none" w:sz="0" w:space="0" w:color="auto"/>
                                            <w:left w:val="none" w:sz="0" w:space="0" w:color="auto"/>
                                            <w:bottom w:val="none" w:sz="0" w:space="0" w:color="auto"/>
                                            <w:right w:val="none" w:sz="0" w:space="0" w:color="auto"/>
                                          </w:divBdr>
                                          <w:divsChild>
                                            <w:div w:id="1615207209">
                                              <w:marLeft w:val="0"/>
                                              <w:marRight w:val="0"/>
                                              <w:marTop w:val="0"/>
                                              <w:marBottom w:val="0"/>
                                              <w:divBdr>
                                                <w:top w:val="none" w:sz="0" w:space="0" w:color="auto"/>
                                                <w:left w:val="none" w:sz="0" w:space="0" w:color="auto"/>
                                                <w:bottom w:val="none" w:sz="0" w:space="0" w:color="auto"/>
                                                <w:right w:val="none" w:sz="0" w:space="0" w:color="auto"/>
                                              </w:divBdr>
                                            </w:div>
                                          </w:divsChild>
                                        </w:div>
                                        <w:div w:id="708651887">
                                          <w:marLeft w:val="0"/>
                                          <w:marRight w:val="0"/>
                                          <w:marTop w:val="0"/>
                                          <w:marBottom w:val="0"/>
                                          <w:divBdr>
                                            <w:top w:val="none" w:sz="0" w:space="0" w:color="auto"/>
                                            <w:left w:val="none" w:sz="0" w:space="0" w:color="auto"/>
                                            <w:bottom w:val="none" w:sz="0" w:space="0" w:color="auto"/>
                                            <w:right w:val="none" w:sz="0" w:space="0" w:color="auto"/>
                                          </w:divBdr>
                                          <w:divsChild>
                                            <w:div w:id="1699887559">
                                              <w:marLeft w:val="0"/>
                                              <w:marRight w:val="0"/>
                                              <w:marTop w:val="0"/>
                                              <w:marBottom w:val="0"/>
                                              <w:divBdr>
                                                <w:top w:val="none" w:sz="0" w:space="0" w:color="auto"/>
                                                <w:left w:val="none" w:sz="0" w:space="0" w:color="auto"/>
                                                <w:bottom w:val="none" w:sz="0" w:space="0" w:color="auto"/>
                                                <w:right w:val="none" w:sz="0" w:space="0" w:color="auto"/>
                                              </w:divBdr>
                                              <w:divsChild>
                                                <w:div w:id="36394280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36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96014">
                              <w:marLeft w:val="0"/>
                              <w:marRight w:val="0"/>
                              <w:marTop w:val="0"/>
                              <w:marBottom w:val="0"/>
                              <w:divBdr>
                                <w:top w:val="none" w:sz="0" w:space="0" w:color="auto"/>
                                <w:left w:val="none" w:sz="0" w:space="0" w:color="auto"/>
                                <w:bottom w:val="none" w:sz="0" w:space="0" w:color="auto"/>
                                <w:right w:val="none" w:sz="0" w:space="0" w:color="auto"/>
                              </w:divBdr>
                              <w:divsChild>
                                <w:div w:id="1541942572">
                                  <w:marLeft w:val="0"/>
                                  <w:marRight w:val="0"/>
                                  <w:marTop w:val="0"/>
                                  <w:marBottom w:val="0"/>
                                  <w:divBdr>
                                    <w:top w:val="none" w:sz="0" w:space="0" w:color="auto"/>
                                    <w:left w:val="none" w:sz="0" w:space="0" w:color="auto"/>
                                    <w:bottom w:val="none" w:sz="0" w:space="0" w:color="auto"/>
                                    <w:right w:val="none" w:sz="0" w:space="0" w:color="auto"/>
                                  </w:divBdr>
                                  <w:divsChild>
                                    <w:div w:id="2095206441">
                                      <w:marLeft w:val="0"/>
                                      <w:marRight w:val="0"/>
                                      <w:marTop w:val="0"/>
                                      <w:marBottom w:val="0"/>
                                      <w:divBdr>
                                        <w:top w:val="none" w:sz="0" w:space="0" w:color="auto"/>
                                        <w:left w:val="none" w:sz="0" w:space="0" w:color="auto"/>
                                        <w:bottom w:val="none" w:sz="0" w:space="0" w:color="auto"/>
                                        <w:right w:val="none" w:sz="0" w:space="0" w:color="auto"/>
                                      </w:divBdr>
                                      <w:divsChild>
                                        <w:div w:id="1156187238">
                                          <w:marLeft w:val="0"/>
                                          <w:marRight w:val="0"/>
                                          <w:marTop w:val="0"/>
                                          <w:marBottom w:val="0"/>
                                          <w:divBdr>
                                            <w:top w:val="none" w:sz="0" w:space="0" w:color="auto"/>
                                            <w:left w:val="none" w:sz="0" w:space="0" w:color="auto"/>
                                            <w:bottom w:val="none" w:sz="0" w:space="0" w:color="auto"/>
                                            <w:right w:val="none" w:sz="0" w:space="0" w:color="auto"/>
                                          </w:divBdr>
                                          <w:divsChild>
                                            <w:div w:id="644894944">
                                              <w:marLeft w:val="0"/>
                                              <w:marRight w:val="0"/>
                                              <w:marTop w:val="0"/>
                                              <w:marBottom w:val="0"/>
                                              <w:divBdr>
                                                <w:top w:val="none" w:sz="0" w:space="0" w:color="auto"/>
                                                <w:left w:val="none" w:sz="0" w:space="0" w:color="auto"/>
                                                <w:bottom w:val="none" w:sz="0" w:space="0" w:color="auto"/>
                                                <w:right w:val="none" w:sz="0" w:space="0" w:color="auto"/>
                                              </w:divBdr>
                                              <w:divsChild>
                                                <w:div w:id="55327323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93451651">
                                          <w:marLeft w:val="0"/>
                                          <w:marRight w:val="0"/>
                                          <w:marTop w:val="0"/>
                                          <w:marBottom w:val="0"/>
                                          <w:divBdr>
                                            <w:top w:val="none" w:sz="0" w:space="0" w:color="auto"/>
                                            <w:left w:val="none" w:sz="0" w:space="0" w:color="auto"/>
                                            <w:bottom w:val="none" w:sz="0" w:space="0" w:color="auto"/>
                                            <w:right w:val="none" w:sz="0" w:space="0" w:color="auto"/>
                                          </w:divBdr>
                                          <w:divsChild>
                                            <w:div w:id="924798957">
                                              <w:marLeft w:val="0"/>
                                              <w:marRight w:val="0"/>
                                              <w:marTop w:val="0"/>
                                              <w:marBottom w:val="0"/>
                                              <w:divBdr>
                                                <w:top w:val="none" w:sz="0" w:space="0" w:color="auto"/>
                                                <w:left w:val="none" w:sz="0" w:space="0" w:color="auto"/>
                                                <w:bottom w:val="none" w:sz="0" w:space="0" w:color="auto"/>
                                                <w:right w:val="none" w:sz="0" w:space="0" w:color="auto"/>
                                              </w:divBdr>
                                            </w:div>
                                          </w:divsChild>
                                        </w:div>
                                        <w:div w:id="200200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79050">
                              <w:marLeft w:val="0"/>
                              <w:marRight w:val="0"/>
                              <w:marTop w:val="0"/>
                              <w:marBottom w:val="0"/>
                              <w:divBdr>
                                <w:top w:val="none" w:sz="0" w:space="0" w:color="auto"/>
                                <w:left w:val="none" w:sz="0" w:space="0" w:color="auto"/>
                                <w:bottom w:val="none" w:sz="0" w:space="0" w:color="auto"/>
                                <w:right w:val="none" w:sz="0" w:space="0" w:color="auto"/>
                              </w:divBdr>
                              <w:divsChild>
                                <w:div w:id="1629125954">
                                  <w:marLeft w:val="0"/>
                                  <w:marRight w:val="0"/>
                                  <w:marTop w:val="0"/>
                                  <w:marBottom w:val="0"/>
                                  <w:divBdr>
                                    <w:top w:val="none" w:sz="0" w:space="0" w:color="auto"/>
                                    <w:left w:val="none" w:sz="0" w:space="0" w:color="auto"/>
                                    <w:bottom w:val="none" w:sz="0" w:space="0" w:color="auto"/>
                                    <w:right w:val="none" w:sz="0" w:space="0" w:color="auto"/>
                                  </w:divBdr>
                                  <w:divsChild>
                                    <w:div w:id="816646824">
                                      <w:marLeft w:val="0"/>
                                      <w:marRight w:val="0"/>
                                      <w:marTop w:val="0"/>
                                      <w:marBottom w:val="0"/>
                                      <w:divBdr>
                                        <w:top w:val="none" w:sz="0" w:space="0" w:color="auto"/>
                                        <w:left w:val="none" w:sz="0" w:space="0" w:color="auto"/>
                                        <w:bottom w:val="none" w:sz="0" w:space="0" w:color="auto"/>
                                        <w:right w:val="none" w:sz="0" w:space="0" w:color="auto"/>
                                      </w:divBdr>
                                      <w:divsChild>
                                        <w:div w:id="934821690">
                                          <w:marLeft w:val="0"/>
                                          <w:marRight w:val="0"/>
                                          <w:marTop w:val="0"/>
                                          <w:marBottom w:val="0"/>
                                          <w:divBdr>
                                            <w:top w:val="none" w:sz="0" w:space="0" w:color="auto"/>
                                            <w:left w:val="none" w:sz="0" w:space="0" w:color="auto"/>
                                            <w:bottom w:val="none" w:sz="0" w:space="0" w:color="auto"/>
                                            <w:right w:val="none" w:sz="0" w:space="0" w:color="auto"/>
                                          </w:divBdr>
                                          <w:divsChild>
                                            <w:div w:id="763233692">
                                              <w:marLeft w:val="0"/>
                                              <w:marRight w:val="0"/>
                                              <w:marTop w:val="0"/>
                                              <w:marBottom w:val="0"/>
                                              <w:divBdr>
                                                <w:top w:val="none" w:sz="0" w:space="0" w:color="auto"/>
                                                <w:left w:val="none" w:sz="0" w:space="0" w:color="auto"/>
                                                <w:bottom w:val="none" w:sz="0" w:space="0" w:color="auto"/>
                                                <w:right w:val="none" w:sz="0" w:space="0" w:color="auto"/>
                                              </w:divBdr>
                                              <w:divsChild>
                                                <w:div w:id="20657142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45935017">
                                          <w:marLeft w:val="0"/>
                                          <w:marRight w:val="0"/>
                                          <w:marTop w:val="0"/>
                                          <w:marBottom w:val="0"/>
                                          <w:divBdr>
                                            <w:top w:val="none" w:sz="0" w:space="0" w:color="auto"/>
                                            <w:left w:val="none" w:sz="0" w:space="0" w:color="auto"/>
                                            <w:bottom w:val="none" w:sz="0" w:space="0" w:color="auto"/>
                                            <w:right w:val="none" w:sz="0" w:space="0" w:color="auto"/>
                                          </w:divBdr>
                                        </w:div>
                                        <w:div w:id="1509177090">
                                          <w:marLeft w:val="0"/>
                                          <w:marRight w:val="0"/>
                                          <w:marTop w:val="0"/>
                                          <w:marBottom w:val="0"/>
                                          <w:divBdr>
                                            <w:top w:val="none" w:sz="0" w:space="0" w:color="auto"/>
                                            <w:left w:val="none" w:sz="0" w:space="0" w:color="auto"/>
                                            <w:bottom w:val="none" w:sz="0" w:space="0" w:color="auto"/>
                                            <w:right w:val="none" w:sz="0" w:space="0" w:color="auto"/>
                                          </w:divBdr>
                                          <w:divsChild>
                                            <w:div w:id="49126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82347">
                              <w:marLeft w:val="0"/>
                              <w:marRight w:val="0"/>
                              <w:marTop w:val="0"/>
                              <w:marBottom w:val="0"/>
                              <w:divBdr>
                                <w:top w:val="none" w:sz="0" w:space="0" w:color="auto"/>
                                <w:left w:val="none" w:sz="0" w:space="0" w:color="auto"/>
                                <w:bottom w:val="none" w:sz="0" w:space="0" w:color="auto"/>
                                <w:right w:val="none" w:sz="0" w:space="0" w:color="auto"/>
                              </w:divBdr>
                              <w:divsChild>
                                <w:div w:id="1354266356">
                                  <w:marLeft w:val="0"/>
                                  <w:marRight w:val="0"/>
                                  <w:marTop w:val="0"/>
                                  <w:marBottom w:val="0"/>
                                  <w:divBdr>
                                    <w:top w:val="none" w:sz="0" w:space="0" w:color="auto"/>
                                    <w:left w:val="none" w:sz="0" w:space="0" w:color="auto"/>
                                    <w:bottom w:val="none" w:sz="0" w:space="0" w:color="auto"/>
                                    <w:right w:val="none" w:sz="0" w:space="0" w:color="auto"/>
                                  </w:divBdr>
                                  <w:divsChild>
                                    <w:div w:id="996763103">
                                      <w:marLeft w:val="0"/>
                                      <w:marRight w:val="0"/>
                                      <w:marTop w:val="0"/>
                                      <w:marBottom w:val="0"/>
                                      <w:divBdr>
                                        <w:top w:val="none" w:sz="0" w:space="0" w:color="auto"/>
                                        <w:left w:val="none" w:sz="0" w:space="0" w:color="auto"/>
                                        <w:bottom w:val="none" w:sz="0" w:space="0" w:color="auto"/>
                                        <w:right w:val="none" w:sz="0" w:space="0" w:color="auto"/>
                                      </w:divBdr>
                                      <w:divsChild>
                                        <w:div w:id="33820584">
                                          <w:marLeft w:val="0"/>
                                          <w:marRight w:val="0"/>
                                          <w:marTop w:val="0"/>
                                          <w:marBottom w:val="0"/>
                                          <w:divBdr>
                                            <w:top w:val="none" w:sz="0" w:space="0" w:color="auto"/>
                                            <w:left w:val="none" w:sz="0" w:space="0" w:color="auto"/>
                                            <w:bottom w:val="none" w:sz="0" w:space="0" w:color="auto"/>
                                            <w:right w:val="none" w:sz="0" w:space="0" w:color="auto"/>
                                          </w:divBdr>
                                        </w:div>
                                        <w:div w:id="1903759835">
                                          <w:marLeft w:val="0"/>
                                          <w:marRight w:val="0"/>
                                          <w:marTop w:val="0"/>
                                          <w:marBottom w:val="0"/>
                                          <w:divBdr>
                                            <w:top w:val="none" w:sz="0" w:space="0" w:color="auto"/>
                                            <w:left w:val="none" w:sz="0" w:space="0" w:color="auto"/>
                                            <w:bottom w:val="none" w:sz="0" w:space="0" w:color="auto"/>
                                            <w:right w:val="none" w:sz="0" w:space="0" w:color="auto"/>
                                          </w:divBdr>
                                          <w:divsChild>
                                            <w:div w:id="785806701">
                                              <w:marLeft w:val="0"/>
                                              <w:marRight w:val="0"/>
                                              <w:marTop w:val="0"/>
                                              <w:marBottom w:val="0"/>
                                              <w:divBdr>
                                                <w:top w:val="none" w:sz="0" w:space="0" w:color="auto"/>
                                                <w:left w:val="none" w:sz="0" w:space="0" w:color="auto"/>
                                                <w:bottom w:val="none" w:sz="0" w:space="0" w:color="auto"/>
                                                <w:right w:val="none" w:sz="0" w:space="0" w:color="auto"/>
                                              </w:divBdr>
                                              <w:divsChild>
                                                <w:div w:id="30435542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64536380">
                                          <w:marLeft w:val="0"/>
                                          <w:marRight w:val="0"/>
                                          <w:marTop w:val="0"/>
                                          <w:marBottom w:val="0"/>
                                          <w:divBdr>
                                            <w:top w:val="none" w:sz="0" w:space="0" w:color="auto"/>
                                            <w:left w:val="none" w:sz="0" w:space="0" w:color="auto"/>
                                            <w:bottom w:val="none" w:sz="0" w:space="0" w:color="auto"/>
                                            <w:right w:val="none" w:sz="0" w:space="0" w:color="auto"/>
                                          </w:divBdr>
                                          <w:divsChild>
                                            <w:div w:id="3815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4603">
                              <w:marLeft w:val="0"/>
                              <w:marRight w:val="0"/>
                              <w:marTop w:val="0"/>
                              <w:marBottom w:val="0"/>
                              <w:divBdr>
                                <w:top w:val="none" w:sz="0" w:space="0" w:color="auto"/>
                                <w:left w:val="none" w:sz="0" w:space="0" w:color="auto"/>
                                <w:bottom w:val="none" w:sz="0" w:space="0" w:color="auto"/>
                                <w:right w:val="none" w:sz="0" w:space="0" w:color="auto"/>
                              </w:divBdr>
                              <w:divsChild>
                                <w:div w:id="1458990772">
                                  <w:marLeft w:val="0"/>
                                  <w:marRight w:val="0"/>
                                  <w:marTop w:val="0"/>
                                  <w:marBottom w:val="0"/>
                                  <w:divBdr>
                                    <w:top w:val="none" w:sz="0" w:space="0" w:color="auto"/>
                                    <w:left w:val="none" w:sz="0" w:space="0" w:color="auto"/>
                                    <w:bottom w:val="none" w:sz="0" w:space="0" w:color="auto"/>
                                    <w:right w:val="none" w:sz="0" w:space="0" w:color="auto"/>
                                  </w:divBdr>
                                  <w:divsChild>
                                    <w:div w:id="1207108684">
                                      <w:marLeft w:val="0"/>
                                      <w:marRight w:val="0"/>
                                      <w:marTop w:val="0"/>
                                      <w:marBottom w:val="0"/>
                                      <w:divBdr>
                                        <w:top w:val="none" w:sz="0" w:space="0" w:color="auto"/>
                                        <w:left w:val="none" w:sz="0" w:space="0" w:color="auto"/>
                                        <w:bottom w:val="none" w:sz="0" w:space="0" w:color="auto"/>
                                        <w:right w:val="none" w:sz="0" w:space="0" w:color="auto"/>
                                      </w:divBdr>
                                      <w:divsChild>
                                        <w:div w:id="277837778">
                                          <w:marLeft w:val="0"/>
                                          <w:marRight w:val="0"/>
                                          <w:marTop w:val="0"/>
                                          <w:marBottom w:val="0"/>
                                          <w:divBdr>
                                            <w:top w:val="none" w:sz="0" w:space="0" w:color="auto"/>
                                            <w:left w:val="none" w:sz="0" w:space="0" w:color="auto"/>
                                            <w:bottom w:val="none" w:sz="0" w:space="0" w:color="auto"/>
                                            <w:right w:val="none" w:sz="0" w:space="0" w:color="auto"/>
                                          </w:divBdr>
                                          <w:divsChild>
                                            <w:div w:id="202327872">
                                              <w:marLeft w:val="0"/>
                                              <w:marRight w:val="0"/>
                                              <w:marTop w:val="0"/>
                                              <w:marBottom w:val="0"/>
                                              <w:divBdr>
                                                <w:top w:val="none" w:sz="0" w:space="0" w:color="auto"/>
                                                <w:left w:val="none" w:sz="0" w:space="0" w:color="auto"/>
                                                <w:bottom w:val="none" w:sz="0" w:space="0" w:color="auto"/>
                                                <w:right w:val="none" w:sz="0" w:space="0" w:color="auto"/>
                                              </w:divBdr>
                                            </w:div>
                                          </w:divsChild>
                                        </w:div>
                                        <w:div w:id="1398090662">
                                          <w:marLeft w:val="0"/>
                                          <w:marRight w:val="0"/>
                                          <w:marTop w:val="0"/>
                                          <w:marBottom w:val="0"/>
                                          <w:divBdr>
                                            <w:top w:val="none" w:sz="0" w:space="0" w:color="auto"/>
                                            <w:left w:val="none" w:sz="0" w:space="0" w:color="auto"/>
                                            <w:bottom w:val="none" w:sz="0" w:space="0" w:color="auto"/>
                                            <w:right w:val="none" w:sz="0" w:space="0" w:color="auto"/>
                                          </w:divBdr>
                                          <w:divsChild>
                                            <w:div w:id="726418899">
                                              <w:marLeft w:val="0"/>
                                              <w:marRight w:val="0"/>
                                              <w:marTop w:val="0"/>
                                              <w:marBottom w:val="0"/>
                                              <w:divBdr>
                                                <w:top w:val="none" w:sz="0" w:space="0" w:color="auto"/>
                                                <w:left w:val="none" w:sz="0" w:space="0" w:color="auto"/>
                                                <w:bottom w:val="none" w:sz="0" w:space="0" w:color="auto"/>
                                                <w:right w:val="none" w:sz="0" w:space="0" w:color="auto"/>
                                              </w:divBdr>
                                              <w:divsChild>
                                                <w:div w:id="142449347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1980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6979">
                              <w:marLeft w:val="0"/>
                              <w:marRight w:val="0"/>
                              <w:marTop w:val="0"/>
                              <w:marBottom w:val="0"/>
                              <w:divBdr>
                                <w:top w:val="none" w:sz="0" w:space="0" w:color="auto"/>
                                <w:left w:val="none" w:sz="0" w:space="0" w:color="auto"/>
                                <w:bottom w:val="none" w:sz="0" w:space="0" w:color="auto"/>
                                <w:right w:val="none" w:sz="0" w:space="0" w:color="auto"/>
                              </w:divBdr>
                              <w:divsChild>
                                <w:div w:id="1538080716">
                                  <w:marLeft w:val="0"/>
                                  <w:marRight w:val="0"/>
                                  <w:marTop w:val="0"/>
                                  <w:marBottom w:val="0"/>
                                  <w:divBdr>
                                    <w:top w:val="none" w:sz="0" w:space="0" w:color="auto"/>
                                    <w:left w:val="none" w:sz="0" w:space="0" w:color="auto"/>
                                    <w:bottom w:val="none" w:sz="0" w:space="0" w:color="auto"/>
                                    <w:right w:val="none" w:sz="0" w:space="0" w:color="auto"/>
                                  </w:divBdr>
                                  <w:divsChild>
                                    <w:div w:id="362294654">
                                      <w:marLeft w:val="0"/>
                                      <w:marRight w:val="0"/>
                                      <w:marTop w:val="0"/>
                                      <w:marBottom w:val="0"/>
                                      <w:divBdr>
                                        <w:top w:val="none" w:sz="0" w:space="0" w:color="auto"/>
                                        <w:left w:val="none" w:sz="0" w:space="0" w:color="auto"/>
                                        <w:bottom w:val="none" w:sz="0" w:space="0" w:color="auto"/>
                                        <w:right w:val="none" w:sz="0" w:space="0" w:color="auto"/>
                                      </w:divBdr>
                                      <w:divsChild>
                                        <w:div w:id="452947296">
                                          <w:marLeft w:val="0"/>
                                          <w:marRight w:val="0"/>
                                          <w:marTop w:val="0"/>
                                          <w:marBottom w:val="0"/>
                                          <w:divBdr>
                                            <w:top w:val="none" w:sz="0" w:space="0" w:color="auto"/>
                                            <w:left w:val="none" w:sz="0" w:space="0" w:color="auto"/>
                                            <w:bottom w:val="none" w:sz="0" w:space="0" w:color="auto"/>
                                            <w:right w:val="none" w:sz="0" w:space="0" w:color="auto"/>
                                          </w:divBdr>
                                        </w:div>
                                        <w:div w:id="1894149158">
                                          <w:marLeft w:val="0"/>
                                          <w:marRight w:val="0"/>
                                          <w:marTop w:val="0"/>
                                          <w:marBottom w:val="0"/>
                                          <w:divBdr>
                                            <w:top w:val="none" w:sz="0" w:space="0" w:color="auto"/>
                                            <w:left w:val="none" w:sz="0" w:space="0" w:color="auto"/>
                                            <w:bottom w:val="none" w:sz="0" w:space="0" w:color="auto"/>
                                            <w:right w:val="none" w:sz="0" w:space="0" w:color="auto"/>
                                          </w:divBdr>
                                          <w:divsChild>
                                            <w:div w:id="359353789">
                                              <w:marLeft w:val="0"/>
                                              <w:marRight w:val="0"/>
                                              <w:marTop w:val="0"/>
                                              <w:marBottom w:val="0"/>
                                              <w:divBdr>
                                                <w:top w:val="none" w:sz="0" w:space="0" w:color="auto"/>
                                                <w:left w:val="none" w:sz="0" w:space="0" w:color="auto"/>
                                                <w:bottom w:val="none" w:sz="0" w:space="0" w:color="auto"/>
                                                <w:right w:val="none" w:sz="0" w:space="0" w:color="auto"/>
                                              </w:divBdr>
                                            </w:div>
                                          </w:divsChild>
                                        </w:div>
                                        <w:div w:id="1909880544">
                                          <w:marLeft w:val="0"/>
                                          <w:marRight w:val="0"/>
                                          <w:marTop w:val="0"/>
                                          <w:marBottom w:val="0"/>
                                          <w:divBdr>
                                            <w:top w:val="none" w:sz="0" w:space="0" w:color="auto"/>
                                            <w:left w:val="none" w:sz="0" w:space="0" w:color="auto"/>
                                            <w:bottom w:val="none" w:sz="0" w:space="0" w:color="auto"/>
                                            <w:right w:val="none" w:sz="0" w:space="0" w:color="auto"/>
                                          </w:divBdr>
                                          <w:divsChild>
                                            <w:div w:id="1191608038">
                                              <w:marLeft w:val="0"/>
                                              <w:marRight w:val="0"/>
                                              <w:marTop w:val="0"/>
                                              <w:marBottom w:val="0"/>
                                              <w:divBdr>
                                                <w:top w:val="none" w:sz="0" w:space="0" w:color="auto"/>
                                                <w:left w:val="none" w:sz="0" w:space="0" w:color="auto"/>
                                                <w:bottom w:val="none" w:sz="0" w:space="0" w:color="auto"/>
                                                <w:right w:val="none" w:sz="0" w:space="0" w:color="auto"/>
                                              </w:divBdr>
                                              <w:divsChild>
                                                <w:div w:id="112669928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288527">
                              <w:marLeft w:val="0"/>
                              <w:marRight w:val="0"/>
                              <w:marTop w:val="0"/>
                              <w:marBottom w:val="0"/>
                              <w:divBdr>
                                <w:top w:val="none" w:sz="0" w:space="0" w:color="auto"/>
                                <w:left w:val="none" w:sz="0" w:space="0" w:color="auto"/>
                                <w:bottom w:val="none" w:sz="0" w:space="0" w:color="auto"/>
                                <w:right w:val="none" w:sz="0" w:space="0" w:color="auto"/>
                              </w:divBdr>
                              <w:divsChild>
                                <w:div w:id="451554461">
                                  <w:marLeft w:val="0"/>
                                  <w:marRight w:val="0"/>
                                  <w:marTop w:val="0"/>
                                  <w:marBottom w:val="0"/>
                                  <w:divBdr>
                                    <w:top w:val="none" w:sz="0" w:space="0" w:color="auto"/>
                                    <w:left w:val="none" w:sz="0" w:space="0" w:color="auto"/>
                                    <w:bottom w:val="none" w:sz="0" w:space="0" w:color="auto"/>
                                    <w:right w:val="none" w:sz="0" w:space="0" w:color="auto"/>
                                  </w:divBdr>
                                  <w:divsChild>
                                    <w:div w:id="655113351">
                                      <w:marLeft w:val="0"/>
                                      <w:marRight w:val="0"/>
                                      <w:marTop w:val="0"/>
                                      <w:marBottom w:val="0"/>
                                      <w:divBdr>
                                        <w:top w:val="none" w:sz="0" w:space="0" w:color="auto"/>
                                        <w:left w:val="none" w:sz="0" w:space="0" w:color="auto"/>
                                        <w:bottom w:val="none" w:sz="0" w:space="0" w:color="auto"/>
                                        <w:right w:val="none" w:sz="0" w:space="0" w:color="auto"/>
                                      </w:divBdr>
                                      <w:divsChild>
                                        <w:div w:id="1243560691">
                                          <w:marLeft w:val="0"/>
                                          <w:marRight w:val="0"/>
                                          <w:marTop w:val="0"/>
                                          <w:marBottom w:val="0"/>
                                          <w:divBdr>
                                            <w:top w:val="none" w:sz="0" w:space="0" w:color="auto"/>
                                            <w:left w:val="none" w:sz="0" w:space="0" w:color="auto"/>
                                            <w:bottom w:val="none" w:sz="0" w:space="0" w:color="auto"/>
                                            <w:right w:val="none" w:sz="0" w:space="0" w:color="auto"/>
                                          </w:divBdr>
                                        </w:div>
                                        <w:div w:id="1594359977">
                                          <w:marLeft w:val="0"/>
                                          <w:marRight w:val="0"/>
                                          <w:marTop w:val="0"/>
                                          <w:marBottom w:val="0"/>
                                          <w:divBdr>
                                            <w:top w:val="none" w:sz="0" w:space="0" w:color="auto"/>
                                            <w:left w:val="none" w:sz="0" w:space="0" w:color="auto"/>
                                            <w:bottom w:val="none" w:sz="0" w:space="0" w:color="auto"/>
                                            <w:right w:val="none" w:sz="0" w:space="0" w:color="auto"/>
                                          </w:divBdr>
                                          <w:divsChild>
                                            <w:div w:id="1666088701">
                                              <w:marLeft w:val="0"/>
                                              <w:marRight w:val="0"/>
                                              <w:marTop w:val="0"/>
                                              <w:marBottom w:val="0"/>
                                              <w:divBdr>
                                                <w:top w:val="none" w:sz="0" w:space="0" w:color="auto"/>
                                                <w:left w:val="none" w:sz="0" w:space="0" w:color="auto"/>
                                                <w:bottom w:val="none" w:sz="0" w:space="0" w:color="auto"/>
                                                <w:right w:val="none" w:sz="0" w:space="0" w:color="auto"/>
                                              </w:divBdr>
                                            </w:div>
                                          </w:divsChild>
                                        </w:div>
                                        <w:div w:id="2000301382">
                                          <w:marLeft w:val="0"/>
                                          <w:marRight w:val="0"/>
                                          <w:marTop w:val="0"/>
                                          <w:marBottom w:val="0"/>
                                          <w:divBdr>
                                            <w:top w:val="none" w:sz="0" w:space="0" w:color="auto"/>
                                            <w:left w:val="none" w:sz="0" w:space="0" w:color="auto"/>
                                            <w:bottom w:val="none" w:sz="0" w:space="0" w:color="auto"/>
                                            <w:right w:val="none" w:sz="0" w:space="0" w:color="auto"/>
                                          </w:divBdr>
                                          <w:divsChild>
                                            <w:div w:id="1858620461">
                                              <w:marLeft w:val="0"/>
                                              <w:marRight w:val="0"/>
                                              <w:marTop w:val="0"/>
                                              <w:marBottom w:val="0"/>
                                              <w:divBdr>
                                                <w:top w:val="none" w:sz="0" w:space="0" w:color="auto"/>
                                                <w:left w:val="none" w:sz="0" w:space="0" w:color="auto"/>
                                                <w:bottom w:val="none" w:sz="0" w:space="0" w:color="auto"/>
                                                <w:right w:val="none" w:sz="0" w:space="0" w:color="auto"/>
                                              </w:divBdr>
                                              <w:divsChild>
                                                <w:div w:id="109197341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464204">
                              <w:marLeft w:val="0"/>
                              <w:marRight w:val="0"/>
                              <w:marTop w:val="0"/>
                              <w:marBottom w:val="0"/>
                              <w:divBdr>
                                <w:top w:val="none" w:sz="0" w:space="0" w:color="auto"/>
                                <w:left w:val="none" w:sz="0" w:space="0" w:color="auto"/>
                                <w:bottom w:val="none" w:sz="0" w:space="0" w:color="auto"/>
                                <w:right w:val="none" w:sz="0" w:space="0" w:color="auto"/>
                              </w:divBdr>
                              <w:divsChild>
                                <w:div w:id="542597534">
                                  <w:marLeft w:val="0"/>
                                  <w:marRight w:val="0"/>
                                  <w:marTop w:val="0"/>
                                  <w:marBottom w:val="0"/>
                                  <w:divBdr>
                                    <w:top w:val="none" w:sz="0" w:space="0" w:color="auto"/>
                                    <w:left w:val="none" w:sz="0" w:space="0" w:color="auto"/>
                                    <w:bottom w:val="none" w:sz="0" w:space="0" w:color="auto"/>
                                    <w:right w:val="none" w:sz="0" w:space="0" w:color="auto"/>
                                  </w:divBdr>
                                  <w:divsChild>
                                    <w:div w:id="630331091">
                                      <w:marLeft w:val="0"/>
                                      <w:marRight w:val="0"/>
                                      <w:marTop w:val="0"/>
                                      <w:marBottom w:val="0"/>
                                      <w:divBdr>
                                        <w:top w:val="none" w:sz="0" w:space="0" w:color="auto"/>
                                        <w:left w:val="none" w:sz="0" w:space="0" w:color="auto"/>
                                        <w:bottom w:val="none" w:sz="0" w:space="0" w:color="auto"/>
                                        <w:right w:val="none" w:sz="0" w:space="0" w:color="auto"/>
                                      </w:divBdr>
                                      <w:divsChild>
                                        <w:div w:id="1423644620">
                                          <w:marLeft w:val="0"/>
                                          <w:marRight w:val="0"/>
                                          <w:marTop w:val="0"/>
                                          <w:marBottom w:val="0"/>
                                          <w:divBdr>
                                            <w:top w:val="none" w:sz="0" w:space="0" w:color="auto"/>
                                            <w:left w:val="none" w:sz="0" w:space="0" w:color="auto"/>
                                            <w:bottom w:val="none" w:sz="0" w:space="0" w:color="auto"/>
                                            <w:right w:val="none" w:sz="0" w:space="0" w:color="auto"/>
                                          </w:divBdr>
                                          <w:divsChild>
                                            <w:div w:id="1345863750">
                                              <w:marLeft w:val="0"/>
                                              <w:marRight w:val="0"/>
                                              <w:marTop w:val="0"/>
                                              <w:marBottom w:val="0"/>
                                              <w:divBdr>
                                                <w:top w:val="none" w:sz="0" w:space="0" w:color="auto"/>
                                                <w:left w:val="none" w:sz="0" w:space="0" w:color="auto"/>
                                                <w:bottom w:val="none" w:sz="0" w:space="0" w:color="auto"/>
                                                <w:right w:val="none" w:sz="0" w:space="0" w:color="auto"/>
                                              </w:divBdr>
                                            </w:div>
                                          </w:divsChild>
                                        </w:div>
                                        <w:div w:id="1826434593">
                                          <w:marLeft w:val="0"/>
                                          <w:marRight w:val="0"/>
                                          <w:marTop w:val="0"/>
                                          <w:marBottom w:val="0"/>
                                          <w:divBdr>
                                            <w:top w:val="none" w:sz="0" w:space="0" w:color="auto"/>
                                            <w:left w:val="none" w:sz="0" w:space="0" w:color="auto"/>
                                            <w:bottom w:val="none" w:sz="0" w:space="0" w:color="auto"/>
                                            <w:right w:val="none" w:sz="0" w:space="0" w:color="auto"/>
                                          </w:divBdr>
                                          <w:divsChild>
                                            <w:div w:id="30307462">
                                              <w:marLeft w:val="0"/>
                                              <w:marRight w:val="0"/>
                                              <w:marTop w:val="0"/>
                                              <w:marBottom w:val="0"/>
                                              <w:divBdr>
                                                <w:top w:val="none" w:sz="0" w:space="0" w:color="auto"/>
                                                <w:left w:val="none" w:sz="0" w:space="0" w:color="auto"/>
                                                <w:bottom w:val="none" w:sz="0" w:space="0" w:color="auto"/>
                                                <w:right w:val="none" w:sz="0" w:space="0" w:color="auto"/>
                                              </w:divBdr>
                                              <w:divsChild>
                                                <w:div w:id="6011855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4897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68779">
                              <w:marLeft w:val="0"/>
                              <w:marRight w:val="0"/>
                              <w:marTop w:val="0"/>
                              <w:marBottom w:val="0"/>
                              <w:divBdr>
                                <w:top w:val="none" w:sz="0" w:space="0" w:color="auto"/>
                                <w:left w:val="none" w:sz="0" w:space="0" w:color="auto"/>
                                <w:bottom w:val="none" w:sz="0" w:space="0" w:color="auto"/>
                                <w:right w:val="none" w:sz="0" w:space="0" w:color="auto"/>
                              </w:divBdr>
                              <w:divsChild>
                                <w:div w:id="1658724782">
                                  <w:marLeft w:val="0"/>
                                  <w:marRight w:val="0"/>
                                  <w:marTop w:val="0"/>
                                  <w:marBottom w:val="0"/>
                                  <w:divBdr>
                                    <w:top w:val="none" w:sz="0" w:space="0" w:color="auto"/>
                                    <w:left w:val="none" w:sz="0" w:space="0" w:color="auto"/>
                                    <w:bottom w:val="none" w:sz="0" w:space="0" w:color="auto"/>
                                    <w:right w:val="none" w:sz="0" w:space="0" w:color="auto"/>
                                  </w:divBdr>
                                  <w:divsChild>
                                    <w:div w:id="1832137534">
                                      <w:marLeft w:val="0"/>
                                      <w:marRight w:val="0"/>
                                      <w:marTop w:val="0"/>
                                      <w:marBottom w:val="0"/>
                                      <w:divBdr>
                                        <w:top w:val="none" w:sz="0" w:space="0" w:color="auto"/>
                                        <w:left w:val="none" w:sz="0" w:space="0" w:color="auto"/>
                                        <w:bottom w:val="none" w:sz="0" w:space="0" w:color="auto"/>
                                        <w:right w:val="none" w:sz="0" w:space="0" w:color="auto"/>
                                      </w:divBdr>
                                      <w:divsChild>
                                        <w:div w:id="50465428">
                                          <w:marLeft w:val="0"/>
                                          <w:marRight w:val="0"/>
                                          <w:marTop w:val="0"/>
                                          <w:marBottom w:val="0"/>
                                          <w:divBdr>
                                            <w:top w:val="none" w:sz="0" w:space="0" w:color="auto"/>
                                            <w:left w:val="none" w:sz="0" w:space="0" w:color="auto"/>
                                            <w:bottom w:val="none" w:sz="0" w:space="0" w:color="auto"/>
                                            <w:right w:val="none" w:sz="0" w:space="0" w:color="auto"/>
                                          </w:divBdr>
                                        </w:div>
                                        <w:div w:id="658702886">
                                          <w:marLeft w:val="0"/>
                                          <w:marRight w:val="0"/>
                                          <w:marTop w:val="0"/>
                                          <w:marBottom w:val="0"/>
                                          <w:divBdr>
                                            <w:top w:val="none" w:sz="0" w:space="0" w:color="auto"/>
                                            <w:left w:val="none" w:sz="0" w:space="0" w:color="auto"/>
                                            <w:bottom w:val="none" w:sz="0" w:space="0" w:color="auto"/>
                                            <w:right w:val="none" w:sz="0" w:space="0" w:color="auto"/>
                                          </w:divBdr>
                                          <w:divsChild>
                                            <w:div w:id="4031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501164">
                              <w:marLeft w:val="0"/>
                              <w:marRight w:val="0"/>
                              <w:marTop w:val="0"/>
                              <w:marBottom w:val="0"/>
                              <w:divBdr>
                                <w:top w:val="none" w:sz="0" w:space="0" w:color="auto"/>
                                <w:left w:val="none" w:sz="0" w:space="0" w:color="auto"/>
                                <w:bottom w:val="none" w:sz="0" w:space="0" w:color="auto"/>
                                <w:right w:val="none" w:sz="0" w:space="0" w:color="auto"/>
                              </w:divBdr>
                              <w:divsChild>
                                <w:div w:id="1311133459">
                                  <w:marLeft w:val="0"/>
                                  <w:marRight w:val="0"/>
                                  <w:marTop w:val="0"/>
                                  <w:marBottom w:val="0"/>
                                  <w:divBdr>
                                    <w:top w:val="none" w:sz="0" w:space="0" w:color="auto"/>
                                    <w:left w:val="none" w:sz="0" w:space="0" w:color="auto"/>
                                    <w:bottom w:val="none" w:sz="0" w:space="0" w:color="auto"/>
                                    <w:right w:val="none" w:sz="0" w:space="0" w:color="auto"/>
                                  </w:divBdr>
                                  <w:divsChild>
                                    <w:div w:id="2008285730">
                                      <w:marLeft w:val="0"/>
                                      <w:marRight w:val="0"/>
                                      <w:marTop w:val="0"/>
                                      <w:marBottom w:val="0"/>
                                      <w:divBdr>
                                        <w:top w:val="none" w:sz="0" w:space="0" w:color="auto"/>
                                        <w:left w:val="none" w:sz="0" w:space="0" w:color="auto"/>
                                        <w:bottom w:val="none" w:sz="0" w:space="0" w:color="auto"/>
                                        <w:right w:val="none" w:sz="0" w:space="0" w:color="auto"/>
                                      </w:divBdr>
                                      <w:divsChild>
                                        <w:div w:id="827408130">
                                          <w:marLeft w:val="0"/>
                                          <w:marRight w:val="0"/>
                                          <w:marTop w:val="0"/>
                                          <w:marBottom w:val="0"/>
                                          <w:divBdr>
                                            <w:top w:val="none" w:sz="0" w:space="0" w:color="auto"/>
                                            <w:left w:val="none" w:sz="0" w:space="0" w:color="auto"/>
                                            <w:bottom w:val="none" w:sz="0" w:space="0" w:color="auto"/>
                                            <w:right w:val="none" w:sz="0" w:space="0" w:color="auto"/>
                                          </w:divBdr>
                                          <w:divsChild>
                                            <w:div w:id="151533656">
                                              <w:marLeft w:val="0"/>
                                              <w:marRight w:val="0"/>
                                              <w:marTop w:val="0"/>
                                              <w:marBottom w:val="0"/>
                                              <w:divBdr>
                                                <w:top w:val="none" w:sz="0" w:space="0" w:color="auto"/>
                                                <w:left w:val="none" w:sz="0" w:space="0" w:color="auto"/>
                                                <w:bottom w:val="none" w:sz="0" w:space="0" w:color="auto"/>
                                                <w:right w:val="none" w:sz="0" w:space="0" w:color="auto"/>
                                              </w:divBdr>
                                              <w:divsChild>
                                                <w:div w:id="8267496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93526766">
                                          <w:marLeft w:val="0"/>
                                          <w:marRight w:val="0"/>
                                          <w:marTop w:val="0"/>
                                          <w:marBottom w:val="0"/>
                                          <w:divBdr>
                                            <w:top w:val="none" w:sz="0" w:space="0" w:color="auto"/>
                                            <w:left w:val="none" w:sz="0" w:space="0" w:color="auto"/>
                                            <w:bottom w:val="none" w:sz="0" w:space="0" w:color="auto"/>
                                            <w:right w:val="none" w:sz="0" w:space="0" w:color="auto"/>
                                          </w:divBdr>
                                        </w:div>
                                        <w:div w:id="1947348778">
                                          <w:marLeft w:val="0"/>
                                          <w:marRight w:val="0"/>
                                          <w:marTop w:val="0"/>
                                          <w:marBottom w:val="0"/>
                                          <w:divBdr>
                                            <w:top w:val="none" w:sz="0" w:space="0" w:color="auto"/>
                                            <w:left w:val="none" w:sz="0" w:space="0" w:color="auto"/>
                                            <w:bottom w:val="none" w:sz="0" w:space="0" w:color="auto"/>
                                            <w:right w:val="none" w:sz="0" w:space="0" w:color="auto"/>
                                          </w:divBdr>
                                          <w:divsChild>
                                            <w:div w:id="13520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863067">
                              <w:marLeft w:val="0"/>
                              <w:marRight w:val="0"/>
                              <w:marTop w:val="0"/>
                              <w:marBottom w:val="0"/>
                              <w:divBdr>
                                <w:top w:val="none" w:sz="0" w:space="0" w:color="auto"/>
                                <w:left w:val="none" w:sz="0" w:space="0" w:color="auto"/>
                                <w:bottom w:val="none" w:sz="0" w:space="0" w:color="auto"/>
                                <w:right w:val="none" w:sz="0" w:space="0" w:color="auto"/>
                              </w:divBdr>
                              <w:divsChild>
                                <w:div w:id="338822012">
                                  <w:marLeft w:val="0"/>
                                  <w:marRight w:val="0"/>
                                  <w:marTop w:val="0"/>
                                  <w:marBottom w:val="0"/>
                                  <w:divBdr>
                                    <w:top w:val="none" w:sz="0" w:space="0" w:color="auto"/>
                                    <w:left w:val="none" w:sz="0" w:space="0" w:color="auto"/>
                                    <w:bottom w:val="none" w:sz="0" w:space="0" w:color="auto"/>
                                    <w:right w:val="none" w:sz="0" w:space="0" w:color="auto"/>
                                  </w:divBdr>
                                  <w:divsChild>
                                    <w:div w:id="1359820564">
                                      <w:marLeft w:val="0"/>
                                      <w:marRight w:val="0"/>
                                      <w:marTop w:val="0"/>
                                      <w:marBottom w:val="0"/>
                                      <w:divBdr>
                                        <w:top w:val="none" w:sz="0" w:space="0" w:color="auto"/>
                                        <w:left w:val="none" w:sz="0" w:space="0" w:color="auto"/>
                                        <w:bottom w:val="none" w:sz="0" w:space="0" w:color="auto"/>
                                        <w:right w:val="none" w:sz="0" w:space="0" w:color="auto"/>
                                      </w:divBdr>
                                      <w:divsChild>
                                        <w:div w:id="894783041">
                                          <w:marLeft w:val="0"/>
                                          <w:marRight w:val="0"/>
                                          <w:marTop w:val="0"/>
                                          <w:marBottom w:val="0"/>
                                          <w:divBdr>
                                            <w:top w:val="none" w:sz="0" w:space="0" w:color="auto"/>
                                            <w:left w:val="none" w:sz="0" w:space="0" w:color="auto"/>
                                            <w:bottom w:val="none" w:sz="0" w:space="0" w:color="auto"/>
                                            <w:right w:val="none" w:sz="0" w:space="0" w:color="auto"/>
                                          </w:divBdr>
                                          <w:divsChild>
                                            <w:div w:id="1126042873">
                                              <w:marLeft w:val="0"/>
                                              <w:marRight w:val="0"/>
                                              <w:marTop w:val="0"/>
                                              <w:marBottom w:val="0"/>
                                              <w:divBdr>
                                                <w:top w:val="none" w:sz="0" w:space="0" w:color="auto"/>
                                                <w:left w:val="none" w:sz="0" w:space="0" w:color="auto"/>
                                                <w:bottom w:val="none" w:sz="0" w:space="0" w:color="auto"/>
                                                <w:right w:val="none" w:sz="0" w:space="0" w:color="auto"/>
                                              </w:divBdr>
                                              <w:divsChild>
                                                <w:div w:id="14615375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06252418">
                                          <w:marLeft w:val="0"/>
                                          <w:marRight w:val="0"/>
                                          <w:marTop w:val="0"/>
                                          <w:marBottom w:val="0"/>
                                          <w:divBdr>
                                            <w:top w:val="none" w:sz="0" w:space="0" w:color="auto"/>
                                            <w:left w:val="none" w:sz="0" w:space="0" w:color="auto"/>
                                            <w:bottom w:val="none" w:sz="0" w:space="0" w:color="auto"/>
                                            <w:right w:val="none" w:sz="0" w:space="0" w:color="auto"/>
                                          </w:divBdr>
                                          <w:divsChild>
                                            <w:div w:id="876161145">
                                              <w:marLeft w:val="0"/>
                                              <w:marRight w:val="0"/>
                                              <w:marTop w:val="0"/>
                                              <w:marBottom w:val="0"/>
                                              <w:divBdr>
                                                <w:top w:val="none" w:sz="0" w:space="0" w:color="auto"/>
                                                <w:left w:val="none" w:sz="0" w:space="0" w:color="auto"/>
                                                <w:bottom w:val="none" w:sz="0" w:space="0" w:color="auto"/>
                                                <w:right w:val="none" w:sz="0" w:space="0" w:color="auto"/>
                                              </w:divBdr>
                                            </w:div>
                                          </w:divsChild>
                                        </w:div>
                                        <w:div w:id="18591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314117">
                              <w:marLeft w:val="0"/>
                              <w:marRight w:val="0"/>
                              <w:marTop w:val="0"/>
                              <w:marBottom w:val="0"/>
                              <w:divBdr>
                                <w:top w:val="none" w:sz="0" w:space="0" w:color="auto"/>
                                <w:left w:val="none" w:sz="0" w:space="0" w:color="auto"/>
                                <w:bottom w:val="none" w:sz="0" w:space="0" w:color="auto"/>
                                <w:right w:val="none" w:sz="0" w:space="0" w:color="auto"/>
                              </w:divBdr>
                              <w:divsChild>
                                <w:div w:id="209804539">
                                  <w:marLeft w:val="0"/>
                                  <w:marRight w:val="0"/>
                                  <w:marTop w:val="0"/>
                                  <w:marBottom w:val="0"/>
                                  <w:divBdr>
                                    <w:top w:val="none" w:sz="0" w:space="0" w:color="auto"/>
                                    <w:left w:val="none" w:sz="0" w:space="0" w:color="auto"/>
                                    <w:bottom w:val="none" w:sz="0" w:space="0" w:color="auto"/>
                                    <w:right w:val="none" w:sz="0" w:space="0" w:color="auto"/>
                                  </w:divBdr>
                                  <w:divsChild>
                                    <w:div w:id="575406297">
                                      <w:marLeft w:val="0"/>
                                      <w:marRight w:val="0"/>
                                      <w:marTop w:val="0"/>
                                      <w:marBottom w:val="0"/>
                                      <w:divBdr>
                                        <w:top w:val="none" w:sz="0" w:space="0" w:color="auto"/>
                                        <w:left w:val="none" w:sz="0" w:space="0" w:color="auto"/>
                                        <w:bottom w:val="none" w:sz="0" w:space="0" w:color="auto"/>
                                        <w:right w:val="none" w:sz="0" w:space="0" w:color="auto"/>
                                      </w:divBdr>
                                      <w:divsChild>
                                        <w:div w:id="38477710">
                                          <w:marLeft w:val="0"/>
                                          <w:marRight w:val="0"/>
                                          <w:marTop w:val="0"/>
                                          <w:marBottom w:val="0"/>
                                          <w:divBdr>
                                            <w:top w:val="none" w:sz="0" w:space="0" w:color="auto"/>
                                            <w:left w:val="none" w:sz="0" w:space="0" w:color="auto"/>
                                            <w:bottom w:val="none" w:sz="0" w:space="0" w:color="auto"/>
                                            <w:right w:val="none" w:sz="0" w:space="0" w:color="auto"/>
                                          </w:divBdr>
                                          <w:divsChild>
                                            <w:div w:id="924537642">
                                              <w:marLeft w:val="0"/>
                                              <w:marRight w:val="0"/>
                                              <w:marTop w:val="0"/>
                                              <w:marBottom w:val="0"/>
                                              <w:divBdr>
                                                <w:top w:val="none" w:sz="0" w:space="0" w:color="auto"/>
                                                <w:left w:val="none" w:sz="0" w:space="0" w:color="auto"/>
                                                <w:bottom w:val="none" w:sz="0" w:space="0" w:color="auto"/>
                                                <w:right w:val="none" w:sz="0" w:space="0" w:color="auto"/>
                                              </w:divBdr>
                                              <w:divsChild>
                                                <w:div w:id="138984507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09518310">
                                          <w:marLeft w:val="0"/>
                                          <w:marRight w:val="0"/>
                                          <w:marTop w:val="0"/>
                                          <w:marBottom w:val="0"/>
                                          <w:divBdr>
                                            <w:top w:val="none" w:sz="0" w:space="0" w:color="auto"/>
                                            <w:left w:val="none" w:sz="0" w:space="0" w:color="auto"/>
                                            <w:bottom w:val="none" w:sz="0" w:space="0" w:color="auto"/>
                                            <w:right w:val="none" w:sz="0" w:space="0" w:color="auto"/>
                                          </w:divBdr>
                                          <w:divsChild>
                                            <w:div w:id="437216187">
                                              <w:marLeft w:val="0"/>
                                              <w:marRight w:val="0"/>
                                              <w:marTop w:val="0"/>
                                              <w:marBottom w:val="0"/>
                                              <w:divBdr>
                                                <w:top w:val="none" w:sz="0" w:space="0" w:color="auto"/>
                                                <w:left w:val="none" w:sz="0" w:space="0" w:color="auto"/>
                                                <w:bottom w:val="none" w:sz="0" w:space="0" w:color="auto"/>
                                                <w:right w:val="none" w:sz="0" w:space="0" w:color="auto"/>
                                              </w:divBdr>
                                            </w:div>
                                          </w:divsChild>
                                        </w:div>
                                        <w:div w:id="12961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974342">
                              <w:marLeft w:val="0"/>
                              <w:marRight w:val="0"/>
                              <w:marTop w:val="0"/>
                              <w:marBottom w:val="0"/>
                              <w:divBdr>
                                <w:top w:val="none" w:sz="0" w:space="0" w:color="auto"/>
                                <w:left w:val="none" w:sz="0" w:space="0" w:color="auto"/>
                                <w:bottom w:val="none" w:sz="0" w:space="0" w:color="auto"/>
                                <w:right w:val="none" w:sz="0" w:space="0" w:color="auto"/>
                              </w:divBdr>
                              <w:divsChild>
                                <w:div w:id="497621959">
                                  <w:marLeft w:val="0"/>
                                  <w:marRight w:val="0"/>
                                  <w:marTop w:val="0"/>
                                  <w:marBottom w:val="0"/>
                                  <w:divBdr>
                                    <w:top w:val="none" w:sz="0" w:space="0" w:color="auto"/>
                                    <w:left w:val="none" w:sz="0" w:space="0" w:color="auto"/>
                                    <w:bottom w:val="none" w:sz="0" w:space="0" w:color="auto"/>
                                    <w:right w:val="none" w:sz="0" w:space="0" w:color="auto"/>
                                  </w:divBdr>
                                  <w:divsChild>
                                    <w:div w:id="1056970904">
                                      <w:marLeft w:val="0"/>
                                      <w:marRight w:val="0"/>
                                      <w:marTop w:val="0"/>
                                      <w:marBottom w:val="0"/>
                                      <w:divBdr>
                                        <w:top w:val="none" w:sz="0" w:space="0" w:color="auto"/>
                                        <w:left w:val="none" w:sz="0" w:space="0" w:color="auto"/>
                                        <w:bottom w:val="none" w:sz="0" w:space="0" w:color="auto"/>
                                        <w:right w:val="none" w:sz="0" w:space="0" w:color="auto"/>
                                      </w:divBdr>
                                      <w:divsChild>
                                        <w:div w:id="533614874">
                                          <w:marLeft w:val="0"/>
                                          <w:marRight w:val="0"/>
                                          <w:marTop w:val="0"/>
                                          <w:marBottom w:val="0"/>
                                          <w:divBdr>
                                            <w:top w:val="none" w:sz="0" w:space="0" w:color="auto"/>
                                            <w:left w:val="none" w:sz="0" w:space="0" w:color="auto"/>
                                            <w:bottom w:val="none" w:sz="0" w:space="0" w:color="auto"/>
                                            <w:right w:val="none" w:sz="0" w:space="0" w:color="auto"/>
                                          </w:divBdr>
                                          <w:divsChild>
                                            <w:div w:id="968628250">
                                              <w:marLeft w:val="0"/>
                                              <w:marRight w:val="0"/>
                                              <w:marTop w:val="0"/>
                                              <w:marBottom w:val="0"/>
                                              <w:divBdr>
                                                <w:top w:val="none" w:sz="0" w:space="0" w:color="auto"/>
                                                <w:left w:val="none" w:sz="0" w:space="0" w:color="auto"/>
                                                <w:bottom w:val="none" w:sz="0" w:space="0" w:color="auto"/>
                                                <w:right w:val="none" w:sz="0" w:space="0" w:color="auto"/>
                                              </w:divBdr>
                                            </w:div>
                                          </w:divsChild>
                                        </w:div>
                                        <w:div w:id="1362395100">
                                          <w:marLeft w:val="0"/>
                                          <w:marRight w:val="0"/>
                                          <w:marTop w:val="0"/>
                                          <w:marBottom w:val="0"/>
                                          <w:divBdr>
                                            <w:top w:val="none" w:sz="0" w:space="0" w:color="auto"/>
                                            <w:left w:val="none" w:sz="0" w:space="0" w:color="auto"/>
                                            <w:bottom w:val="none" w:sz="0" w:space="0" w:color="auto"/>
                                            <w:right w:val="none" w:sz="0" w:space="0" w:color="auto"/>
                                          </w:divBdr>
                                          <w:divsChild>
                                            <w:div w:id="1203205894">
                                              <w:marLeft w:val="0"/>
                                              <w:marRight w:val="0"/>
                                              <w:marTop w:val="0"/>
                                              <w:marBottom w:val="0"/>
                                              <w:divBdr>
                                                <w:top w:val="none" w:sz="0" w:space="0" w:color="auto"/>
                                                <w:left w:val="none" w:sz="0" w:space="0" w:color="auto"/>
                                                <w:bottom w:val="none" w:sz="0" w:space="0" w:color="auto"/>
                                                <w:right w:val="none" w:sz="0" w:space="0" w:color="auto"/>
                                              </w:divBdr>
                                              <w:divsChild>
                                                <w:div w:id="5873501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5882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27969">
                              <w:marLeft w:val="0"/>
                              <w:marRight w:val="0"/>
                              <w:marTop w:val="0"/>
                              <w:marBottom w:val="0"/>
                              <w:divBdr>
                                <w:top w:val="none" w:sz="0" w:space="0" w:color="auto"/>
                                <w:left w:val="none" w:sz="0" w:space="0" w:color="auto"/>
                                <w:bottom w:val="none" w:sz="0" w:space="0" w:color="auto"/>
                                <w:right w:val="none" w:sz="0" w:space="0" w:color="auto"/>
                              </w:divBdr>
                              <w:divsChild>
                                <w:div w:id="801458879">
                                  <w:marLeft w:val="0"/>
                                  <w:marRight w:val="0"/>
                                  <w:marTop w:val="0"/>
                                  <w:marBottom w:val="0"/>
                                  <w:divBdr>
                                    <w:top w:val="none" w:sz="0" w:space="0" w:color="auto"/>
                                    <w:left w:val="none" w:sz="0" w:space="0" w:color="auto"/>
                                    <w:bottom w:val="none" w:sz="0" w:space="0" w:color="auto"/>
                                    <w:right w:val="none" w:sz="0" w:space="0" w:color="auto"/>
                                  </w:divBdr>
                                  <w:divsChild>
                                    <w:div w:id="516694837">
                                      <w:marLeft w:val="0"/>
                                      <w:marRight w:val="0"/>
                                      <w:marTop w:val="0"/>
                                      <w:marBottom w:val="0"/>
                                      <w:divBdr>
                                        <w:top w:val="none" w:sz="0" w:space="0" w:color="auto"/>
                                        <w:left w:val="none" w:sz="0" w:space="0" w:color="auto"/>
                                        <w:bottom w:val="none" w:sz="0" w:space="0" w:color="auto"/>
                                        <w:right w:val="none" w:sz="0" w:space="0" w:color="auto"/>
                                      </w:divBdr>
                                      <w:divsChild>
                                        <w:div w:id="958413636">
                                          <w:marLeft w:val="0"/>
                                          <w:marRight w:val="0"/>
                                          <w:marTop w:val="0"/>
                                          <w:marBottom w:val="0"/>
                                          <w:divBdr>
                                            <w:top w:val="none" w:sz="0" w:space="0" w:color="auto"/>
                                            <w:left w:val="none" w:sz="0" w:space="0" w:color="auto"/>
                                            <w:bottom w:val="none" w:sz="0" w:space="0" w:color="auto"/>
                                            <w:right w:val="none" w:sz="0" w:space="0" w:color="auto"/>
                                          </w:divBdr>
                                          <w:divsChild>
                                            <w:div w:id="2042364349">
                                              <w:marLeft w:val="0"/>
                                              <w:marRight w:val="0"/>
                                              <w:marTop w:val="0"/>
                                              <w:marBottom w:val="0"/>
                                              <w:divBdr>
                                                <w:top w:val="none" w:sz="0" w:space="0" w:color="auto"/>
                                                <w:left w:val="none" w:sz="0" w:space="0" w:color="auto"/>
                                                <w:bottom w:val="none" w:sz="0" w:space="0" w:color="auto"/>
                                                <w:right w:val="none" w:sz="0" w:space="0" w:color="auto"/>
                                              </w:divBdr>
                                            </w:div>
                                          </w:divsChild>
                                        </w:div>
                                        <w:div w:id="1064530706">
                                          <w:marLeft w:val="0"/>
                                          <w:marRight w:val="0"/>
                                          <w:marTop w:val="0"/>
                                          <w:marBottom w:val="0"/>
                                          <w:divBdr>
                                            <w:top w:val="none" w:sz="0" w:space="0" w:color="auto"/>
                                            <w:left w:val="none" w:sz="0" w:space="0" w:color="auto"/>
                                            <w:bottom w:val="none" w:sz="0" w:space="0" w:color="auto"/>
                                            <w:right w:val="none" w:sz="0" w:space="0" w:color="auto"/>
                                          </w:divBdr>
                                        </w:div>
                                        <w:div w:id="1125152669">
                                          <w:marLeft w:val="0"/>
                                          <w:marRight w:val="0"/>
                                          <w:marTop w:val="0"/>
                                          <w:marBottom w:val="0"/>
                                          <w:divBdr>
                                            <w:top w:val="none" w:sz="0" w:space="0" w:color="auto"/>
                                            <w:left w:val="none" w:sz="0" w:space="0" w:color="auto"/>
                                            <w:bottom w:val="none" w:sz="0" w:space="0" w:color="auto"/>
                                            <w:right w:val="none" w:sz="0" w:space="0" w:color="auto"/>
                                          </w:divBdr>
                                          <w:divsChild>
                                            <w:div w:id="656542135">
                                              <w:marLeft w:val="0"/>
                                              <w:marRight w:val="0"/>
                                              <w:marTop w:val="0"/>
                                              <w:marBottom w:val="0"/>
                                              <w:divBdr>
                                                <w:top w:val="none" w:sz="0" w:space="0" w:color="auto"/>
                                                <w:left w:val="none" w:sz="0" w:space="0" w:color="auto"/>
                                                <w:bottom w:val="none" w:sz="0" w:space="0" w:color="auto"/>
                                                <w:right w:val="none" w:sz="0" w:space="0" w:color="auto"/>
                                              </w:divBdr>
                                              <w:divsChild>
                                                <w:div w:id="3469527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531185">
                              <w:marLeft w:val="0"/>
                              <w:marRight w:val="0"/>
                              <w:marTop w:val="0"/>
                              <w:marBottom w:val="0"/>
                              <w:divBdr>
                                <w:top w:val="none" w:sz="0" w:space="0" w:color="auto"/>
                                <w:left w:val="none" w:sz="0" w:space="0" w:color="auto"/>
                                <w:bottom w:val="none" w:sz="0" w:space="0" w:color="auto"/>
                                <w:right w:val="none" w:sz="0" w:space="0" w:color="auto"/>
                              </w:divBdr>
                              <w:divsChild>
                                <w:div w:id="149030303">
                                  <w:marLeft w:val="0"/>
                                  <w:marRight w:val="0"/>
                                  <w:marTop w:val="0"/>
                                  <w:marBottom w:val="0"/>
                                  <w:divBdr>
                                    <w:top w:val="none" w:sz="0" w:space="0" w:color="auto"/>
                                    <w:left w:val="none" w:sz="0" w:space="0" w:color="auto"/>
                                    <w:bottom w:val="none" w:sz="0" w:space="0" w:color="auto"/>
                                    <w:right w:val="none" w:sz="0" w:space="0" w:color="auto"/>
                                  </w:divBdr>
                                  <w:divsChild>
                                    <w:div w:id="1021585654">
                                      <w:marLeft w:val="0"/>
                                      <w:marRight w:val="0"/>
                                      <w:marTop w:val="0"/>
                                      <w:marBottom w:val="0"/>
                                      <w:divBdr>
                                        <w:top w:val="none" w:sz="0" w:space="0" w:color="auto"/>
                                        <w:left w:val="none" w:sz="0" w:space="0" w:color="auto"/>
                                        <w:bottom w:val="none" w:sz="0" w:space="0" w:color="auto"/>
                                        <w:right w:val="none" w:sz="0" w:space="0" w:color="auto"/>
                                      </w:divBdr>
                                      <w:divsChild>
                                        <w:div w:id="106391070">
                                          <w:marLeft w:val="0"/>
                                          <w:marRight w:val="0"/>
                                          <w:marTop w:val="0"/>
                                          <w:marBottom w:val="0"/>
                                          <w:divBdr>
                                            <w:top w:val="none" w:sz="0" w:space="0" w:color="auto"/>
                                            <w:left w:val="none" w:sz="0" w:space="0" w:color="auto"/>
                                            <w:bottom w:val="none" w:sz="0" w:space="0" w:color="auto"/>
                                            <w:right w:val="none" w:sz="0" w:space="0" w:color="auto"/>
                                          </w:divBdr>
                                          <w:divsChild>
                                            <w:div w:id="1600991729">
                                              <w:marLeft w:val="0"/>
                                              <w:marRight w:val="0"/>
                                              <w:marTop w:val="0"/>
                                              <w:marBottom w:val="0"/>
                                              <w:divBdr>
                                                <w:top w:val="none" w:sz="0" w:space="0" w:color="auto"/>
                                                <w:left w:val="none" w:sz="0" w:space="0" w:color="auto"/>
                                                <w:bottom w:val="none" w:sz="0" w:space="0" w:color="auto"/>
                                                <w:right w:val="none" w:sz="0" w:space="0" w:color="auto"/>
                                              </w:divBdr>
                                            </w:div>
                                          </w:divsChild>
                                        </w:div>
                                        <w:div w:id="685789858">
                                          <w:marLeft w:val="0"/>
                                          <w:marRight w:val="0"/>
                                          <w:marTop w:val="0"/>
                                          <w:marBottom w:val="0"/>
                                          <w:divBdr>
                                            <w:top w:val="none" w:sz="0" w:space="0" w:color="auto"/>
                                            <w:left w:val="none" w:sz="0" w:space="0" w:color="auto"/>
                                            <w:bottom w:val="none" w:sz="0" w:space="0" w:color="auto"/>
                                            <w:right w:val="none" w:sz="0" w:space="0" w:color="auto"/>
                                          </w:divBdr>
                                        </w:div>
                                        <w:div w:id="1391659471">
                                          <w:marLeft w:val="0"/>
                                          <w:marRight w:val="0"/>
                                          <w:marTop w:val="0"/>
                                          <w:marBottom w:val="0"/>
                                          <w:divBdr>
                                            <w:top w:val="none" w:sz="0" w:space="0" w:color="auto"/>
                                            <w:left w:val="none" w:sz="0" w:space="0" w:color="auto"/>
                                            <w:bottom w:val="none" w:sz="0" w:space="0" w:color="auto"/>
                                            <w:right w:val="none" w:sz="0" w:space="0" w:color="auto"/>
                                          </w:divBdr>
                                          <w:divsChild>
                                            <w:div w:id="1932813528">
                                              <w:marLeft w:val="0"/>
                                              <w:marRight w:val="0"/>
                                              <w:marTop w:val="0"/>
                                              <w:marBottom w:val="0"/>
                                              <w:divBdr>
                                                <w:top w:val="none" w:sz="0" w:space="0" w:color="auto"/>
                                                <w:left w:val="none" w:sz="0" w:space="0" w:color="auto"/>
                                                <w:bottom w:val="none" w:sz="0" w:space="0" w:color="auto"/>
                                                <w:right w:val="none" w:sz="0" w:space="0" w:color="auto"/>
                                              </w:divBdr>
                                              <w:divsChild>
                                                <w:div w:id="24183677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323305">
                              <w:marLeft w:val="0"/>
                              <w:marRight w:val="0"/>
                              <w:marTop w:val="0"/>
                              <w:marBottom w:val="0"/>
                              <w:divBdr>
                                <w:top w:val="none" w:sz="0" w:space="0" w:color="auto"/>
                                <w:left w:val="none" w:sz="0" w:space="0" w:color="auto"/>
                                <w:bottom w:val="none" w:sz="0" w:space="0" w:color="auto"/>
                                <w:right w:val="none" w:sz="0" w:space="0" w:color="auto"/>
                              </w:divBdr>
                              <w:divsChild>
                                <w:div w:id="1577745324">
                                  <w:marLeft w:val="0"/>
                                  <w:marRight w:val="0"/>
                                  <w:marTop w:val="0"/>
                                  <w:marBottom w:val="0"/>
                                  <w:divBdr>
                                    <w:top w:val="none" w:sz="0" w:space="0" w:color="auto"/>
                                    <w:left w:val="none" w:sz="0" w:space="0" w:color="auto"/>
                                    <w:bottom w:val="none" w:sz="0" w:space="0" w:color="auto"/>
                                    <w:right w:val="none" w:sz="0" w:space="0" w:color="auto"/>
                                  </w:divBdr>
                                  <w:divsChild>
                                    <w:div w:id="2048673819">
                                      <w:marLeft w:val="0"/>
                                      <w:marRight w:val="0"/>
                                      <w:marTop w:val="0"/>
                                      <w:marBottom w:val="0"/>
                                      <w:divBdr>
                                        <w:top w:val="none" w:sz="0" w:space="0" w:color="auto"/>
                                        <w:left w:val="none" w:sz="0" w:space="0" w:color="auto"/>
                                        <w:bottom w:val="none" w:sz="0" w:space="0" w:color="auto"/>
                                        <w:right w:val="none" w:sz="0" w:space="0" w:color="auto"/>
                                      </w:divBdr>
                                      <w:divsChild>
                                        <w:div w:id="827941830">
                                          <w:marLeft w:val="0"/>
                                          <w:marRight w:val="0"/>
                                          <w:marTop w:val="0"/>
                                          <w:marBottom w:val="0"/>
                                          <w:divBdr>
                                            <w:top w:val="none" w:sz="0" w:space="0" w:color="auto"/>
                                            <w:left w:val="none" w:sz="0" w:space="0" w:color="auto"/>
                                            <w:bottom w:val="none" w:sz="0" w:space="0" w:color="auto"/>
                                            <w:right w:val="none" w:sz="0" w:space="0" w:color="auto"/>
                                          </w:divBdr>
                                          <w:divsChild>
                                            <w:div w:id="1062290054">
                                              <w:marLeft w:val="0"/>
                                              <w:marRight w:val="0"/>
                                              <w:marTop w:val="0"/>
                                              <w:marBottom w:val="0"/>
                                              <w:divBdr>
                                                <w:top w:val="none" w:sz="0" w:space="0" w:color="auto"/>
                                                <w:left w:val="none" w:sz="0" w:space="0" w:color="auto"/>
                                                <w:bottom w:val="none" w:sz="0" w:space="0" w:color="auto"/>
                                                <w:right w:val="none" w:sz="0" w:space="0" w:color="auto"/>
                                              </w:divBdr>
                                            </w:div>
                                          </w:divsChild>
                                        </w:div>
                                        <w:div w:id="1033264231">
                                          <w:marLeft w:val="0"/>
                                          <w:marRight w:val="0"/>
                                          <w:marTop w:val="0"/>
                                          <w:marBottom w:val="0"/>
                                          <w:divBdr>
                                            <w:top w:val="none" w:sz="0" w:space="0" w:color="auto"/>
                                            <w:left w:val="none" w:sz="0" w:space="0" w:color="auto"/>
                                            <w:bottom w:val="none" w:sz="0" w:space="0" w:color="auto"/>
                                            <w:right w:val="none" w:sz="0" w:space="0" w:color="auto"/>
                                          </w:divBdr>
                                        </w:div>
                                        <w:div w:id="1981500720">
                                          <w:marLeft w:val="0"/>
                                          <w:marRight w:val="0"/>
                                          <w:marTop w:val="0"/>
                                          <w:marBottom w:val="0"/>
                                          <w:divBdr>
                                            <w:top w:val="none" w:sz="0" w:space="0" w:color="auto"/>
                                            <w:left w:val="none" w:sz="0" w:space="0" w:color="auto"/>
                                            <w:bottom w:val="none" w:sz="0" w:space="0" w:color="auto"/>
                                            <w:right w:val="none" w:sz="0" w:space="0" w:color="auto"/>
                                          </w:divBdr>
                                          <w:divsChild>
                                            <w:div w:id="316570959">
                                              <w:marLeft w:val="0"/>
                                              <w:marRight w:val="0"/>
                                              <w:marTop w:val="0"/>
                                              <w:marBottom w:val="0"/>
                                              <w:divBdr>
                                                <w:top w:val="none" w:sz="0" w:space="0" w:color="auto"/>
                                                <w:left w:val="none" w:sz="0" w:space="0" w:color="auto"/>
                                                <w:bottom w:val="none" w:sz="0" w:space="0" w:color="auto"/>
                                                <w:right w:val="none" w:sz="0" w:space="0" w:color="auto"/>
                                              </w:divBdr>
                                              <w:divsChild>
                                                <w:div w:id="166064879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618492">
                              <w:marLeft w:val="0"/>
                              <w:marRight w:val="0"/>
                              <w:marTop w:val="0"/>
                              <w:marBottom w:val="0"/>
                              <w:divBdr>
                                <w:top w:val="none" w:sz="0" w:space="0" w:color="auto"/>
                                <w:left w:val="none" w:sz="0" w:space="0" w:color="auto"/>
                                <w:bottom w:val="none" w:sz="0" w:space="0" w:color="auto"/>
                                <w:right w:val="none" w:sz="0" w:space="0" w:color="auto"/>
                              </w:divBdr>
                              <w:divsChild>
                                <w:div w:id="1827699748">
                                  <w:marLeft w:val="0"/>
                                  <w:marRight w:val="0"/>
                                  <w:marTop w:val="0"/>
                                  <w:marBottom w:val="0"/>
                                  <w:divBdr>
                                    <w:top w:val="none" w:sz="0" w:space="0" w:color="auto"/>
                                    <w:left w:val="none" w:sz="0" w:space="0" w:color="auto"/>
                                    <w:bottom w:val="none" w:sz="0" w:space="0" w:color="auto"/>
                                    <w:right w:val="none" w:sz="0" w:space="0" w:color="auto"/>
                                  </w:divBdr>
                                  <w:divsChild>
                                    <w:div w:id="548037542">
                                      <w:marLeft w:val="0"/>
                                      <w:marRight w:val="0"/>
                                      <w:marTop w:val="0"/>
                                      <w:marBottom w:val="0"/>
                                      <w:divBdr>
                                        <w:top w:val="none" w:sz="0" w:space="0" w:color="auto"/>
                                        <w:left w:val="none" w:sz="0" w:space="0" w:color="auto"/>
                                        <w:bottom w:val="none" w:sz="0" w:space="0" w:color="auto"/>
                                        <w:right w:val="none" w:sz="0" w:space="0" w:color="auto"/>
                                      </w:divBdr>
                                      <w:divsChild>
                                        <w:div w:id="1380351779">
                                          <w:marLeft w:val="0"/>
                                          <w:marRight w:val="0"/>
                                          <w:marTop w:val="0"/>
                                          <w:marBottom w:val="0"/>
                                          <w:divBdr>
                                            <w:top w:val="none" w:sz="0" w:space="0" w:color="auto"/>
                                            <w:left w:val="none" w:sz="0" w:space="0" w:color="auto"/>
                                            <w:bottom w:val="none" w:sz="0" w:space="0" w:color="auto"/>
                                            <w:right w:val="none" w:sz="0" w:space="0" w:color="auto"/>
                                          </w:divBdr>
                                        </w:div>
                                        <w:div w:id="1670408136">
                                          <w:marLeft w:val="0"/>
                                          <w:marRight w:val="0"/>
                                          <w:marTop w:val="0"/>
                                          <w:marBottom w:val="0"/>
                                          <w:divBdr>
                                            <w:top w:val="none" w:sz="0" w:space="0" w:color="auto"/>
                                            <w:left w:val="none" w:sz="0" w:space="0" w:color="auto"/>
                                            <w:bottom w:val="none" w:sz="0" w:space="0" w:color="auto"/>
                                            <w:right w:val="none" w:sz="0" w:space="0" w:color="auto"/>
                                          </w:divBdr>
                                          <w:divsChild>
                                            <w:div w:id="1719276358">
                                              <w:marLeft w:val="0"/>
                                              <w:marRight w:val="0"/>
                                              <w:marTop w:val="0"/>
                                              <w:marBottom w:val="0"/>
                                              <w:divBdr>
                                                <w:top w:val="none" w:sz="0" w:space="0" w:color="auto"/>
                                                <w:left w:val="none" w:sz="0" w:space="0" w:color="auto"/>
                                                <w:bottom w:val="none" w:sz="0" w:space="0" w:color="auto"/>
                                                <w:right w:val="none" w:sz="0" w:space="0" w:color="auto"/>
                                              </w:divBdr>
                                              <w:divsChild>
                                                <w:div w:id="4838636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45322681">
                                          <w:marLeft w:val="0"/>
                                          <w:marRight w:val="0"/>
                                          <w:marTop w:val="0"/>
                                          <w:marBottom w:val="0"/>
                                          <w:divBdr>
                                            <w:top w:val="none" w:sz="0" w:space="0" w:color="auto"/>
                                            <w:left w:val="none" w:sz="0" w:space="0" w:color="auto"/>
                                            <w:bottom w:val="none" w:sz="0" w:space="0" w:color="auto"/>
                                            <w:right w:val="none" w:sz="0" w:space="0" w:color="auto"/>
                                          </w:divBdr>
                                          <w:divsChild>
                                            <w:div w:id="45012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637126">
                              <w:marLeft w:val="0"/>
                              <w:marRight w:val="0"/>
                              <w:marTop w:val="0"/>
                              <w:marBottom w:val="0"/>
                              <w:divBdr>
                                <w:top w:val="none" w:sz="0" w:space="0" w:color="auto"/>
                                <w:left w:val="none" w:sz="0" w:space="0" w:color="auto"/>
                                <w:bottom w:val="none" w:sz="0" w:space="0" w:color="auto"/>
                                <w:right w:val="none" w:sz="0" w:space="0" w:color="auto"/>
                              </w:divBdr>
                              <w:divsChild>
                                <w:div w:id="1146168574">
                                  <w:marLeft w:val="0"/>
                                  <w:marRight w:val="0"/>
                                  <w:marTop w:val="0"/>
                                  <w:marBottom w:val="0"/>
                                  <w:divBdr>
                                    <w:top w:val="none" w:sz="0" w:space="0" w:color="auto"/>
                                    <w:left w:val="none" w:sz="0" w:space="0" w:color="auto"/>
                                    <w:bottom w:val="none" w:sz="0" w:space="0" w:color="auto"/>
                                    <w:right w:val="none" w:sz="0" w:space="0" w:color="auto"/>
                                  </w:divBdr>
                                  <w:divsChild>
                                    <w:div w:id="1040665951">
                                      <w:marLeft w:val="0"/>
                                      <w:marRight w:val="0"/>
                                      <w:marTop w:val="0"/>
                                      <w:marBottom w:val="0"/>
                                      <w:divBdr>
                                        <w:top w:val="none" w:sz="0" w:space="0" w:color="auto"/>
                                        <w:left w:val="none" w:sz="0" w:space="0" w:color="auto"/>
                                        <w:bottom w:val="none" w:sz="0" w:space="0" w:color="auto"/>
                                        <w:right w:val="none" w:sz="0" w:space="0" w:color="auto"/>
                                      </w:divBdr>
                                      <w:divsChild>
                                        <w:div w:id="388529780">
                                          <w:marLeft w:val="0"/>
                                          <w:marRight w:val="0"/>
                                          <w:marTop w:val="0"/>
                                          <w:marBottom w:val="0"/>
                                          <w:divBdr>
                                            <w:top w:val="none" w:sz="0" w:space="0" w:color="auto"/>
                                            <w:left w:val="none" w:sz="0" w:space="0" w:color="auto"/>
                                            <w:bottom w:val="none" w:sz="0" w:space="0" w:color="auto"/>
                                            <w:right w:val="none" w:sz="0" w:space="0" w:color="auto"/>
                                          </w:divBdr>
                                          <w:divsChild>
                                            <w:div w:id="959385762">
                                              <w:marLeft w:val="0"/>
                                              <w:marRight w:val="0"/>
                                              <w:marTop w:val="0"/>
                                              <w:marBottom w:val="0"/>
                                              <w:divBdr>
                                                <w:top w:val="none" w:sz="0" w:space="0" w:color="auto"/>
                                                <w:left w:val="none" w:sz="0" w:space="0" w:color="auto"/>
                                                <w:bottom w:val="none" w:sz="0" w:space="0" w:color="auto"/>
                                                <w:right w:val="none" w:sz="0" w:space="0" w:color="auto"/>
                                              </w:divBdr>
                                              <w:divsChild>
                                                <w:div w:id="21129667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79335333">
                                          <w:marLeft w:val="0"/>
                                          <w:marRight w:val="0"/>
                                          <w:marTop w:val="0"/>
                                          <w:marBottom w:val="0"/>
                                          <w:divBdr>
                                            <w:top w:val="none" w:sz="0" w:space="0" w:color="auto"/>
                                            <w:left w:val="none" w:sz="0" w:space="0" w:color="auto"/>
                                            <w:bottom w:val="none" w:sz="0" w:space="0" w:color="auto"/>
                                            <w:right w:val="none" w:sz="0" w:space="0" w:color="auto"/>
                                          </w:divBdr>
                                        </w:div>
                                        <w:div w:id="2061974719">
                                          <w:marLeft w:val="0"/>
                                          <w:marRight w:val="0"/>
                                          <w:marTop w:val="0"/>
                                          <w:marBottom w:val="0"/>
                                          <w:divBdr>
                                            <w:top w:val="none" w:sz="0" w:space="0" w:color="auto"/>
                                            <w:left w:val="none" w:sz="0" w:space="0" w:color="auto"/>
                                            <w:bottom w:val="none" w:sz="0" w:space="0" w:color="auto"/>
                                            <w:right w:val="none" w:sz="0" w:space="0" w:color="auto"/>
                                          </w:divBdr>
                                          <w:divsChild>
                                            <w:div w:id="13258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640537">
                              <w:marLeft w:val="0"/>
                              <w:marRight w:val="0"/>
                              <w:marTop w:val="0"/>
                              <w:marBottom w:val="0"/>
                              <w:divBdr>
                                <w:top w:val="none" w:sz="0" w:space="0" w:color="auto"/>
                                <w:left w:val="none" w:sz="0" w:space="0" w:color="auto"/>
                                <w:bottom w:val="none" w:sz="0" w:space="0" w:color="auto"/>
                                <w:right w:val="none" w:sz="0" w:space="0" w:color="auto"/>
                              </w:divBdr>
                              <w:divsChild>
                                <w:div w:id="1492869418">
                                  <w:marLeft w:val="0"/>
                                  <w:marRight w:val="0"/>
                                  <w:marTop w:val="0"/>
                                  <w:marBottom w:val="0"/>
                                  <w:divBdr>
                                    <w:top w:val="none" w:sz="0" w:space="0" w:color="auto"/>
                                    <w:left w:val="none" w:sz="0" w:space="0" w:color="auto"/>
                                    <w:bottom w:val="none" w:sz="0" w:space="0" w:color="auto"/>
                                    <w:right w:val="none" w:sz="0" w:space="0" w:color="auto"/>
                                  </w:divBdr>
                                  <w:divsChild>
                                    <w:div w:id="1801654876">
                                      <w:marLeft w:val="0"/>
                                      <w:marRight w:val="0"/>
                                      <w:marTop w:val="0"/>
                                      <w:marBottom w:val="0"/>
                                      <w:divBdr>
                                        <w:top w:val="none" w:sz="0" w:space="0" w:color="auto"/>
                                        <w:left w:val="none" w:sz="0" w:space="0" w:color="auto"/>
                                        <w:bottom w:val="none" w:sz="0" w:space="0" w:color="auto"/>
                                        <w:right w:val="none" w:sz="0" w:space="0" w:color="auto"/>
                                      </w:divBdr>
                                      <w:divsChild>
                                        <w:div w:id="712923294">
                                          <w:marLeft w:val="0"/>
                                          <w:marRight w:val="0"/>
                                          <w:marTop w:val="0"/>
                                          <w:marBottom w:val="0"/>
                                          <w:divBdr>
                                            <w:top w:val="none" w:sz="0" w:space="0" w:color="auto"/>
                                            <w:left w:val="none" w:sz="0" w:space="0" w:color="auto"/>
                                            <w:bottom w:val="none" w:sz="0" w:space="0" w:color="auto"/>
                                            <w:right w:val="none" w:sz="0" w:space="0" w:color="auto"/>
                                          </w:divBdr>
                                          <w:divsChild>
                                            <w:div w:id="476921237">
                                              <w:marLeft w:val="0"/>
                                              <w:marRight w:val="0"/>
                                              <w:marTop w:val="0"/>
                                              <w:marBottom w:val="0"/>
                                              <w:divBdr>
                                                <w:top w:val="none" w:sz="0" w:space="0" w:color="auto"/>
                                                <w:left w:val="none" w:sz="0" w:space="0" w:color="auto"/>
                                                <w:bottom w:val="none" w:sz="0" w:space="0" w:color="auto"/>
                                                <w:right w:val="none" w:sz="0" w:space="0" w:color="auto"/>
                                              </w:divBdr>
                                            </w:div>
                                          </w:divsChild>
                                        </w:div>
                                        <w:div w:id="1130247489">
                                          <w:marLeft w:val="0"/>
                                          <w:marRight w:val="0"/>
                                          <w:marTop w:val="0"/>
                                          <w:marBottom w:val="0"/>
                                          <w:divBdr>
                                            <w:top w:val="none" w:sz="0" w:space="0" w:color="auto"/>
                                            <w:left w:val="none" w:sz="0" w:space="0" w:color="auto"/>
                                            <w:bottom w:val="none" w:sz="0" w:space="0" w:color="auto"/>
                                            <w:right w:val="none" w:sz="0" w:space="0" w:color="auto"/>
                                          </w:divBdr>
                                          <w:divsChild>
                                            <w:div w:id="1498038248">
                                              <w:marLeft w:val="0"/>
                                              <w:marRight w:val="0"/>
                                              <w:marTop w:val="0"/>
                                              <w:marBottom w:val="0"/>
                                              <w:divBdr>
                                                <w:top w:val="none" w:sz="0" w:space="0" w:color="auto"/>
                                                <w:left w:val="none" w:sz="0" w:space="0" w:color="auto"/>
                                                <w:bottom w:val="none" w:sz="0" w:space="0" w:color="auto"/>
                                                <w:right w:val="none" w:sz="0" w:space="0" w:color="auto"/>
                                              </w:divBdr>
                                              <w:divsChild>
                                                <w:div w:id="11652440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138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881754">
                              <w:marLeft w:val="0"/>
                              <w:marRight w:val="0"/>
                              <w:marTop w:val="0"/>
                              <w:marBottom w:val="0"/>
                              <w:divBdr>
                                <w:top w:val="none" w:sz="0" w:space="0" w:color="auto"/>
                                <w:left w:val="none" w:sz="0" w:space="0" w:color="auto"/>
                                <w:bottom w:val="none" w:sz="0" w:space="0" w:color="auto"/>
                                <w:right w:val="none" w:sz="0" w:space="0" w:color="auto"/>
                              </w:divBdr>
                              <w:divsChild>
                                <w:div w:id="681324525">
                                  <w:marLeft w:val="0"/>
                                  <w:marRight w:val="0"/>
                                  <w:marTop w:val="0"/>
                                  <w:marBottom w:val="0"/>
                                  <w:divBdr>
                                    <w:top w:val="none" w:sz="0" w:space="0" w:color="auto"/>
                                    <w:left w:val="none" w:sz="0" w:space="0" w:color="auto"/>
                                    <w:bottom w:val="none" w:sz="0" w:space="0" w:color="auto"/>
                                    <w:right w:val="none" w:sz="0" w:space="0" w:color="auto"/>
                                  </w:divBdr>
                                  <w:divsChild>
                                    <w:div w:id="1547596335">
                                      <w:marLeft w:val="0"/>
                                      <w:marRight w:val="0"/>
                                      <w:marTop w:val="0"/>
                                      <w:marBottom w:val="0"/>
                                      <w:divBdr>
                                        <w:top w:val="none" w:sz="0" w:space="0" w:color="auto"/>
                                        <w:left w:val="none" w:sz="0" w:space="0" w:color="auto"/>
                                        <w:bottom w:val="none" w:sz="0" w:space="0" w:color="auto"/>
                                        <w:right w:val="none" w:sz="0" w:space="0" w:color="auto"/>
                                      </w:divBdr>
                                      <w:divsChild>
                                        <w:div w:id="1196962985">
                                          <w:marLeft w:val="0"/>
                                          <w:marRight w:val="0"/>
                                          <w:marTop w:val="0"/>
                                          <w:marBottom w:val="0"/>
                                          <w:divBdr>
                                            <w:top w:val="none" w:sz="0" w:space="0" w:color="auto"/>
                                            <w:left w:val="none" w:sz="0" w:space="0" w:color="auto"/>
                                            <w:bottom w:val="none" w:sz="0" w:space="0" w:color="auto"/>
                                            <w:right w:val="none" w:sz="0" w:space="0" w:color="auto"/>
                                          </w:divBdr>
                                          <w:divsChild>
                                            <w:div w:id="3169185">
                                              <w:marLeft w:val="0"/>
                                              <w:marRight w:val="0"/>
                                              <w:marTop w:val="0"/>
                                              <w:marBottom w:val="0"/>
                                              <w:divBdr>
                                                <w:top w:val="none" w:sz="0" w:space="0" w:color="auto"/>
                                                <w:left w:val="none" w:sz="0" w:space="0" w:color="auto"/>
                                                <w:bottom w:val="none" w:sz="0" w:space="0" w:color="auto"/>
                                                <w:right w:val="none" w:sz="0" w:space="0" w:color="auto"/>
                                              </w:divBdr>
                                            </w:div>
                                          </w:divsChild>
                                        </w:div>
                                        <w:div w:id="1241405455">
                                          <w:marLeft w:val="0"/>
                                          <w:marRight w:val="0"/>
                                          <w:marTop w:val="0"/>
                                          <w:marBottom w:val="0"/>
                                          <w:divBdr>
                                            <w:top w:val="none" w:sz="0" w:space="0" w:color="auto"/>
                                            <w:left w:val="none" w:sz="0" w:space="0" w:color="auto"/>
                                            <w:bottom w:val="none" w:sz="0" w:space="0" w:color="auto"/>
                                            <w:right w:val="none" w:sz="0" w:space="0" w:color="auto"/>
                                          </w:divBdr>
                                        </w:div>
                                        <w:div w:id="1858695996">
                                          <w:marLeft w:val="0"/>
                                          <w:marRight w:val="0"/>
                                          <w:marTop w:val="0"/>
                                          <w:marBottom w:val="0"/>
                                          <w:divBdr>
                                            <w:top w:val="none" w:sz="0" w:space="0" w:color="auto"/>
                                            <w:left w:val="none" w:sz="0" w:space="0" w:color="auto"/>
                                            <w:bottom w:val="none" w:sz="0" w:space="0" w:color="auto"/>
                                            <w:right w:val="none" w:sz="0" w:space="0" w:color="auto"/>
                                          </w:divBdr>
                                          <w:divsChild>
                                            <w:div w:id="1607346138">
                                              <w:marLeft w:val="0"/>
                                              <w:marRight w:val="0"/>
                                              <w:marTop w:val="0"/>
                                              <w:marBottom w:val="0"/>
                                              <w:divBdr>
                                                <w:top w:val="none" w:sz="0" w:space="0" w:color="auto"/>
                                                <w:left w:val="none" w:sz="0" w:space="0" w:color="auto"/>
                                                <w:bottom w:val="none" w:sz="0" w:space="0" w:color="auto"/>
                                                <w:right w:val="none" w:sz="0" w:space="0" w:color="auto"/>
                                              </w:divBdr>
                                              <w:divsChild>
                                                <w:div w:id="10737014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514332">
                              <w:marLeft w:val="0"/>
                              <w:marRight w:val="0"/>
                              <w:marTop w:val="0"/>
                              <w:marBottom w:val="0"/>
                              <w:divBdr>
                                <w:top w:val="none" w:sz="0" w:space="0" w:color="auto"/>
                                <w:left w:val="none" w:sz="0" w:space="0" w:color="auto"/>
                                <w:bottom w:val="none" w:sz="0" w:space="0" w:color="auto"/>
                                <w:right w:val="none" w:sz="0" w:space="0" w:color="auto"/>
                              </w:divBdr>
                              <w:divsChild>
                                <w:div w:id="1881353071">
                                  <w:marLeft w:val="0"/>
                                  <w:marRight w:val="0"/>
                                  <w:marTop w:val="0"/>
                                  <w:marBottom w:val="0"/>
                                  <w:divBdr>
                                    <w:top w:val="none" w:sz="0" w:space="0" w:color="auto"/>
                                    <w:left w:val="none" w:sz="0" w:space="0" w:color="auto"/>
                                    <w:bottom w:val="none" w:sz="0" w:space="0" w:color="auto"/>
                                    <w:right w:val="none" w:sz="0" w:space="0" w:color="auto"/>
                                  </w:divBdr>
                                  <w:divsChild>
                                    <w:div w:id="1355841391">
                                      <w:marLeft w:val="0"/>
                                      <w:marRight w:val="0"/>
                                      <w:marTop w:val="0"/>
                                      <w:marBottom w:val="0"/>
                                      <w:divBdr>
                                        <w:top w:val="none" w:sz="0" w:space="0" w:color="auto"/>
                                        <w:left w:val="none" w:sz="0" w:space="0" w:color="auto"/>
                                        <w:bottom w:val="none" w:sz="0" w:space="0" w:color="auto"/>
                                        <w:right w:val="none" w:sz="0" w:space="0" w:color="auto"/>
                                      </w:divBdr>
                                      <w:divsChild>
                                        <w:div w:id="985818572">
                                          <w:marLeft w:val="0"/>
                                          <w:marRight w:val="0"/>
                                          <w:marTop w:val="0"/>
                                          <w:marBottom w:val="0"/>
                                          <w:divBdr>
                                            <w:top w:val="none" w:sz="0" w:space="0" w:color="auto"/>
                                            <w:left w:val="none" w:sz="0" w:space="0" w:color="auto"/>
                                            <w:bottom w:val="none" w:sz="0" w:space="0" w:color="auto"/>
                                            <w:right w:val="none" w:sz="0" w:space="0" w:color="auto"/>
                                          </w:divBdr>
                                          <w:divsChild>
                                            <w:div w:id="178155409">
                                              <w:marLeft w:val="0"/>
                                              <w:marRight w:val="0"/>
                                              <w:marTop w:val="0"/>
                                              <w:marBottom w:val="0"/>
                                              <w:divBdr>
                                                <w:top w:val="none" w:sz="0" w:space="0" w:color="auto"/>
                                                <w:left w:val="none" w:sz="0" w:space="0" w:color="auto"/>
                                                <w:bottom w:val="none" w:sz="0" w:space="0" w:color="auto"/>
                                                <w:right w:val="none" w:sz="0" w:space="0" w:color="auto"/>
                                              </w:divBdr>
                                              <w:divsChild>
                                                <w:div w:id="69954957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15198977">
                                          <w:marLeft w:val="0"/>
                                          <w:marRight w:val="0"/>
                                          <w:marTop w:val="0"/>
                                          <w:marBottom w:val="0"/>
                                          <w:divBdr>
                                            <w:top w:val="none" w:sz="0" w:space="0" w:color="auto"/>
                                            <w:left w:val="none" w:sz="0" w:space="0" w:color="auto"/>
                                            <w:bottom w:val="none" w:sz="0" w:space="0" w:color="auto"/>
                                            <w:right w:val="none" w:sz="0" w:space="0" w:color="auto"/>
                                          </w:divBdr>
                                          <w:divsChild>
                                            <w:div w:id="1947611989">
                                              <w:marLeft w:val="0"/>
                                              <w:marRight w:val="0"/>
                                              <w:marTop w:val="0"/>
                                              <w:marBottom w:val="0"/>
                                              <w:divBdr>
                                                <w:top w:val="none" w:sz="0" w:space="0" w:color="auto"/>
                                                <w:left w:val="none" w:sz="0" w:space="0" w:color="auto"/>
                                                <w:bottom w:val="none" w:sz="0" w:space="0" w:color="auto"/>
                                                <w:right w:val="none" w:sz="0" w:space="0" w:color="auto"/>
                                              </w:divBdr>
                                            </w:div>
                                          </w:divsChild>
                                        </w:div>
                                        <w:div w:id="213660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647796">
                              <w:marLeft w:val="0"/>
                              <w:marRight w:val="0"/>
                              <w:marTop w:val="0"/>
                              <w:marBottom w:val="0"/>
                              <w:divBdr>
                                <w:top w:val="none" w:sz="0" w:space="0" w:color="auto"/>
                                <w:left w:val="none" w:sz="0" w:space="0" w:color="auto"/>
                                <w:bottom w:val="none" w:sz="0" w:space="0" w:color="auto"/>
                                <w:right w:val="none" w:sz="0" w:space="0" w:color="auto"/>
                              </w:divBdr>
                              <w:divsChild>
                                <w:div w:id="1575748146">
                                  <w:marLeft w:val="0"/>
                                  <w:marRight w:val="0"/>
                                  <w:marTop w:val="0"/>
                                  <w:marBottom w:val="0"/>
                                  <w:divBdr>
                                    <w:top w:val="none" w:sz="0" w:space="0" w:color="auto"/>
                                    <w:left w:val="none" w:sz="0" w:space="0" w:color="auto"/>
                                    <w:bottom w:val="none" w:sz="0" w:space="0" w:color="auto"/>
                                    <w:right w:val="none" w:sz="0" w:space="0" w:color="auto"/>
                                  </w:divBdr>
                                  <w:divsChild>
                                    <w:div w:id="1997492042">
                                      <w:marLeft w:val="0"/>
                                      <w:marRight w:val="0"/>
                                      <w:marTop w:val="0"/>
                                      <w:marBottom w:val="0"/>
                                      <w:divBdr>
                                        <w:top w:val="none" w:sz="0" w:space="0" w:color="auto"/>
                                        <w:left w:val="none" w:sz="0" w:space="0" w:color="auto"/>
                                        <w:bottom w:val="none" w:sz="0" w:space="0" w:color="auto"/>
                                        <w:right w:val="none" w:sz="0" w:space="0" w:color="auto"/>
                                      </w:divBdr>
                                      <w:divsChild>
                                        <w:div w:id="29301408">
                                          <w:marLeft w:val="0"/>
                                          <w:marRight w:val="0"/>
                                          <w:marTop w:val="0"/>
                                          <w:marBottom w:val="0"/>
                                          <w:divBdr>
                                            <w:top w:val="none" w:sz="0" w:space="0" w:color="auto"/>
                                            <w:left w:val="none" w:sz="0" w:space="0" w:color="auto"/>
                                            <w:bottom w:val="none" w:sz="0" w:space="0" w:color="auto"/>
                                            <w:right w:val="none" w:sz="0" w:space="0" w:color="auto"/>
                                          </w:divBdr>
                                          <w:divsChild>
                                            <w:div w:id="571040925">
                                              <w:marLeft w:val="0"/>
                                              <w:marRight w:val="0"/>
                                              <w:marTop w:val="0"/>
                                              <w:marBottom w:val="0"/>
                                              <w:divBdr>
                                                <w:top w:val="none" w:sz="0" w:space="0" w:color="auto"/>
                                                <w:left w:val="none" w:sz="0" w:space="0" w:color="auto"/>
                                                <w:bottom w:val="none" w:sz="0" w:space="0" w:color="auto"/>
                                                <w:right w:val="none" w:sz="0" w:space="0" w:color="auto"/>
                                              </w:divBdr>
                                            </w:div>
                                          </w:divsChild>
                                        </w:div>
                                        <w:div w:id="1761217027">
                                          <w:marLeft w:val="0"/>
                                          <w:marRight w:val="0"/>
                                          <w:marTop w:val="0"/>
                                          <w:marBottom w:val="0"/>
                                          <w:divBdr>
                                            <w:top w:val="none" w:sz="0" w:space="0" w:color="auto"/>
                                            <w:left w:val="none" w:sz="0" w:space="0" w:color="auto"/>
                                            <w:bottom w:val="none" w:sz="0" w:space="0" w:color="auto"/>
                                            <w:right w:val="none" w:sz="0" w:space="0" w:color="auto"/>
                                          </w:divBdr>
                                          <w:divsChild>
                                            <w:div w:id="1611625216">
                                              <w:marLeft w:val="0"/>
                                              <w:marRight w:val="0"/>
                                              <w:marTop w:val="0"/>
                                              <w:marBottom w:val="0"/>
                                              <w:divBdr>
                                                <w:top w:val="none" w:sz="0" w:space="0" w:color="auto"/>
                                                <w:left w:val="none" w:sz="0" w:space="0" w:color="auto"/>
                                                <w:bottom w:val="none" w:sz="0" w:space="0" w:color="auto"/>
                                                <w:right w:val="none" w:sz="0" w:space="0" w:color="auto"/>
                                              </w:divBdr>
                                              <w:divsChild>
                                                <w:div w:id="563635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841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652796">
                              <w:marLeft w:val="0"/>
                              <w:marRight w:val="0"/>
                              <w:marTop w:val="0"/>
                              <w:marBottom w:val="0"/>
                              <w:divBdr>
                                <w:top w:val="none" w:sz="0" w:space="0" w:color="auto"/>
                                <w:left w:val="none" w:sz="0" w:space="0" w:color="auto"/>
                                <w:bottom w:val="none" w:sz="0" w:space="0" w:color="auto"/>
                                <w:right w:val="none" w:sz="0" w:space="0" w:color="auto"/>
                              </w:divBdr>
                              <w:divsChild>
                                <w:div w:id="1322924508">
                                  <w:marLeft w:val="0"/>
                                  <w:marRight w:val="0"/>
                                  <w:marTop w:val="0"/>
                                  <w:marBottom w:val="0"/>
                                  <w:divBdr>
                                    <w:top w:val="none" w:sz="0" w:space="0" w:color="auto"/>
                                    <w:left w:val="none" w:sz="0" w:space="0" w:color="auto"/>
                                    <w:bottom w:val="none" w:sz="0" w:space="0" w:color="auto"/>
                                    <w:right w:val="none" w:sz="0" w:space="0" w:color="auto"/>
                                  </w:divBdr>
                                  <w:divsChild>
                                    <w:div w:id="430325022">
                                      <w:marLeft w:val="0"/>
                                      <w:marRight w:val="0"/>
                                      <w:marTop w:val="0"/>
                                      <w:marBottom w:val="0"/>
                                      <w:divBdr>
                                        <w:top w:val="none" w:sz="0" w:space="0" w:color="auto"/>
                                        <w:left w:val="none" w:sz="0" w:space="0" w:color="auto"/>
                                        <w:bottom w:val="none" w:sz="0" w:space="0" w:color="auto"/>
                                        <w:right w:val="none" w:sz="0" w:space="0" w:color="auto"/>
                                      </w:divBdr>
                                      <w:divsChild>
                                        <w:div w:id="880826263">
                                          <w:marLeft w:val="0"/>
                                          <w:marRight w:val="0"/>
                                          <w:marTop w:val="0"/>
                                          <w:marBottom w:val="0"/>
                                          <w:divBdr>
                                            <w:top w:val="none" w:sz="0" w:space="0" w:color="auto"/>
                                            <w:left w:val="none" w:sz="0" w:space="0" w:color="auto"/>
                                            <w:bottom w:val="none" w:sz="0" w:space="0" w:color="auto"/>
                                            <w:right w:val="none" w:sz="0" w:space="0" w:color="auto"/>
                                          </w:divBdr>
                                          <w:divsChild>
                                            <w:div w:id="747581354">
                                              <w:marLeft w:val="0"/>
                                              <w:marRight w:val="0"/>
                                              <w:marTop w:val="0"/>
                                              <w:marBottom w:val="0"/>
                                              <w:divBdr>
                                                <w:top w:val="none" w:sz="0" w:space="0" w:color="auto"/>
                                                <w:left w:val="none" w:sz="0" w:space="0" w:color="auto"/>
                                                <w:bottom w:val="none" w:sz="0" w:space="0" w:color="auto"/>
                                                <w:right w:val="none" w:sz="0" w:space="0" w:color="auto"/>
                                              </w:divBdr>
                                              <w:divsChild>
                                                <w:div w:id="11871317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42991587">
                                          <w:marLeft w:val="0"/>
                                          <w:marRight w:val="0"/>
                                          <w:marTop w:val="0"/>
                                          <w:marBottom w:val="0"/>
                                          <w:divBdr>
                                            <w:top w:val="none" w:sz="0" w:space="0" w:color="auto"/>
                                            <w:left w:val="none" w:sz="0" w:space="0" w:color="auto"/>
                                            <w:bottom w:val="none" w:sz="0" w:space="0" w:color="auto"/>
                                            <w:right w:val="none" w:sz="0" w:space="0" w:color="auto"/>
                                          </w:divBdr>
                                        </w:div>
                                        <w:div w:id="2047681521">
                                          <w:marLeft w:val="0"/>
                                          <w:marRight w:val="0"/>
                                          <w:marTop w:val="0"/>
                                          <w:marBottom w:val="0"/>
                                          <w:divBdr>
                                            <w:top w:val="none" w:sz="0" w:space="0" w:color="auto"/>
                                            <w:left w:val="none" w:sz="0" w:space="0" w:color="auto"/>
                                            <w:bottom w:val="none" w:sz="0" w:space="0" w:color="auto"/>
                                            <w:right w:val="none" w:sz="0" w:space="0" w:color="auto"/>
                                          </w:divBdr>
                                          <w:divsChild>
                                            <w:div w:id="175571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082175">
                              <w:marLeft w:val="0"/>
                              <w:marRight w:val="0"/>
                              <w:marTop w:val="0"/>
                              <w:marBottom w:val="0"/>
                              <w:divBdr>
                                <w:top w:val="none" w:sz="0" w:space="0" w:color="auto"/>
                                <w:left w:val="none" w:sz="0" w:space="0" w:color="auto"/>
                                <w:bottom w:val="none" w:sz="0" w:space="0" w:color="auto"/>
                                <w:right w:val="none" w:sz="0" w:space="0" w:color="auto"/>
                              </w:divBdr>
                              <w:divsChild>
                                <w:div w:id="919021786">
                                  <w:marLeft w:val="0"/>
                                  <w:marRight w:val="0"/>
                                  <w:marTop w:val="0"/>
                                  <w:marBottom w:val="0"/>
                                  <w:divBdr>
                                    <w:top w:val="none" w:sz="0" w:space="0" w:color="auto"/>
                                    <w:left w:val="none" w:sz="0" w:space="0" w:color="auto"/>
                                    <w:bottom w:val="none" w:sz="0" w:space="0" w:color="auto"/>
                                    <w:right w:val="none" w:sz="0" w:space="0" w:color="auto"/>
                                  </w:divBdr>
                                  <w:divsChild>
                                    <w:div w:id="1454246163">
                                      <w:marLeft w:val="0"/>
                                      <w:marRight w:val="0"/>
                                      <w:marTop w:val="0"/>
                                      <w:marBottom w:val="0"/>
                                      <w:divBdr>
                                        <w:top w:val="none" w:sz="0" w:space="0" w:color="auto"/>
                                        <w:left w:val="none" w:sz="0" w:space="0" w:color="auto"/>
                                        <w:bottom w:val="none" w:sz="0" w:space="0" w:color="auto"/>
                                        <w:right w:val="none" w:sz="0" w:space="0" w:color="auto"/>
                                      </w:divBdr>
                                      <w:divsChild>
                                        <w:div w:id="544373724">
                                          <w:marLeft w:val="0"/>
                                          <w:marRight w:val="0"/>
                                          <w:marTop w:val="0"/>
                                          <w:marBottom w:val="0"/>
                                          <w:divBdr>
                                            <w:top w:val="none" w:sz="0" w:space="0" w:color="auto"/>
                                            <w:left w:val="none" w:sz="0" w:space="0" w:color="auto"/>
                                            <w:bottom w:val="none" w:sz="0" w:space="0" w:color="auto"/>
                                            <w:right w:val="none" w:sz="0" w:space="0" w:color="auto"/>
                                          </w:divBdr>
                                          <w:divsChild>
                                            <w:div w:id="2018383948">
                                              <w:marLeft w:val="0"/>
                                              <w:marRight w:val="0"/>
                                              <w:marTop w:val="0"/>
                                              <w:marBottom w:val="0"/>
                                              <w:divBdr>
                                                <w:top w:val="none" w:sz="0" w:space="0" w:color="auto"/>
                                                <w:left w:val="none" w:sz="0" w:space="0" w:color="auto"/>
                                                <w:bottom w:val="none" w:sz="0" w:space="0" w:color="auto"/>
                                                <w:right w:val="none" w:sz="0" w:space="0" w:color="auto"/>
                                              </w:divBdr>
                                            </w:div>
                                          </w:divsChild>
                                        </w:div>
                                        <w:div w:id="961614976">
                                          <w:marLeft w:val="0"/>
                                          <w:marRight w:val="0"/>
                                          <w:marTop w:val="0"/>
                                          <w:marBottom w:val="0"/>
                                          <w:divBdr>
                                            <w:top w:val="none" w:sz="0" w:space="0" w:color="auto"/>
                                            <w:left w:val="none" w:sz="0" w:space="0" w:color="auto"/>
                                            <w:bottom w:val="none" w:sz="0" w:space="0" w:color="auto"/>
                                            <w:right w:val="none" w:sz="0" w:space="0" w:color="auto"/>
                                          </w:divBdr>
                                          <w:divsChild>
                                            <w:div w:id="1742680466">
                                              <w:marLeft w:val="0"/>
                                              <w:marRight w:val="0"/>
                                              <w:marTop w:val="0"/>
                                              <w:marBottom w:val="0"/>
                                              <w:divBdr>
                                                <w:top w:val="none" w:sz="0" w:space="0" w:color="auto"/>
                                                <w:left w:val="none" w:sz="0" w:space="0" w:color="auto"/>
                                                <w:bottom w:val="none" w:sz="0" w:space="0" w:color="auto"/>
                                                <w:right w:val="none" w:sz="0" w:space="0" w:color="auto"/>
                                              </w:divBdr>
                                              <w:divsChild>
                                                <w:div w:id="188914600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6151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821830">
                              <w:marLeft w:val="0"/>
                              <w:marRight w:val="0"/>
                              <w:marTop w:val="0"/>
                              <w:marBottom w:val="0"/>
                              <w:divBdr>
                                <w:top w:val="none" w:sz="0" w:space="0" w:color="auto"/>
                                <w:left w:val="none" w:sz="0" w:space="0" w:color="auto"/>
                                <w:bottom w:val="none" w:sz="0" w:space="0" w:color="auto"/>
                                <w:right w:val="none" w:sz="0" w:space="0" w:color="auto"/>
                              </w:divBdr>
                              <w:divsChild>
                                <w:div w:id="1089085988">
                                  <w:marLeft w:val="0"/>
                                  <w:marRight w:val="0"/>
                                  <w:marTop w:val="0"/>
                                  <w:marBottom w:val="0"/>
                                  <w:divBdr>
                                    <w:top w:val="none" w:sz="0" w:space="0" w:color="auto"/>
                                    <w:left w:val="none" w:sz="0" w:space="0" w:color="auto"/>
                                    <w:bottom w:val="none" w:sz="0" w:space="0" w:color="auto"/>
                                    <w:right w:val="none" w:sz="0" w:space="0" w:color="auto"/>
                                  </w:divBdr>
                                  <w:divsChild>
                                    <w:div w:id="1483306094">
                                      <w:marLeft w:val="0"/>
                                      <w:marRight w:val="0"/>
                                      <w:marTop w:val="0"/>
                                      <w:marBottom w:val="0"/>
                                      <w:divBdr>
                                        <w:top w:val="none" w:sz="0" w:space="0" w:color="auto"/>
                                        <w:left w:val="none" w:sz="0" w:space="0" w:color="auto"/>
                                        <w:bottom w:val="none" w:sz="0" w:space="0" w:color="auto"/>
                                        <w:right w:val="none" w:sz="0" w:space="0" w:color="auto"/>
                                      </w:divBdr>
                                      <w:divsChild>
                                        <w:div w:id="243533243">
                                          <w:marLeft w:val="0"/>
                                          <w:marRight w:val="0"/>
                                          <w:marTop w:val="0"/>
                                          <w:marBottom w:val="0"/>
                                          <w:divBdr>
                                            <w:top w:val="none" w:sz="0" w:space="0" w:color="auto"/>
                                            <w:left w:val="none" w:sz="0" w:space="0" w:color="auto"/>
                                            <w:bottom w:val="none" w:sz="0" w:space="0" w:color="auto"/>
                                            <w:right w:val="none" w:sz="0" w:space="0" w:color="auto"/>
                                          </w:divBdr>
                                        </w:div>
                                        <w:div w:id="499808798">
                                          <w:marLeft w:val="0"/>
                                          <w:marRight w:val="0"/>
                                          <w:marTop w:val="0"/>
                                          <w:marBottom w:val="0"/>
                                          <w:divBdr>
                                            <w:top w:val="none" w:sz="0" w:space="0" w:color="auto"/>
                                            <w:left w:val="none" w:sz="0" w:space="0" w:color="auto"/>
                                            <w:bottom w:val="none" w:sz="0" w:space="0" w:color="auto"/>
                                            <w:right w:val="none" w:sz="0" w:space="0" w:color="auto"/>
                                          </w:divBdr>
                                          <w:divsChild>
                                            <w:div w:id="1463186140">
                                              <w:marLeft w:val="0"/>
                                              <w:marRight w:val="0"/>
                                              <w:marTop w:val="0"/>
                                              <w:marBottom w:val="0"/>
                                              <w:divBdr>
                                                <w:top w:val="none" w:sz="0" w:space="0" w:color="auto"/>
                                                <w:left w:val="none" w:sz="0" w:space="0" w:color="auto"/>
                                                <w:bottom w:val="none" w:sz="0" w:space="0" w:color="auto"/>
                                                <w:right w:val="none" w:sz="0" w:space="0" w:color="auto"/>
                                              </w:divBdr>
                                            </w:div>
                                          </w:divsChild>
                                        </w:div>
                                        <w:div w:id="1449082446">
                                          <w:marLeft w:val="0"/>
                                          <w:marRight w:val="0"/>
                                          <w:marTop w:val="0"/>
                                          <w:marBottom w:val="0"/>
                                          <w:divBdr>
                                            <w:top w:val="none" w:sz="0" w:space="0" w:color="auto"/>
                                            <w:left w:val="none" w:sz="0" w:space="0" w:color="auto"/>
                                            <w:bottom w:val="none" w:sz="0" w:space="0" w:color="auto"/>
                                            <w:right w:val="none" w:sz="0" w:space="0" w:color="auto"/>
                                          </w:divBdr>
                                          <w:divsChild>
                                            <w:div w:id="40594562">
                                              <w:marLeft w:val="0"/>
                                              <w:marRight w:val="0"/>
                                              <w:marTop w:val="0"/>
                                              <w:marBottom w:val="0"/>
                                              <w:divBdr>
                                                <w:top w:val="none" w:sz="0" w:space="0" w:color="auto"/>
                                                <w:left w:val="none" w:sz="0" w:space="0" w:color="auto"/>
                                                <w:bottom w:val="none" w:sz="0" w:space="0" w:color="auto"/>
                                                <w:right w:val="none" w:sz="0" w:space="0" w:color="auto"/>
                                              </w:divBdr>
                                              <w:divsChild>
                                                <w:div w:id="12967924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155130">
                              <w:marLeft w:val="0"/>
                              <w:marRight w:val="0"/>
                              <w:marTop w:val="0"/>
                              <w:marBottom w:val="0"/>
                              <w:divBdr>
                                <w:top w:val="none" w:sz="0" w:space="0" w:color="auto"/>
                                <w:left w:val="none" w:sz="0" w:space="0" w:color="auto"/>
                                <w:bottom w:val="none" w:sz="0" w:space="0" w:color="auto"/>
                                <w:right w:val="none" w:sz="0" w:space="0" w:color="auto"/>
                              </w:divBdr>
                              <w:divsChild>
                                <w:div w:id="1586962096">
                                  <w:marLeft w:val="0"/>
                                  <w:marRight w:val="0"/>
                                  <w:marTop w:val="0"/>
                                  <w:marBottom w:val="0"/>
                                  <w:divBdr>
                                    <w:top w:val="none" w:sz="0" w:space="0" w:color="auto"/>
                                    <w:left w:val="none" w:sz="0" w:space="0" w:color="auto"/>
                                    <w:bottom w:val="none" w:sz="0" w:space="0" w:color="auto"/>
                                    <w:right w:val="none" w:sz="0" w:space="0" w:color="auto"/>
                                  </w:divBdr>
                                  <w:divsChild>
                                    <w:div w:id="905645887">
                                      <w:marLeft w:val="0"/>
                                      <w:marRight w:val="0"/>
                                      <w:marTop w:val="0"/>
                                      <w:marBottom w:val="0"/>
                                      <w:divBdr>
                                        <w:top w:val="none" w:sz="0" w:space="0" w:color="auto"/>
                                        <w:left w:val="none" w:sz="0" w:space="0" w:color="auto"/>
                                        <w:bottom w:val="none" w:sz="0" w:space="0" w:color="auto"/>
                                        <w:right w:val="none" w:sz="0" w:space="0" w:color="auto"/>
                                      </w:divBdr>
                                      <w:divsChild>
                                        <w:div w:id="250236176">
                                          <w:marLeft w:val="0"/>
                                          <w:marRight w:val="0"/>
                                          <w:marTop w:val="0"/>
                                          <w:marBottom w:val="0"/>
                                          <w:divBdr>
                                            <w:top w:val="none" w:sz="0" w:space="0" w:color="auto"/>
                                            <w:left w:val="none" w:sz="0" w:space="0" w:color="auto"/>
                                            <w:bottom w:val="none" w:sz="0" w:space="0" w:color="auto"/>
                                            <w:right w:val="none" w:sz="0" w:space="0" w:color="auto"/>
                                          </w:divBdr>
                                          <w:divsChild>
                                            <w:div w:id="1764187089">
                                              <w:marLeft w:val="0"/>
                                              <w:marRight w:val="0"/>
                                              <w:marTop w:val="0"/>
                                              <w:marBottom w:val="0"/>
                                              <w:divBdr>
                                                <w:top w:val="none" w:sz="0" w:space="0" w:color="auto"/>
                                                <w:left w:val="none" w:sz="0" w:space="0" w:color="auto"/>
                                                <w:bottom w:val="none" w:sz="0" w:space="0" w:color="auto"/>
                                                <w:right w:val="none" w:sz="0" w:space="0" w:color="auto"/>
                                              </w:divBdr>
                                              <w:divsChild>
                                                <w:div w:id="102178753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72778871">
                                          <w:marLeft w:val="0"/>
                                          <w:marRight w:val="0"/>
                                          <w:marTop w:val="0"/>
                                          <w:marBottom w:val="0"/>
                                          <w:divBdr>
                                            <w:top w:val="none" w:sz="0" w:space="0" w:color="auto"/>
                                            <w:left w:val="none" w:sz="0" w:space="0" w:color="auto"/>
                                            <w:bottom w:val="none" w:sz="0" w:space="0" w:color="auto"/>
                                            <w:right w:val="none" w:sz="0" w:space="0" w:color="auto"/>
                                          </w:divBdr>
                                          <w:divsChild>
                                            <w:div w:id="214002971">
                                              <w:marLeft w:val="0"/>
                                              <w:marRight w:val="0"/>
                                              <w:marTop w:val="0"/>
                                              <w:marBottom w:val="0"/>
                                              <w:divBdr>
                                                <w:top w:val="none" w:sz="0" w:space="0" w:color="auto"/>
                                                <w:left w:val="none" w:sz="0" w:space="0" w:color="auto"/>
                                                <w:bottom w:val="none" w:sz="0" w:space="0" w:color="auto"/>
                                                <w:right w:val="none" w:sz="0" w:space="0" w:color="auto"/>
                                              </w:divBdr>
                                            </w:div>
                                          </w:divsChild>
                                        </w:div>
                                        <w:div w:id="15515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643996">
                              <w:marLeft w:val="0"/>
                              <w:marRight w:val="0"/>
                              <w:marTop w:val="0"/>
                              <w:marBottom w:val="0"/>
                              <w:divBdr>
                                <w:top w:val="none" w:sz="0" w:space="0" w:color="auto"/>
                                <w:left w:val="none" w:sz="0" w:space="0" w:color="auto"/>
                                <w:bottom w:val="none" w:sz="0" w:space="0" w:color="auto"/>
                                <w:right w:val="none" w:sz="0" w:space="0" w:color="auto"/>
                              </w:divBdr>
                              <w:divsChild>
                                <w:div w:id="2093820193">
                                  <w:marLeft w:val="0"/>
                                  <w:marRight w:val="0"/>
                                  <w:marTop w:val="0"/>
                                  <w:marBottom w:val="0"/>
                                  <w:divBdr>
                                    <w:top w:val="none" w:sz="0" w:space="0" w:color="auto"/>
                                    <w:left w:val="none" w:sz="0" w:space="0" w:color="auto"/>
                                    <w:bottom w:val="none" w:sz="0" w:space="0" w:color="auto"/>
                                    <w:right w:val="none" w:sz="0" w:space="0" w:color="auto"/>
                                  </w:divBdr>
                                  <w:divsChild>
                                    <w:div w:id="1266504249">
                                      <w:marLeft w:val="0"/>
                                      <w:marRight w:val="0"/>
                                      <w:marTop w:val="0"/>
                                      <w:marBottom w:val="0"/>
                                      <w:divBdr>
                                        <w:top w:val="none" w:sz="0" w:space="0" w:color="auto"/>
                                        <w:left w:val="none" w:sz="0" w:space="0" w:color="auto"/>
                                        <w:bottom w:val="none" w:sz="0" w:space="0" w:color="auto"/>
                                        <w:right w:val="none" w:sz="0" w:space="0" w:color="auto"/>
                                      </w:divBdr>
                                      <w:divsChild>
                                        <w:div w:id="245846407">
                                          <w:marLeft w:val="0"/>
                                          <w:marRight w:val="0"/>
                                          <w:marTop w:val="0"/>
                                          <w:marBottom w:val="0"/>
                                          <w:divBdr>
                                            <w:top w:val="none" w:sz="0" w:space="0" w:color="auto"/>
                                            <w:left w:val="none" w:sz="0" w:space="0" w:color="auto"/>
                                            <w:bottom w:val="none" w:sz="0" w:space="0" w:color="auto"/>
                                            <w:right w:val="none" w:sz="0" w:space="0" w:color="auto"/>
                                          </w:divBdr>
                                        </w:div>
                                        <w:div w:id="1005060759">
                                          <w:marLeft w:val="0"/>
                                          <w:marRight w:val="0"/>
                                          <w:marTop w:val="0"/>
                                          <w:marBottom w:val="0"/>
                                          <w:divBdr>
                                            <w:top w:val="none" w:sz="0" w:space="0" w:color="auto"/>
                                            <w:left w:val="none" w:sz="0" w:space="0" w:color="auto"/>
                                            <w:bottom w:val="none" w:sz="0" w:space="0" w:color="auto"/>
                                            <w:right w:val="none" w:sz="0" w:space="0" w:color="auto"/>
                                          </w:divBdr>
                                          <w:divsChild>
                                            <w:div w:id="46684318">
                                              <w:marLeft w:val="0"/>
                                              <w:marRight w:val="0"/>
                                              <w:marTop w:val="0"/>
                                              <w:marBottom w:val="0"/>
                                              <w:divBdr>
                                                <w:top w:val="none" w:sz="0" w:space="0" w:color="auto"/>
                                                <w:left w:val="none" w:sz="0" w:space="0" w:color="auto"/>
                                                <w:bottom w:val="none" w:sz="0" w:space="0" w:color="auto"/>
                                                <w:right w:val="none" w:sz="0" w:space="0" w:color="auto"/>
                                              </w:divBdr>
                                              <w:divsChild>
                                                <w:div w:id="16694969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97997091">
                                          <w:marLeft w:val="0"/>
                                          <w:marRight w:val="0"/>
                                          <w:marTop w:val="0"/>
                                          <w:marBottom w:val="0"/>
                                          <w:divBdr>
                                            <w:top w:val="none" w:sz="0" w:space="0" w:color="auto"/>
                                            <w:left w:val="none" w:sz="0" w:space="0" w:color="auto"/>
                                            <w:bottom w:val="none" w:sz="0" w:space="0" w:color="auto"/>
                                            <w:right w:val="none" w:sz="0" w:space="0" w:color="auto"/>
                                          </w:divBdr>
                                          <w:divsChild>
                                            <w:div w:id="169438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282629">
                              <w:marLeft w:val="0"/>
                              <w:marRight w:val="0"/>
                              <w:marTop w:val="0"/>
                              <w:marBottom w:val="0"/>
                              <w:divBdr>
                                <w:top w:val="none" w:sz="0" w:space="0" w:color="auto"/>
                                <w:left w:val="none" w:sz="0" w:space="0" w:color="auto"/>
                                <w:bottom w:val="none" w:sz="0" w:space="0" w:color="auto"/>
                                <w:right w:val="none" w:sz="0" w:space="0" w:color="auto"/>
                              </w:divBdr>
                              <w:divsChild>
                                <w:div w:id="1746535150">
                                  <w:marLeft w:val="0"/>
                                  <w:marRight w:val="0"/>
                                  <w:marTop w:val="0"/>
                                  <w:marBottom w:val="0"/>
                                  <w:divBdr>
                                    <w:top w:val="none" w:sz="0" w:space="0" w:color="auto"/>
                                    <w:left w:val="none" w:sz="0" w:space="0" w:color="auto"/>
                                    <w:bottom w:val="none" w:sz="0" w:space="0" w:color="auto"/>
                                    <w:right w:val="none" w:sz="0" w:space="0" w:color="auto"/>
                                  </w:divBdr>
                                  <w:divsChild>
                                    <w:div w:id="303049320">
                                      <w:marLeft w:val="0"/>
                                      <w:marRight w:val="0"/>
                                      <w:marTop w:val="0"/>
                                      <w:marBottom w:val="0"/>
                                      <w:divBdr>
                                        <w:top w:val="none" w:sz="0" w:space="0" w:color="auto"/>
                                        <w:left w:val="none" w:sz="0" w:space="0" w:color="auto"/>
                                        <w:bottom w:val="none" w:sz="0" w:space="0" w:color="auto"/>
                                        <w:right w:val="none" w:sz="0" w:space="0" w:color="auto"/>
                                      </w:divBdr>
                                      <w:divsChild>
                                        <w:div w:id="275841625">
                                          <w:marLeft w:val="0"/>
                                          <w:marRight w:val="0"/>
                                          <w:marTop w:val="0"/>
                                          <w:marBottom w:val="0"/>
                                          <w:divBdr>
                                            <w:top w:val="none" w:sz="0" w:space="0" w:color="auto"/>
                                            <w:left w:val="none" w:sz="0" w:space="0" w:color="auto"/>
                                            <w:bottom w:val="none" w:sz="0" w:space="0" w:color="auto"/>
                                            <w:right w:val="none" w:sz="0" w:space="0" w:color="auto"/>
                                          </w:divBdr>
                                        </w:div>
                                        <w:div w:id="486359922">
                                          <w:marLeft w:val="0"/>
                                          <w:marRight w:val="0"/>
                                          <w:marTop w:val="0"/>
                                          <w:marBottom w:val="0"/>
                                          <w:divBdr>
                                            <w:top w:val="none" w:sz="0" w:space="0" w:color="auto"/>
                                            <w:left w:val="none" w:sz="0" w:space="0" w:color="auto"/>
                                            <w:bottom w:val="none" w:sz="0" w:space="0" w:color="auto"/>
                                            <w:right w:val="none" w:sz="0" w:space="0" w:color="auto"/>
                                          </w:divBdr>
                                          <w:divsChild>
                                            <w:div w:id="1529755049">
                                              <w:marLeft w:val="0"/>
                                              <w:marRight w:val="0"/>
                                              <w:marTop w:val="0"/>
                                              <w:marBottom w:val="0"/>
                                              <w:divBdr>
                                                <w:top w:val="none" w:sz="0" w:space="0" w:color="auto"/>
                                                <w:left w:val="none" w:sz="0" w:space="0" w:color="auto"/>
                                                <w:bottom w:val="none" w:sz="0" w:space="0" w:color="auto"/>
                                                <w:right w:val="none" w:sz="0" w:space="0" w:color="auto"/>
                                              </w:divBdr>
                                            </w:div>
                                          </w:divsChild>
                                        </w:div>
                                        <w:div w:id="767848835">
                                          <w:marLeft w:val="0"/>
                                          <w:marRight w:val="0"/>
                                          <w:marTop w:val="0"/>
                                          <w:marBottom w:val="0"/>
                                          <w:divBdr>
                                            <w:top w:val="none" w:sz="0" w:space="0" w:color="auto"/>
                                            <w:left w:val="none" w:sz="0" w:space="0" w:color="auto"/>
                                            <w:bottom w:val="none" w:sz="0" w:space="0" w:color="auto"/>
                                            <w:right w:val="none" w:sz="0" w:space="0" w:color="auto"/>
                                          </w:divBdr>
                                          <w:divsChild>
                                            <w:div w:id="287665401">
                                              <w:marLeft w:val="0"/>
                                              <w:marRight w:val="0"/>
                                              <w:marTop w:val="0"/>
                                              <w:marBottom w:val="0"/>
                                              <w:divBdr>
                                                <w:top w:val="none" w:sz="0" w:space="0" w:color="auto"/>
                                                <w:left w:val="none" w:sz="0" w:space="0" w:color="auto"/>
                                                <w:bottom w:val="none" w:sz="0" w:space="0" w:color="auto"/>
                                                <w:right w:val="none" w:sz="0" w:space="0" w:color="auto"/>
                                              </w:divBdr>
                                              <w:divsChild>
                                                <w:div w:id="16615455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700636">
                              <w:marLeft w:val="0"/>
                              <w:marRight w:val="0"/>
                              <w:marTop w:val="0"/>
                              <w:marBottom w:val="0"/>
                              <w:divBdr>
                                <w:top w:val="none" w:sz="0" w:space="0" w:color="auto"/>
                                <w:left w:val="none" w:sz="0" w:space="0" w:color="auto"/>
                                <w:bottom w:val="none" w:sz="0" w:space="0" w:color="auto"/>
                                <w:right w:val="none" w:sz="0" w:space="0" w:color="auto"/>
                              </w:divBdr>
                              <w:divsChild>
                                <w:div w:id="519129529">
                                  <w:marLeft w:val="0"/>
                                  <w:marRight w:val="0"/>
                                  <w:marTop w:val="0"/>
                                  <w:marBottom w:val="0"/>
                                  <w:divBdr>
                                    <w:top w:val="none" w:sz="0" w:space="0" w:color="auto"/>
                                    <w:left w:val="none" w:sz="0" w:space="0" w:color="auto"/>
                                    <w:bottom w:val="none" w:sz="0" w:space="0" w:color="auto"/>
                                    <w:right w:val="none" w:sz="0" w:space="0" w:color="auto"/>
                                  </w:divBdr>
                                  <w:divsChild>
                                    <w:div w:id="588933021">
                                      <w:marLeft w:val="0"/>
                                      <w:marRight w:val="0"/>
                                      <w:marTop w:val="0"/>
                                      <w:marBottom w:val="0"/>
                                      <w:divBdr>
                                        <w:top w:val="none" w:sz="0" w:space="0" w:color="auto"/>
                                        <w:left w:val="none" w:sz="0" w:space="0" w:color="auto"/>
                                        <w:bottom w:val="none" w:sz="0" w:space="0" w:color="auto"/>
                                        <w:right w:val="none" w:sz="0" w:space="0" w:color="auto"/>
                                      </w:divBdr>
                                      <w:divsChild>
                                        <w:div w:id="1277179837">
                                          <w:marLeft w:val="0"/>
                                          <w:marRight w:val="0"/>
                                          <w:marTop w:val="0"/>
                                          <w:marBottom w:val="0"/>
                                          <w:divBdr>
                                            <w:top w:val="none" w:sz="0" w:space="0" w:color="auto"/>
                                            <w:left w:val="none" w:sz="0" w:space="0" w:color="auto"/>
                                            <w:bottom w:val="none" w:sz="0" w:space="0" w:color="auto"/>
                                            <w:right w:val="none" w:sz="0" w:space="0" w:color="auto"/>
                                          </w:divBdr>
                                          <w:divsChild>
                                            <w:div w:id="65303495">
                                              <w:marLeft w:val="0"/>
                                              <w:marRight w:val="0"/>
                                              <w:marTop w:val="0"/>
                                              <w:marBottom w:val="0"/>
                                              <w:divBdr>
                                                <w:top w:val="none" w:sz="0" w:space="0" w:color="auto"/>
                                                <w:left w:val="none" w:sz="0" w:space="0" w:color="auto"/>
                                                <w:bottom w:val="none" w:sz="0" w:space="0" w:color="auto"/>
                                                <w:right w:val="none" w:sz="0" w:space="0" w:color="auto"/>
                                              </w:divBdr>
                                            </w:div>
                                          </w:divsChild>
                                        </w:div>
                                        <w:div w:id="1549996253">
                                          <w:marLeft w:val="0"/>
                                          <w:marRight w:val="0"/>
                                          <w:marTop w:val="0"/>
                                          <w:marBottom w:val="0"/>
                                          <w:divBdr>
                                            <w:top w:val="none" w:sz="0" w:space="0" w:color="auto"/>
                                            <w:left w:val="none" w:sz="0" w:space="0" w:color="auto"/>
                                            <w:bottom w:val="none" w:sz="0" w:space="0" w:color="auto"/>
                                            <w:right w:val="none" w:sz="0" w:space="0" w:color="auto"/>
                                          </w:divBdr>
                                          <w:divsChild>
                                            <w:div w:id="710347802">
                                              <w:marLeft w:val="0"/>
                                              <w:marRight w:val="0"/>
                                              <w:marTop w:val="0"/>
                                              <w:marBottom w:val="0"/>
                                              <w:divBdr>
                                                <w:top w:val="none" w:sz="0" w:space="0" w:color="auto"/>
                                                <w:left w:val="none" w:sz="0" w:space="0" w:color="auto"/>
                                                <w:bottom w:val="none" w:sz="0" w:space="0" w:color="auto"/>
                                                <w:right w:val="none" w:sz="0" w:space="0" w:color="auto"/>
                                              </w:divBdr>
                                              <w:divsChild>
                                                <w:div w:id="205114836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315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602087">
                              <w:marLeft w:val="0"/>
                              <w:marRight w:val="0"/>
                              <w:marTop w:val="0"/>
                              <w:marBottom w:val="0"/>
                              <w:divBdr>
                                <w:top w:val="none" w:sz="0" w:space="0" w:color="auto"/>
                                <w:left w:val="none" w:sz="0" w:space="0" w:color="auto"/>
                                <w:bottom w:val="none" w:sz="0" w:space="0" w:color="auto"/>
                                <w:right w:val="none" w:sz="0" w:space="0" w:color="auto"/>
                              </w:divBdr>
                              <w:divsChild>
                                <w:div w:id="1085541249">
                                  <w:marLeft w:val="0"/>
                                  <w:marRight w:val="0"/>
                                  <w:marTop w:val="0"/>
                                  <w:marBottom w:val="0"/>
                                  <w:divBdr>
                                    <w:top w:val="none" w:sz="0" w:space="0" w:color="auto"/>
                                    <w:left w:val="none" w:sz="0" w:space="0" w:color="auto"/>
                                    <w:bottom w:val="none" w:sz="0" w:space="0" w:color="auto"/>
                                    <w:right w:val="none" w:sz="0" w:space="0" w:color="auto"/>
                                  </w:divBdr>
                                  <w:divsChild>
                                    <w:div w:id="970358070">
                                      <w:marLeft w:val="0"/>
                                      <w:marRight w:val="0"/>
                                      <w:marTop w:val="0"/>
                                      <w:marBottom w:val="0"/>
                                      <w:divBdr>
                                        <w:top w:val="none" w:sz="0" w:space="0" w:color="auto"/>
                                        <w:left w:val="none" w:sz="0" w:space="0" w:color="auto"/>
                                        <w:bottom w:val="none" w:sz="0" w:space="0" w:color="auto"/>
                                        <w:right w:val="none" w:sz="0" w:space="0" w:color="auto"/>
                                      </w:divBdr>
                                      <w:divsChild>
                                        <w:div w:id="24260328">
                                          <w:marLeft w:val="0"/>
                                          <w:marRight w:val="0"/>
                                          <w:marTop w:val="0"/>
                                          <w:marBottom w:val="0"/>
                                          <w:divBdr>
                                            <w:top w:val="none" w:sz="0" w:space="0" w:color="auto"/>
                                            <w:left w:val="none" w:sz="0" w:space="0" w:color="auto"/>
                                            <w:bottom w:val="none" w:sz="0" w:space="0" w:color="auto"/>
                                            <w:right w:val="none" w:sz="0" w:space="0" w:color="auto"/>
                                          </w:divBdr>
                                          <w:divsChild>
                                            <w:div w:id="1880973722">
                                              <w:marLeft w:val="0"/>
                                              <w:marRight w:val="0"/>
                                              <w:marTop w:val="0"/>
                                              <w:marBottom w:val="0"/>
                                              <w:divBdr>
                                                <w:top w:val="none" w:sz="0" w:space="0" w:color="auto"/>
                                                <w:left w:val="none" w:sz="0" w:space="0" w:color="auto"/>
                                                <w:bottom w:val="none" w:sz="0" w:space="0" w:color="auto"/>
                                                <w:right w:val="none" w:sz="0" w:space="0" w:color="auto"/>
                                              </w:divBdr>
                                              <w:divsChild>
                                                <w:div w:id="19822694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24226103">
                                          <w:marLeft w:val="0"/>
                                          <w:marRight w:val="0"/>
                                          <w:marTop w:val="0"/>
                                          <w:marBottom w:val="0"/>
                                          <w:divBdr>
                                            <w:top w:val="none" w:sz="0" w:space="0" w:color="auto"/>
                                            <w:left w:val="none" w:sz="0" w:space="0" w:color="auto"/>
                                            <w:bottom w:val="none" w:sz="0" w:space="0" w:color="auto"/>
                                            <w:right w:val="none" w:sz="0" w:space="0" w:color="auto"/>
                                          </w:divBdr>
                                        </w:div>
                                        <w:div w:id="1507206204">
                                          <w:marLeft w:val="0"/>
                                          <w:marRight w:val="0"/>
                                          <w:marTop w:val="0"/>
                                          <w:marBottom w:val="0"/>
                                          <w:divBdr>
                                            <w:top w:val="none" w:sz="0" w:space="0" w:color="auto"/>
                                            <w:left w:val="none" w:sz="0" w:space="0" w:color="auto"/>
                                            <w:bottom w:val="none" w:sz="0" w:space="0" w:color="auto"/>
                                            <w:right w:val="none" w:sz="0" w:space="0" w:color="auto"/>
                                          </w:divBdr>
                                          <w:divsChild>
                                            <w:div w:id="1442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834837">
                              <w:marLeft w:val="0"/>
                              <w:marRight w:val="0"/>
                              <w:marTop w:val="0"/>
                              <w:marBottom w:val="0"/>
                              <w:divBdr>
                                <w:top w:val="none" w:sz="0" w:space="0" w:color="auto"/>
                                <w:left w:val="none" w:sz="0" w:space="0" w:color="auto"/>
                                <w:bottom w:val="none" w:sz="0" w:space="0" w:color="auto"/>
                                <w:right w:val="none" w:sz="0" w:space="0" w:color="auto"/>
                              </w:divBdr>
                              <w:divsChild>
                                <w:div w:id="269316397">
                                  <w:marLeft w:val="0"/>
                                  <w:marRight w:val="0"/>
                                  <w:marTop w:val="0"/>
                                  <w:marBottom w:val="0"/>
                                  <w:divBdr>
                                    <w:top w:val="none" w:sz="0" w:space="0" w:color="auto"/>
                                    <w:left w:val="none" w:sz="0" w:space="0" w:color="auto"/>
                                    <w:bottom w:val="none" w:sz="0" w:space="0" w:color="auto"/>
                                    <w:right w:val="none" w:sz="0" w:space="0" w:color="auto"/>
                                  </w:divBdr>
                                  <w:divsChild>
                                    <w:div w:id="1963611412">
                                      <w:marLeft w:val="0"/>
                                      <w:marRight w:val="0"/>
                                      <w:marTop w:val="0"/>
                                      <w:marBottom w:val="0"/>
                                      <w:divBdr>
                                        <w:top w:val="none" w:sz="0" w:space="0" w:color="auto"/>
                                        <w:left w:val="none" w:sz="0" w:space="0" w:color="auto"/>
                                        <w:bottom w:val="none" w:sz="0" w:space="0" w:color="auto"/>
                                        <w:right w:val="none" w:sz="0" w:space="0" w:color="auto"/>
                                      </w:divBdr>
                                      <w:divsChild>
                                        <w:div w:id="14309740">
                                          <w:marLeft w:val="0"/>
                                          <w:marRight w:val="0"/>
                                          <w:marTop w:val="0"/>
                                          <w:marBottom w:val="0"/>
                                          <w:divBdr>
                                            <w:top w:val="none" w:sz="0" w:space="0" w:color="auto"/>
                                            <w:left w:val="none" w:sz="0" w:space="0" w:color="auto"/>
                                            <w:bottom w:val="none" w:sz="0" w:space="0" w:color="auto"/>
                                            <w:right w:val="none" w:sz="0" w:space="0" w:color="auto"/>
                                          </w:divBdr>
                                          <w:divsChild>
                                            <w:div w:id="398408488">
                                              <w:marLeft w:val="0"/>
                                              <w:marRight w:val="0"/>
                                              <w:marTop w:val="0"/>
                                              <w:marBottom w:val="0"/>
                                              <w:divBdr>
                                                <w:top w:val="none" w:sz="0" w:space="0" w:color="auto"/>
                                                <w:left w:val="none" w:sz="0" w:space="0" w:color="auto"/>
                                                <w:bottom w:val="none" w:sz="0" w:space="0" w:color="auto"/>
                                                <w:right w:val="none" w:sz="0" w:space="0" w:color="auto"/>
                                              </w:divBdr>
                                            </w:div>
                                          </w:divsChild>
                                        </w:div>
                                        <w:div w:id="441146024">
                                          <w:marLeft w:val="0"/>
                                          <w:marRight w:val="0"/>
                                          <w:marTop w:val="0"/>
                                          <w:marBottom w:val="0"/>
                                          <w:divBdr>
                                            <w:top w:val="none" w:sz="0" w:space="0" w:color="auto"/>
                                            <w:left w:val="none" w:sz="0" w:space="0" w:color="auto"/>
                                            <w:bottom w:val="none" w:sz="0" w:space="0" w:color="auto"/>
                                            <w:right w:val="none" w:sz="0" w:space="0" w:color="auto"/>
                                          </w:divBdr>
                                        </w:div>
                                        <w:div w:id="487210786">
                                          <w:marLeft w:val="0"/>
                                          <w:marRight w:val="0"/>
                                          <w:marTop w:val="0"/>
                                          <w:marBottom w:val="0"/>
                                          <w:divBdr>
                                            <w:top w:val="none" w:sz="0" w:space="0" w:color="auto"/>
                                            <w:left w:val="none" w:sz="0" w:space="0" w:color="auto"/>
                                            <w:bottom w:val="none" w:sz="0" w:space="0" w:color="auto"/>
                                            <w:right w:val="none" w:sz="0" w:space="0" w:color="auto"/>
                                          </w:divBdr>
                                          <w:divsChild>
                                            <w:div w:id="1560706781">
                                              <w:marLeft w:val="0"/>
                                              <w:marRight w:val="0"/>
                                              <w:marTop w:val="0"/>
                                              <w:marBottom w:val="0"/>
                                              <w:divBdr>
                                                <w:top w:val="none" w:sz="0" w:space="0" w:color="auto"/>
                                                <w:left w:val="none" w:sz="0" w:space="0" w:color="auto"/>
                                                <w:bottom w:val="none" w:sz="0" w:space="0" w:color="auto"/>
                                                <w:right w:val="none" w:sz="0" w:space="0" w:color="auto"/>
                                              </w:divBdr>
                                              <w:divsChild>
                                                <w:div w:id="47988624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424217">
                              <w:marLeft w:val="0"/>
                              <w:marRight w:val="0"/>
                              <w:marTop w:val="0"/>
                              <w:marBottom w:val="0"/>
                              <w:divBdr>
                                <w:top w:val="none" w:sz="0" w:space="0" w:color="auto"/>
                                <w:left w:val="none" w:sz="0" w:space="0" w:color="auto"/>
                                <w:bottom w:val="none" w:sz="0" w:space="0" w:color="auto"/>
                                <w:right w:val="none" w:sz="0" w:space="0" w:color="auto"/>
                              </w:divBdr>
                              <w:divsChild>
                                <w:div w:id="424306671">
                                  <w:marLeft w:val="0"/>
                                  <w:marRight w:val="0"/>
                                  <w:marTop w:val="0"/>
                                  <w:marBottom w:val="0"/>
                                  <w:divBdr>
                                    <w:top w:val="none" w:sz="0" w:space="0" w:color="auto"/>
                                    <w:left w:val="none" w:sz="0" w:space="0" w:color="auto"/>
                                    <w:bottom w:val="none" w:sz="0" w:space="0" w:color="auto"/>
                                    <w:right w:val="none" w:sz="0" w:space="0" w:color="auto"/>
                                  </w:divBdr>
                                  <w:divsChild>
                                    <w:div w:id="629674012">
                                      <w:marLeft w:val="0"/>
                                      <w:marRight w:val="0"/>
                                      <w:marTop w:val="0"/>
                                      <w:marBottom w:val="0"/>
                                      <w:divBdr>
                                        <w:top w:val="none" w:sz="0" w:space="0" w:color="auto"/>
                                        <w:left w:val="none" w:sz="0" w:space="0" w:color="auto"/>
                                        <w:bottom w:val="none" w:sz="0" w:space="0" w:color="auto"/>
                                        <w:right w:val="none" w:sz="0" w:space="0" w:color="auto"/>
                                      </w:divBdr>
                                      <w:divsChild>
                                        <w:div w:id="266894471">
                                          <w:marLeft w:val="0"/>
                                          <w:marRight w:val="0"/>
                                          <w:marTop w:val="0"/>
                                          <w:marBottom w:val="0"/>
                                          <w:divBdr>
                                            <w:top w:val="none" w:sz="0" w:space="0" w:color="auto"/>
                                            <w:left w:val="none" w:sz="0" w:space="0" w:color="auto"/>
                                            <w:bottom w:val="none" w:sz="0" w:space="0" w:color="auto"/>
                                            <w:right w:val="none" w:sz="0" w:space="0" w:color="auto"/>
                                          </w:divBdr>
                                          <w:divsChild>
                                            <w:div w:id="2082677186">
                                              <w:marLeft w:val="0"/>
                                              <w:marRight w:val="0"/>
                                              <w:marTop w:val="0"/>
                                              <w:marBottom w:val="0"/>
                                              <w:divBdr>
                                                <w:top w:val="none" w:sz="0" w:space="0" w:color="auto"/>
                                                <w:left w:val="none" w:sz="0" w:space="0" w:color="auto"/>
                                                <w:bottom w:val="none" w:sz="0" w:space="0" w:color="auto"/>
                                                <w:right w:val="none" w:sz="0" w:space="0" w:color="auto"/>
                                              </w:divBdr>
                                            </w:div>
                                          </w:divsChild>
                                        </w:div>
                                        <w:div w:id="1100176323">
                                          <w:marLeft w:val="0"/>
                                          <w:marRight w:val="0"/>
                                          <w:marTop w:val="0"/>
                                          <w:marBottom w:val="0"/>
                                          <w:divBdr>
                                            <w:top w:val="none" w:sz="0" w:space="0" w:color="auto"/>
                                            <w:left w:val="none" w:sz="0" w:space="0" w:color="auto"/>
                                            <w:bottom w:val="none" w:sz="0" w:space="0" w:color="auto"/>
                                            <w:right w:val="none" w:sz="0" w:space="0" w:color="auto"/>
                                          </w:divBdr>
                                          <w:divsChild>
                                            <w:div w:id="517891638">
                                              <w:marLeft w:val="0"/>
                                              <w:marRight w:val="0"/>
                                              <w:marTop w:val="0"/>
                                              <w:marBottom w:val="0"/>
                                              <w:divBdr>
                                                <w:top w:val="none" w:sz="0" w:space="0" w:color="auto"/>
                                                <w:left w:val="none" w:sz="0" w:space="0" w:color="auto"/>
                                                <w:bottom w:val="none" w:sz="0" w:space="0" w:color="auto"/>
                                                <w:right w:val="none" w:sz="0" w:space="0" w:color="auto"/>
                                              </w:divBdr>
                                              <w:divsChild>
                                                <w:div w:id="13257462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854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854081">
                              <w:marLeft w:val="0"/>
                              <w:marRight w:val="0"/>
                              <w:marTop w:val="0"/>
                              <w:marBottom w:val="0"/>
                              <w:divBdr>
                                <w:top w:val="none" w:sz="0" w:space="0" w:color="auto"/>
                                <w:left w:val="none" w:sz="0" w:space="0" w:color="auto"/>
                                <w:bottom w:val="none" w:sz="0" w:space="0" w:color="auto"/>
                                <w:right w:val="none" w:sz="0" w:space="0" w:color="auto"/>
                              </w:divBdr>
                              <w:divsChild>
                                <w:div w:id="132217457">
                                  <w:marLeft w:val="0"/>
                                  <w:marRight w:val="0"/>
                                  <w:marTop w:val="0"/>
                                  <w:marBottom w:val="0"/>
                                  <w:divBdr>
                                    <w:top w:val="none" w:sz="0" w:space="0" w:color="auto"/>
                                    <w:left w:val="none" w:sz="0" w:space="0" w:color="auto"/>
                                    <w:bottom w:val="none" w:sz="0" w:space="0" w:color="auto"/>
                                    <w:right w:val="none" w:sz="0" w:space="0" w:color="auto"/>
                                  </w:divBdr>
                                  <w:divsChild>
                                    <w:div w:id="712465625">
                                      <w:marLeft w:val="0"/>
                                      <w:marRight w:val="0"/>
                                      <w:marTop w:val="0"/>
                                      <w:marBottom w:val="0"/>
                                      <w:divBdr>
                                        <w:top w:val="none" w:sz="0" w:space="0" w:color="auto"/>
                                        <w:left w:val="none" w:sz="0" w:space="0" w:color="auto"/>
                                        <w:bottom w:val="none" w:sz="0" w:space="0" w:color="auto"/>
                                        <w:right w:val="none" w:sz="0" w:space="0" w:color="auto"/>
                                      </w:divBdr>
                                      <w:divsChild>
                                        <w:div w:id="80681839">
                                          <w:marLeft w:val="0"/>
                                          <w:marRight w:val="0"/>
                                          <w:marTop w:val="0"/>
                                          <w:marBottom w:val="0"/>
                                          <w:divBdr>
                                            <w:top w:val="none" w:sz="0" w:space="0" w:color="auto"/>
                                            <w:left w:val="none" w:sz="0" w:space="0" w:color="auto"/>
                                            <w:bottom w:val="none" w:sz="0" w:space="0" w:color="auto"/>
                                            <w:right w:val="none" w:sz="0" w:space="0" w:color="auto"/>
                                          </w:divBdr>
                                          <w:divsChild>
                                            <w:div w:id="487214906">
                                              <w:marLeft w:val="0"/>
                                              <w:marRight w:val="0"/>
                                              <w:marTop w:val="0"/>
                                              <w:marBottom w:val="0"/>
                                              <w:divBdr>
                                                <w:top w:val="none" w:sz="0" w:space="0" w:color="auto"/>
                                                <w:left w:val="none" w:sz="0" w:space="0" w:color="auto"/>
                                                <w:bottom w:val="none" w:sz="0" w:space="0" w:color="auto"/>
                                                <w:right w:val="none" w:sz="0" w:space="0" w:color="auto"/>
                                              </w:divBdr>
                                            </w:div>
                                          </w:divsChild>
                                        </w:div>
                                        <w:div w:id="1493794402">
                                          <w:marLeft w:val="0"/>
                                          <w:marRight w:val="0"/>
                                          <w:marTop w:val="0"/>
                                          <w:marBottom w:val="0"/>
                                          <w:divBdr>
                                            <w:top w:val="none" w:sz="0" w:space="0" w:color="auto"/>
                                            <w:left w:val="none" w:sz="0" w:space="0" w:color="auto"/>
                                            <w:bottom w:val="none" w:sz="0" w:space="0" w:color="auto"/>
                                            <w:right w:val="none" w:sz="0" w:space="0" w:color="auto"/>
                                          </w:divBdr>
                                          <w:divsChild>
                                            <w:div w:id="1156845721">
                                              <w:marLeft w:val="0"/>
                                              <w:marRight w:val="0"/>
                                              <w:marTop w:val="0"/>
                                              <w:marBottom w:val="0"/>
                                              <w:divBdr>
                                                <w:top w:val="none" w:sz="0" w:space="0" w:color="auto"/>
                                                <w:left w:val="none" w:sz="0" w:space="0" w:color="auto"/>
                                                <w:bottom w:val="none" w:sz="0" w:space="0" w:color="auto"/>
                                                <w:right w:val="none" w:sz="0" w:space="0" w:color="auto"/>
                                              </w:divBdr>
                                              <w:divsChild>
                                                <w:div w:id="8872970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466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78745">
                              <w:marLeft w:val="0"/>
                              <w:marRight w:val="0"/>
                              <w:marTop w:val="0"/>
                              <w:marBottom w:val="0"/>
                              <w:divBdr>
                                <w:top w:val="none" w:sz="0" w:space="0" w:color="auto"/>
                                <w:left w:val="none" w:sz="0" w:space="0" w:color="auto"/>
                                <w:bottom w:val="none" w:sz="0" w:space="0" w:color="auto"/>
                                <w:right w:val="none" w:sz="0" w:space="0" w:color="auto"/>
                              </w:divBdr>
                              <w:divsChild>
                                <w:div w:id="1348753250">
                                  <w:marLeft w:val="0"/>
                                  <w:marRight w:val="0"/>
                                  <w:marTop w:val="0"/>
                                  <w:marBottom w:val="0"/>
                                  <w:divBdr>
                                    <w:top w:val="none" w:sz="0" w:space="0" w:color="auto"/>
                                    <w:left w:val="none" w:sz="0" w:space="0" w:color="auto"/>
                                    <w:bottom w:val="none" w:sz="0" w:space="0" w:color="auto"/>
                                    <w:right w:val="none" w:sz="0" w:space="0" w:color="auto"/>
                                  </w:divBdr>
                                  <w:divsChild>
                                    <w:div w:id="1250191363">
                                      <w:marLeft w:val="0"/>
                                      <w:marRight w:val="0"/>
                                      <w:marTop w:val="0"/>
                                      <w:marBottom w:val="0"/>
                                      <w:divBdr>
                                        <w:top w:val="none" w:sz="0" w:space="0" w:color="auto"/>
                                        <w:left w:val="none" w:sz="0" w:space="0" w:color="auto"/>
                                        <w:bottom w:val="none" w:sz="0" w:space="0" w:color="auto"/>
                                        <w:right w:val="none" w:sz="0" w:space="0" w:color="auto"/>
                                      </w:divBdr>
                                      <w:divsChild>
                                        <w:div w:id="159346067">
                                          <w:marLeft w:val="0"/>
                                          <w:marRight w:val="0"/>
                                          <w:marTop w:val="0"/>
                                          <w:marBottom w:val="0"/>
                                          <w:divBdr>
                                            <w:top w:val="none" w:sz="0" w:space="0" w:color="auto"/>
                                            <w:left w:val="none" w:sz="0" w:space="0" w:color="auto"/>
                                            <w:bottom w:val="none" w:sz="0" w:space="0" w:color="auto"/>
                                            <w:right w:val="none" w:sz="0" w:space="0" w:color="auto"/>
                                          </w:divBdr>
                                        </w:div>
                                        <w:div w:id="861628918">
                                          <w:marLeft w:val="0"/>
                                          <w:marRight w:val="0"/>
                                          <w:marTop w:val="0"/>
                                          <w:marBottom w:val="0"/>
                                          <w:divBdr>
                                            <w:top w:val="none" w:sz="0" w:space="0" w:color="auto"/>
                                            <w:left w:val="none" w:sz="0" w:space="0" w:color="auto"/>
                                            <w:bottom w:val="none" w:sz="0" w:space="0" w:color="auto"/>
                                            <w:right w:val="none" w:sz="0" w:space="0" w:color="auto"/>
                                          </w:divBdr>
                                          <w:divsChild>
                                            <w:div w:id="1310357797">
                                              <w:marLeft w:val="0"/>
                                              <w:marRight w:val="0"/>
                                              <w:marTop w:val="0"/>
                                              <w:marBottom w:val="0"/>
                                              <w:divBdr>
                                                <w:top w:val="none" w:sz="0" w:space="0" w:color="auto"/>
                                                <w:left w:val="none" w:sz="0" w:space="0" w:color="auto"/>
                                                <w:bottom w:val="none" w:sz="0" w:space="0" w:color="auto"/>
                                                <w:right w:val="none" w:sz="0" w:space="0" w:color="auto"/>
                                              </w:divBdr>
                                              <w:divsChild>
                                                <w:div w:id="84922529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14793814">
                                          <w:marLeft w:val="0"/>
                                          <w:marRight w:val="0"/>
                                          <w:marTop w:val="0"/>
                                          <w:marBottom w:val="0"/>
                                          <w:divBdr>
                                            <w:top w:val="none" w:sz="0" w:space="0" w:color="auto"/>
                                            <w:left w:val="none" w:sz="0" w:space="0" w:color="auto"/>
                                            <w:bottom w:val="none" w:sz="0" w:space="0" w:color="auto"/>
                                            <w:right w:val="none" w:sz="0" w:space="0" w:color="auto"/>
                                          </w:divBdr>
                                          <w:divsChild>
                                            <w:div w:id="79923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221136">
                              <w:marLeft w:val="0"/>
                              <w:marRight w:val="0"/>
                              <w:marTop w:val="0"/>
                              <w:marBottom w:val="0"/>
                              <w:divBdr>
                                <w:top w:val="none" w:sz="0" w:space="0" w:color="auto"/>
                                <w:left w:val="none" w:sz="0" w:space="0" w:color="auto"/>
                                <w:bottom w:val="none" w:sz="0" w:space="0" w:color="auto"/>
                                <w:right w:val="none" w:sz="0" w:space="0" w:color="auto"/>
                              </w:divBdr>
                              <w:divsChild>
                                <w:div w:id="1216891532">
                                  <w:marLeft w:val="0"/>
                                  <w:marRight w:val="0"/>
                                  <w:marTop w:val="0"/>
                                  <w:marBottom w:val="0"/>
                                  <w:divBdr>
                                    <w:top w:val="none" w:sz="0" w:space="0" w:color="auto"/>
                                    <w:left w:val="none" w:sz="0" w:space="0" w:color="auto"/>
                                    <w:bottom w:val="none" w:sz="0" w:space="0" w:color="auto"/>
                                    <w:right w:val="none" w:sz="0" w:space="0" w:color="auto"/>
                                  </w:divBdr>
                                  <w:divsChild>
                                    <w:div w:id="1224558085">
                                      <w:marLeft w:val="0"/>
                                      <w:marRight w:val="0"/>
                                      <w:marTop w:val="0"/>
                                      <w:marBottom w:val="0"/>
                                      <w:divBdr>
                                        <w:top w:val="none" w:sz="0" w:space="0" w:color="auto"/>
                                        <w:left w:val="none" w:sz="0" w:space="0" w:color="auto"/>
                                        <w:bottom w:val="none" w:sz="0" w:space="0" w:color="auto"/>
                                        <w:right w:val="none" w:sz="0" w:space="0" w:color="auto"/>
                                      </w:divBdr>
                                      <w:divsChild>
                                        <w:div w:id="1366758841">
                                          <w:marLeft w:val="0"/>
                                          <w:marRight w:val="0"/>
                                          <w:marTop w:val="0"/>
                                          <w:marBottom w:val="0"/>
                                          <w:divBdr>
                                            <w:top w:val="none" w:sz="0" w:space="0" w:color="auto"/>
                                            <w:left w:val="none" w:sz="0" w:space="0" w:color="auto"/>
                                            <w:bottom w:val="none" w:sz="0" w:space="0" w:color="auto"/>
                                            <w:right w:val="none" w:sz="0" w:space="0" w:color="auto"/>
                                          </w:divBdr>
                                          <w:divsChild>
                                            <w:div w:id="46806319">
                                              <w:marLeft w:val="0"/>
                                              <w:marRight w:val="0"/>
                                              <w:marTop w:val="0"/>
                                              <w:marBottom w:val="0"/>
                                              <w:divBdr>
                                                <w:top w:val="none" w:sz="0" w:space="0" w:color="auto"/>
                                                <w:left w:val="none" w:sz="0" w:space="0" w:color="auto"/>
                                                <w:bottom w:val="none" w:sz="0" w:space="0" w:color="auto"/>
                                                <w:right w:val="none" w:sz="0" w:space="0" w:color="auto"/>
                                              </w:divBdr>
                                              <w:divsChild>
                                                <w:div w:id="6488286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91545068">
                                          <w:marLeft w:val="0"/>
                                          <w:marRight w:val="0"/>
                                          <w:marTop w:val="0"/>
                                          <w:marBottom w:val="0"/>
                                          <w:divBdr>
                                            <w:top w:val="none" w:sz="0" w:space="0" w:color="auto"/>
                                            <w:left w:val="none" w:sz="0" w:space="0" w:color="auto"/>
                                            <w:bottom w:val="none" w:sz="0" w:space="0" w:color="auto"/>
                                            <w:right w:val="none" w:sz="0" w:space="0" w:color="auto"/>
                                          </w:divBdr>
                                        </w:div>
                                        <w:div w:id="1659068438">
                                          <w:marLeft w:val="0"/>
                                          <w:marRight w:val="0"/>
                                          <w:marTop w:val="0"/>
                                          <w:marBottom w:val="0"/>
                                          <w:divBdr>
                                            <w:top w:val="none" w:sz="0" w:space="0" w:color="auto"/>
                                            <w:left w:val="none" w:sz="0" w:space="0" w:color="auto"/>
                                            <w:bottom w:val="none" w:sz="0" w:space="0" w:color="auto"/>
                                            <w:right w:val="none" w:sz="0" w:space="0" w:color="auto"/>
                                          </w:divBdr>
                                          <w:divsChild>
                                            <w:div w:id="192368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491352">
                              <w:marLeft w:val="0"/>
                              <w:marRight w:val="0"/>
                              <w:marTop w:val="0"/>
                              <w:marBottom w:val="0"/>
                              <w:divBdr>
                                <w:top w:val="none" w:sz="0" w:space="0" w:color="auto"/>
                                <w:left w:val="none" w:sz="0" w:space="0" w:color="auto"/>
                                <w:bottom w:val="none" w:sz="0" w:space="0" w:color="auto"/>
                                <w:right w:val="none" w:sz="0" w:space="0" w:color="auto"/>
                              </w:divBdr>
                              <w:divsChild>
                                <w:div w:id="732659197">
                                  <w:marLeft w:val="0"/>
                                  <w:marRight w:val="0"/>
                                  <w:marTop w:val="0"/>
                                  <w:marBottom w:val="0"/>
                                  <w:divBdr>
                                    <w:top w:val="none" w:sz="0" w:space="0" w:color="auto"/>
                                    <w:left w:val="none" w:sz="0" w:space="0" w:color="auto"/>
                                    <w:bottom w:val="none" w:sz="0" w:space="0" w:color="auto"/>
                                    <w:right w:val="none" w:sz="0" w:space="0" w:color="auto"/>
                                  </w:divBdr>
                                  <w:divsChild>
                                    <w:div w:id="1873959406">
                                      <w:marLeft w:val="0"/>
                                      <w:marRight w:val="0"/>
                                      <w:marTop w:val="0"/>
                                      <w:marBottom w:val="0"/>
                                      <w:divBdr>
                                        <w:top w:val="none" w:sz="0" w:space="0" w:color="auto"/>
                                        <w:left w:val="none" w:sz="0" w:space="0" w:color="auto"/>
                                        <w:bottom w:val="none" w:sz="0" w:space="0" w:color="auto"/>
                                        <w:right w:val="none" w:sz="0" w:space="0" w:color="auto"/>
                                      </w:divBdr>
                                      <w:divsChild>
                                        <w:div w:id="127866881">
                                          <w:marLeft w:val="0"/>
                                          <w:marRight w:val="0"/>
                                          <w:marTop w:val="0"/>
                                          <w:marBottom w:val="0"/>
                                          <w:divBdr>
                                            <w:top w:val="none" w:sz="0" w:space="0" w:color="auto"/>
                                            <w:left w:val="none" w:sz="0" w:space="0" w:color="auto"/>
                                            <w:bottom w:val="none" w:sz="0" w:space="0" w:color="auto"/>
                                            <w:right w:val="none" w:sz="0" w:space="0" w:color="auto"/>
                                          </w:divBdr>
                                          <w:divsChild>
                                            <w:div w:id="1621304292">
                                              <w:marLeft w:val="0"/>
                                              <w:marRight w:val="0"/>
                                              <w:marTop w:val="0"/>
                                              <w:marBottom w:val="0"/>
                                              <w:divBdr>
                                                <w:top w:val="none" w:sz="0" w:space="0" w:color="auto"/>
                                                <w:left w:val="none" w:sz="0" w:space="0" w:color="auto"/>
                                                <w:bottom w:val="none" w:sz="0" w:space="0" w:color="auto"/>
                                                <w:right w:val="none" w:sz="0" w:space="0" w:color="auto"/>
                                              </w:divBdr>
                                            </w:div>
                                          </w:divsChild>
                                        </w:div>
                                        <w:div w:id="470443995">
                                          <w:marLeft w:val="0"/>
                                          <w:marRight w:val="0"/>
                                          <w:marTop w:val="0"/>
                                          <w:marBottom w:val="0"/>
                                          <w:divBdr>
                                            <w:top w:val="none" w:sz="0" w:space="0" w:color="auto"/>
                                            <w:left w:val="none" w:sz="0" w:space="0" w:color="auto"/>
                                            <w:bottom w:val="none" w:sz="0" w:space="0" w:color="auto"/>
                                            <w:right w:val="none" w:sz="0" w:space="0" w:color="auto"/>
                                          </w:divBdr>
                                          <w:divsChild>
                                            <w:div w:id="2002156467">
                                              <w:marLeft w:val="0"/>
                                              <w:marRight w:val="0"/>
                                              <w:marTop w:val="0"/>
                                              <w:marBottom w:val="0"/>
                                              <w:divBdr>
                                                <w:top w:val="none" w:sz="0" w:space="0" w:color="auto"/>
                                                <w:left w:val="none" w:sz="0" w:space="0" w:color="auto"/>
                                                <w:bottom w:val="none" w:sz="0" w:space="0" w:color="auto"/>
                                                <w:right w:val="none" w:sz="0" w:space="0" w:color="auto"/>
                                              </w:divBdr>
                                              <w:divsChild>
                                                <w:div w:id="18567716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068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18897">
                              <w:marLeft w:val="0"/>
                              <w:marRight w:val="0"/>
                              <w:marTop w:val="0"/>
                              <w:marBottom w:val="0"/>
                              <w:divBdr>
                                <w:top w:val="none" w:sz="0" w:space="0" w:color="auto"/>
                                <w:left w:val="none" w:sz="0" w:space="0" w:color="auto"/>
                                <w:bottom w:val="none" w:sz="0" w:space="0" w:color="auto"/>
                                <w:right w:val="none" w:sz="0" w:space="0" w:color="auto"/>
                              </w:divBdr>
                              <w:divsChild>
                                <w:div w:id="941034817">
                                  <w:marLeft w:val="0"/>
                                  <w:marRight w:val="0"/>
                                  <w:marTop w:val="0"/>
                                  <w:marBottom w:val="0"/>
                                  <w:divBdr>
                                    <w:top w:val="none" w:sz="0" w:space="0" w:color="auto"/>
                                    <w:left w:val="none" w:sz="0" w:space="0" w:color="auto"/>
                                    <w:bottom w:val="none" w:sz="0" w:space="0" w:color="auto"/>
                                    <w:right w:val="none" w:sz="0" w:space="0" w:color="auto"/>
                                  </w:divBdr>
                                  <w:divsChild>
                                    <w:div w:id="1846170481">
                                      <w:marLeft w:val="0"/>
                                      <w:marRight w:val="0"/>
                                      <w:marTop w:val="0"/>
                                      <w:marBottom w:val="0"/>
                                      <w:divBdr>
                                        <w:top w:val="none" w:sz="0" w:space="0" w:color="auto"/>
                                        <w:left w:val="none" w:sz="0" w:space="0" w:color="auto"/>
                                        <w:bottom w:val="none" w:sz="0" w:space="0" w:color="auto"/>
                                        <w:right w:val="none" w:sz="0" w:space="0" w:color="auto"/>
                                      </w:divBdr>
                                      <w:divsChild>
                                        <w:div w:id="31005400">
                                          <w:marLeft w:val="0"/>
                                          <w:marRight w:val="0"/>
                                          <w:marTop w:val="0"/>
                                          <w:marBottom w:val="0"/>
                                          <w:divBdr>
                                            <w:top w:val="none" w:sz="0" w:space="0" w:color="auto"/>
                                            <w:left w:val="none" w:sz="0" w:space="0" w:color="auto"/>
                                            <w:bottom w:val="none" w:sz="0" w:space="0" w:color="auto"/>
                                            <w:right w:val="none" w:sz="0" w:space="0" w:color="auto"/>
                                          </w:divBdr>
                                        </w:div>
                                        <w:div w:id="1612087063">
                                          <w:marLeft w:val="0"/>
                                          <w:marRight w:val="0"/>
                                          <w:marTop w:val="0"/>
                                          <w:marBottom w:val="0"/>
                                          <w:divBdr>
                                            <w:top w:val="none" w:sz="0" w:space="0" w:color="auto"/>
                                            <w:left w:val="none" w:sz="0" w:space="0" w:color="auto"/>
                                            <w:bottom w:val="none" w:sz="0" w:space="0" w:color="auto"/>
                                            <w:right w:val="none" w:sz="0" w:space="0" w:color="auto"/>
                                          </w:divBdr>
                                          <w:divsChild>
                                            <w:div w:id="2069452788">
                                              <w:marLeft w:val="0"/>
                                              <w:marRight w:val="0"/>
                                              <w:marTop w:val="0"/>
                                              <w:marBottom w:val="0"/>
                                              <w:divBdr>
                                                <w:top w:val="none" w:sz="0" w:space="0" w:color="auto"/>
                                                <w:left w:val="none" w:sz="0" w:space="0" w:color="auto"/>
                                                <w:bottom w:val="none" w:sz="0" w:space="0" w:color="auto"/>
                                                <w:right w:val="none" w:sz="0" w:space="0" w:color="auto"/>
                                              </w:divBdr>
                                              <w:divsChild>
                                                <w:div w:id="95768494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42645271">
                                          <w:marLeft w:val="0"/>
                                          <w:marRight w:val="0"/>
                                          <w:marTop w:val="0"/>
                                          <w:marBottom w:val="0"/>
                                          <w:divBdr>
                                            <w:top w:val="none" w:sz="0" w:space="0" w:color="auto"/>
                                            <w:left w:val="none" w:sz="0" w:space="0" w:color="auto"/>
                                            <w:bottom w:val="none" w:sz="0" w:space="0" w:color="auto"/>
                                            <w:right w:val="none" w:sz="0" w:space="0" w:color="auto"/>
                                          </w:divBdr>
                                          <w:divsChild>
                                            <w:div w:id="138845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244239">
                              <w:marLeft w:val="0"/>
                              <w:marRight w:val="0"/>
                              <w:marTop w:val="0"/>
                              <w:marBottom w:val="0"/>
                              <w:divBdr>
                                <w:top w:val="none" w:sz="0" w:space="0" w:color="auto"/>
                                <w:left w:val="none" w:sz="0" w:space="0" w:color="auto"/>
                                <w:bottom w:val="none" w:sz="0" w:space="0" w:color="auto"/>
                                <w:right w:val="none" w:sz="0" w:space="0" w:color="auto"/>
                              </w:divBdr>
                              <w:divsChild>
                                <w:div w:id="424886583">
                                  <w:marLeft w:val="0"/>
                                  <w:marRight w:val="0"/>
                                  <w:marTop w:val="0"/>
                                  <w:marBottom w:val="0"/>
                                  <w:divBdr>
                                    <w:top w:val="none" w:sz="0" w:space="0" w:color="auto"/>
                                    <w:left w:val="none" w:sz="0" w:space="0" w:color="auto"/>
                                    <w:bottom w:val="none" w:sz="0" w:space="0" w:color="auto"/>
                                    <w:right w:val="none" w:sz="0" w:space="0" w:color="auto"/>
                                  </w:divBdr>
                                  <w:divsChild>
                                    <w:div w:id="1184976385">
                                      <w:marLeft w:val="0"/>
                                      <w:marRight w:val="0"/>
                                      <w:marTop w:val="0"/>
                                      <w:marBottom w:val="0"/>
                                      <w:divBdr>
                                        <w:top w:val="none" w:sz="0" w:space="0" w:color="auto"/>
                                        <w:left w:val="none" w:sz="0" w:space="0" w:color="auto"/>
                                        <w:bottom w:val="none" w:sz="0" w:space="0" w:color="auto"/>
                                        <w:right w:val="none" w:sz="0" w:space="0" w:color="auto"/>
                                      </w:divBdr>
                                      <w:divsChild>
                                        <w:div w:id="263878375">
                                          <w:marLeft w:val="0"/>
                                          <w:marRight w:val="0"/>
                                          <w:marTop w:val="0"/>
                                          <w:marBottom w:val="0"/>
                                          <w:divBdr>
                                            <w:top w:val="none" w:sz="0" w:space="0" w:color="auto"/>
                                            <w:left w:val="none" w:sz="0" w:space="0" w:color="auto"/>
                                            <w:bottom w:val="none" w:sz="0" w:space="0" w:color="auto"/>
                                            <w:right w:val="none" w:sz="0" w:space="0" w:color="auto"/>
                                          </w:divBdr>
                                          <w:divsChild>
                                            <w:div w:id="1186791711">
                                              <w:marLeft w:val="0"/>
                                              <w:marRight w:val="0"/>
                                              <w:marTop w:val="0"/>
                                              <w:marBottom w:val="0"/>
                                              <w:divBdr>
                                                <w:top w:val="none" w:sz="0" w:space="0" w:color="auto"/>
                                                <w:left w:val="none" w:sz="0" w:space="0" w:color="auto"/>
                                                <w:bottom w:val="none" w:sz="0" w:space="0" w:color="auto"/>
                                                <w:right w:val="none" w:sz="0" w:space="0" w:color="auto"/>
                                              </w:divBdr>
                                            </w:div>
                                          </w:divsChild>
                                        </w:div>
                                        <w:div w:id="518548015">
                                          <w:marLeft w:val="0"/>
                                          <w:marRight w:val="0"/>
                                          <w:marTop w:val="0"/>
                                          <w:marBottom w:val="0"/>
                                          <w:divBdr>
                                            <w:top w:val="none" w:sz="0" w:space="0" w:color="auto"/>
                                            <w:left w:val="none" w:sz="0" w:space="0" w:color="auto"/>
                                            <w:bottom w:val="none" w:sz="0" w:space="0" w:color="auto"/>
                                            <w:right w:val="none" w:sz="0" w:space="0" w:color="auto"/>
                                          </w:divBdr>
                                        </w:div>
                                        <w:div w:id="1923950970">
                                          <w:marLeft w:val="0"/>
                                          <w:marRight w:val="0"/>
                                          <w:marTop w:val="0"/>
                                          <w:marBottom w:val="0"/>
                                          <w:divBdr>
                                            <w:top w:val="none" w:sz="0" w:space="0" w:color="auto"/>
                                            <w:left w:val="none" w:sz="0" w:space="0" w:color="auto"/>
                                            <w:bottom w:val="none" w:sz="0" w:space="0" w:color="auto"/>
                                            <w:right w:val="none" w:sz="0" w:space="0" w:color="auto"/>
                                          </w:divBdr>
                                          <w:divsChild>
                                            <w:div w:id="955598676">
                                              <w:marLeft w:val="0"/>
                                              <w:marRight w:val="0"/>
                                              <w:marTop w:val="0"/>
                                              <w:marBottom w:val="0"/>
                                              <w:divBdr>
                                                <w:top w:val="none" w:sz="0" w:space="0" w:color="auto"/>
                                                <w:left w:val="none" w:sz="0" w:space="0" w:color="auto"/>
                                                <w:bottom w:val="none" w:sz="0" w:space="0" w:color="auto"/>
                                                <w:right w:val="none" w:sz="0" w:space="0" w:color="auto"/>
                                              </w:divBdr>
                                              <w:divsChild>
                                                <w:div w:id="14920242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9447397">
      <w:bodyDiv w:val="1"/>
      <w:marLeft w:val="0"/>
      <w:marRight w:val="0"/>
      <w:marTop w:val="0"/>
      <w:marBottom w:val="0"/>
      <w:divBdr>
        <w:top w:val="none" w:sz="0" w:space="0" w:color="auto"/>
        <w:left w:val="none" w:sz="0" w:space="0" w:color="auto"/>
        <w:bottom w:val="none" w:sz="0" w:space="0" w:color="auto"/>
        <w:right w:val="none" w:sz="0" w:space="0" w:color="auto"/>
      </w:divBdr>
    </w:div>
    <w:div w:id="2146115067">
      <w:bodyDiv w:val="1"/>
      <w:marLeft w:val="0"/>
      <w:marRight w:val="0"/>
      <w:marTop w:val="0"/>
      <w:marBottom w:val="0"/>
      <w:divBdr>
        <w:top w:val="none" w:sz="0" w:space="0" w:color="auto"/>
        <w:left w:val="none" w:sz="0" w:space="0" w:color="auto"/>
        <w:bottom w:val="none" w:sz="0" w:space="0" w:color="auto"/>
        <w:right w:val="none" w:sz="0" w:space="0" w:color="auto"/>
      </w:divBdr>
      <w:divsChild>
        <w:div w:id="1011876320">
          <w:marLeft w:val="0"/>
          <w:marRight w:val="0"/>
          <w:marTop w:val="0"/>
          <w:marBottom w:val="0"/>
          <w:divBdr>
            <w:top w:val="none" w:sz="0" w:space="0" w:color="auto"/>
            <w:left w:val="none" w:sz="0" w:space="0" w:color="auto"/>
            <w:bottom w:val="none" w:sz="0" w:space="0" w:color="auto"/>
            <w:right w:val="none" w:sz="0" w:space="0" w:color="auto"/>
          </w:divBdr>
          <w:divsChild>
            <w:div w:id="401565228">
              <w:marLeft w:val="0"/>
              <w:marRight w:val="0"/>
              <w:marTop w:val="0"/>
              <w:marBottom w:val="0"/>
              <w:divBdr>
                <w:top w:val="none" w:sz="0" w:space="0" w:color="auto"/>
                <w:left w:val="none" w:sz="0" w:space="0" w:color="auto"/>
                <w:bottom w:val="none" w:sz="0" w:space="0" w:color="auto"/>
                <w:right w:val="none" w:sz="0" w:space="0" w:color="auto"/>
              </w:divBdr>
              <w:divsChild>
                <w:div w:id="44651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oecd.org/sti/ind/trade-in-employment.htm" TargetMode="External"/><Relationship Id="rId21" Type="http://schemas.openxmlformats.org/officeDocument/2006/relationships/hyperlink" Target="https://s3platform.jrc.ec.europa.eu/s3-thematic-platforms" TargetMode="External"/><Relationship Id="rId42" Type="http://schemas.openxmlformats.org/officeDocument/2006/relationships/hyperlink" Target="http://www.sciencedirect.com" TargetMode="External"/><Relationship Id="rId63" Type="http://schemas.openxmlformats.org/officeDocument/2006/relationships/hyperlink" Target="http://lankellychase.org.uk/wp-content/uploads/2017/10/Historical-review-of-place-based-approaches.pdf" TargetMode="External"/><Relationship Id="rId84" Type="http://schemas.openxmlformats.org/officeDocument/2006/relationships/hyperlink" Target="https://www.europarl.europa.eu/RegData/etudes/STUD/2021/653626/EXPO_STU(2021)653626_EN.pdf" TargetMode="External"/><Relationship Id="rId138" Type="http://schemas.openxmlformats.org/officeDocument/2006/relationships/hyperlink" Target="https://ideas.repec.org/s/wiw/wiwrsa.html" TargetMode="External"/><Relationship Id="rId107" Type="http://schemas.openxmlformats.org/officeDocument/2006/relationships/hyperlink" Target="https://ideas.repec.org/p/hhs/lucirc/2013_014.html" TargetMode="External"/><Relationship Id="rId11" Type="http://schemas.openxmlformats.org/officeDocument/2006/relationships/hyperlink" Target="https://www.uudenmaanliitto.fi/files/24776/Big_five_Partnership.pdf" TargetMode="External"/><Relationship Id="rId32" Type="http://schemas.openxmlformats.org/officeDocument/2006/relationships/hyperlink" Target="https://www.tandfonline.com/doi/full/10.1080/00343404.2020.1861240" TargetMode="External"/><Relationship Id="rId37" Type="http://schemas.openxmlformats.org/officeDocument/2006/relationships/hyperlink" Target="https://www.tandfonline.com/doi/full/10.1080/00343404.2020.1861240" TargetMode="External"/><Relationship Id="rId53" Type="http://schemas.openxmlformats.org/officeDocument/2006/relationships/hyperlink" Target="http://dimetic.dime-eu.org/dimetic_files/artbookBatheltFeldmanKogler.pdf" TargetMode="External"/><Relationship Id="rId58" Type="http://schemas.openxmlformats.org/officeDocument/2006/relationships/hyperlink" Target="http://dx.doi.org/10.1080/09654313.2016.1156058" TargetMode="External"/><Relationship Id="rId74" Type="http://schemas.openxmlformats.org/officeDocument/2006/relationships/hyperlink" Target="https://ec.europa.eu/regional_policy/sources/docgener/presenta/smart_specialisation/smart_ris3_2012.pdf" TargetMode="External"/><Relationship Id="rId79" Type="http://schemas.openxmlformats.org/officeDocument/2006/relationships/hyperlink" Target="https://ec.europa.eu/regional_policy/sources/tender/pdf/interregional_innovation/call.pdf" TargetMode="External"/><Relationship Id="rId102" Type="http://schemas.openxmlformats.org/officeDocument/2006/relationships/hyperlink" Target="https://www.researchgate.net/publication/271740043" TargetMode="External"/><Relationship Id="rId123" Type="http://schemas.openxmlformats.org/officeDocument/2006/relationships/hyperlink" Target="https://doi.org/10.1787/299731d2-en" TargetMode="External"/><Relationship Id="rId128" Type="http://schemas.openxmlformats.org/officeDocument/2006/relationships/hyperlink" Target="https://penniur.upenn.edu/uploads/media/Rodriguez-Pose_-_Wilkie_PennIUR-Philly_Fed_working_paper_091616.pdf" TargetMode="External"/><Relationship Id="rId5" Type="http://schemas.openxmlformats.org/officeDocument/2006/relationships/webSettings" Target="webSettings.xml"/><Relationship Id="rId90" Type="http://schemas.openxmlformats.org/officeDocument/2006/relationships/hyperlink" Target="https://www.aka.fi/en/research-and-science-policy/centres-of-excellence/" TargetMode="External"/><Relationship Id="rId95" Type="http://schemas.openxmlformats.org/officeDocument/2006/relationships/hyperlink" Target="http://irep.ntu.ac.uk/id/eprint/519/1/202832_thinkingaboutregionalcompetitiveness2005.pdf" TargetMode="External"/><Relationship Id="rId22" Type="http://schemas.openxmlformats.org/officeDocument/2006/relationships/image" Target="media/image2.png"/><Relationship Id="rId27" Type="http://schemas.openxmlformats.org/officeDocument/2006/relationships/hyperlink" Target="https://www.oecd.org/sti/inno/smart-specialisation.pdf" TargetMode="External"/><Relationship Id="rId43" Type="http://schemas.openxmlformats.org/officeDocument/2006/relationships/hyperlink" Target="https://doi.org/10.1080/13511610.2018.1491001" TargetMode="External"/><Relationship Id="rId48" Type="http://schemas.openxmlformats.org/officeDocument/2006/relationships/hyperlink" Target="https://doi.org/10.1080/00343404.2014.883598" TargetMode="External"/><Relationship Id="rId64" Type="http://schemas.openxmlformats.org/officeDocument/2006/relationships/hyperlink" Target="https://www.investopedia.com/terms/c/competitive_advantage.asp" TargetMode="External"/><Relationship Id="rId69" Type="http://schemas.openxmlformats.org/officeDocument/2006/relationships/hyperlink" Target="https://citeseerx.ist.psu.edu/viewdoc/download?doi=10.1.1.828.9211&amp;rep=rep1&amp;type=pdf" TargetMode="External"/><Relationship Id="rId113" Type="http://schemas.openxmlformats.org/officeDocument/2006/relationships/hyperlink" Target="https://tem.fi/documents/1410877/2095033/National%2520priorities%2520of%2520regional%2520development%25202016-2019.pdf/e30d1617-187e-48b3-ab23-78506214e0a9" TargetMode="External"/><Relationship Id="rId118" Type="http://schemas.openxmlformats.org/officeDocument/2006/relationships/hyperlink" Target="https://www.oecd.org/sti/outlook/e-outlook/sticountryprofiles/finland.htm" TargetMode="External"/><Relationship Id="rId134" Type="http://schemas.openxmlformats.org/officeDocument/2006/relationships/hyperlink" Target="https://www.sciencedirect.com/science/journal/00487333" TargetMode="External"/><Relationship Id="rId139" Type="http://schemas.openxmlformats.org/officeDocument/2006/relationships/header" Target="header1.xml"/><Relationship Id="rId80" Type="http://schemas.openxmlformats.org/officeDocument/2006/relationships/hyperlink" Target="https://ec.europa.eu/regional_policy/en/policy/how/priorities/2014-2020/" TargetMode="External"/><Relationship Id="rId85" Type="http://schemas.openxmlformats.org/officeDocument/2006/relationships/hyperlink" Target="https://ec.europa.eu/research/eurab/pdf/eurab_05_037_wg4fr_dec2005_en.pdf" TargetMode="External"/><Relationship Id="rId12" Type="http://schemas.openxmlformats.org/officeDocument/2006/relationships/hyperlink" Target="https://www.uudenmaanliitto.fi/files/24776/Big_five_Partnership.pdf" TargetMode="External"/><Relationship Id="rId17" Type="http://schemas.openxmlformats.org/officeDocument/2006/relationships/hyperlink" Target="https://www.uudenmaanliitto.fi/files/24776/Big_five_Partnership.pdf" TargetMode="External"/><Relationship Id="rId33" Type="http://schemas.openxmlformats.org/officeDocument/2006/relationships/hyperlink" Target="https://www.researchgate.net/profile/Ruslan-Rakhmatullin/publication/303523378_Global_Value_Chains_and_Smart_Specialisation_Strategy_Thematic_Work_on_the_Understanding_of_Global_Value_Chains_and_their_Analysis_within_the_Context_of_Smart_Specialisation/links/5746bc3b08ae9f741b431f83/Global-Value-Chains-and-Smart-Specialisation-Strategy-Thematic-Work-on-the-Understanding-of-Global-Value-Chains-and-their-Analysis-within-the-Context-of-Smart-Specialisation.pdf" TargetMode="External"/><Relationship Id="rId38" Type="http://schemas.openxmlformats.org/officeDocument/2006/relationships/hyperlink" Target="https://www.tandfonline.com/doi/full/10.1080/00343404.2020.1861240" TargetMode="External"/><Relationship Id="rId59" Type="http://schemas.openxmlformats.org/officeDocument/2006/relationships/hyperlink" Target="https://doi.org/10.1177/01600176211028761" TargetMode="External"/><Relationship Id="rId103" Type="http://schemas.openxmlformats.org/officeDocument/2006/relationships/hyperlink" Target="https://www.jstor.org/stable/i347637" TargetMode="External"/><Relationship Id="rId108" Type="http://schemas.openxmlformats.org/officeDocument/2006/relationships/hyperlink" Target="https://ideas.repec.org/s/hhs/lucirc.html" TargetMode="External"/><Relationship Id="rId124" Type="http://schemas.openxmlformats.org/officeDocument/2006/relationships/hyperlink" Target="https://www.oecd-ilibrary.org/sites/2246251c-en/index.html?itemId=/content/component/2246251c-en" TargetMode="External"/><Relationship Id="rId129" Type="http://schemas.openxmlformats.org/officeDocument/2006/relationships/hyperlink" Target="https://homepages.tuni.fi/markku.sotarauta/stuff/wp/Sotarauta&amp;Beer_WP47.pdf" TargetMode="External"/><Relationship Id="rId54" Type="http://schemas.openxmlformats.org/officeDocument/2006/relationships/hyperlink" Target="http://econ.geog.uu.nl/peeg/peeg.html" TargetMode="External"/><Relationship Id="rId70" Type="http://schemas.openxmlformats.org/officeDocument/2006/relationships/hyperlink" Target="https://www.enterprise-ireland.com/en/funding-supports/company/esetablish-sme-funding/acumen-programme.html" TargetMode="External"/><Relationship Id="rId75" Type="http://schemas.openxmlformats.org/officeDocument/2006/relationships/hyperlink" Target="https://tem.fi/documents/1410877/10387910/Romanska+MFF+and+cohesion+policy+post+2020.pdf/2b77997e-42a9-41a0-92f5-b32f5140975e/Romanska+MFF+and+cohesion+policy+post+2020.pdf.pdf" TargetMode="External"/><Relationship Id="rId91" Type="http://schemas.openxmlformats.org/officeDocument/2006/relationships/hyperlink" Target="https://ec.europa.eu/regional_policy/sources/docgener/brochure/smart/role_smartspecialisation_ri.pdf" TargetMode="External"/><Relationship Id="rId96" Type="http://schemas.openxmlformats.org/officeDocument/2006/relationships/hyperlink" Target="https://ideas.repec.org/a/oup/scippl/v43y2016i4p562-574..html" TargetMode="Externa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Users/ninettachaniotou/Library/Mobile%20Documents/com~apple~CloudDocs/BRIDGES/Communication%20and%20dissemination/2022_RSA%20meeting%20through%20the%20FoSS/The" TargetMode="External"/><Relationship Id="rId28" Type="http://schemas.openxmlformats.org/officeDocument/2006/relationships/hyperlink" Target="https://ec.europa.eu/regional_policy/sources/docgener/brochure/smart/role_smartspecialisation_ri.pdf" TargetMode="External"/><Relationship Id="rId49" Type="http://schemas.openxmlformats.org/officeDocument/2006/relationships/hyperlink" Target="https://www.bsssc.com/3rdcp" TargetMode="External"/><Relationship Id="rId114" Type="http://schemas.openxmlformats.org/officeDocument/2006/relationships/hyperlink" Target="http://ec.europa.eu/regional_policy/sources/docgener/informat/2014/smart_specialisation_en.pdf" TargetMode="External"/><Relationship Id="rId119" Type="http://schemas.openxmlformats.org/officeDocument/2006/relationships/hyperlink" Target="https://www.oecd.org/sti/inno/smart-specialisation.pdf" TargetMode="External"/><Relationship Id="rId44" Type="http://schemas.openxmlformats.org/officeDocument/2006/relationships/hyperlink" Target="https://www.researchgate.net/profile/Arne_Isaksen/publication/5152701_Regional_Innovation_Systems_The_Integration_of_Local_'Sticky'_and_Global_'Ubiquitous'_Knowledge/links/00463525519deb38e7000000.pdf" TargetMode="External"/><Relationship Id="rId60" Type="http://schemas.openxmlformats.org/officeDocument/2006/relationships/hyperlink" Target="https://doi.org/10.1080/09654310802049117" TargetMode="External"/><Relationship Id="rId65" Type="http://schemas.openxmlformats.org/officeDocument/2006/relationships/hyperlink" Target="https://www.jyu.fi/ersa2003/cdrom/papers/452.pdf" TargetMode="External"/><Relationship Id="rId81" Type="http://schemas.openxmlformats.org/officeDocument/2006/relationships/hyperlink" Target="https://ec.europa.eu/commission/presscorner/detail/en/ip_21_1884" TargetMode="External"/><Relationship Id="rId86" Type="http://schemas.openxmlformats.org/officeDocument/2006/relationships/hyperlink" Target="http://ec.europa.eu/research/infrastructures" TargetMode="External"/><Relationship Id="rId130" Type="http://schemas.openxmlformats.org/officeDocument/2006/relationships/hyperlink" Target="http://dx.doi.org/10.1080/21681376.2018.1480902%22%20%5Ct%20%22_blank" TargetMode="External"/><Relationship Id="rId135" Type="http://schemas.openxmlformats.org/officeDocument/2006/relationships/hyperlink" Target="https://www.sciencedirect.com/science/journal/00487333/43/3" TargetMode="External"/><Relationship Id="rId13" Type="http://schemas.openxmlformats.org/officeDocument/2006/relationships/hyperlink" Target="https://www.uudenmaanliitto.fi/files/24776/Big_five_Partnership.pdf" TargetMode="External"/><Relationship Id="rId18" Type="http://schemas.openxmlformats.org/officeDocument/2006/relationships/hyperlink" Target="https://www.uudenmaanliitto.fi/files/24776/Big_five_Partnership.pdf" TargetMode="External"/><Relationship Id="rId39" Type="http://schemas.openxmlformats.org/officeDocument/2006/relationships/image" Target="media/image4.png"/><Relationship Id="rId109" Type="http://schemas.openxmlformats.org/officeDocument/2006/relationships/hyperlink" Target="https://www.researchgate.net/publication/254423239" TargetMode="External"/><Relationship Id="rId34" Type="http://schemas.openxmlformats.org/officeDocument/2006/relationships/hyperlink" Target="https://www.europeansources.info/record/european-reaction-to-the-outbreak-of-coronavirus/" TargetMode="External"/><Relationship Id="rId50" Type="http://schemas.openxmlformats.org/officeDocument/2006/relationships/hyperlink" Target="https://doi.org/10.1080/00343404.2021.1926959" TargetMode="External"/><Relationship Id="rId55" Type="http://schemas.openxmlformats.org/officeDocument/2006/relationships/hyperlink" Target="https://www.researchgate.net/publication/227346407" TargetMode="External"/><Relationship Id="rId76" Type="http://schemas.openxmlformats.org/officeDocument/2006/relationships/hyperlink" Target="https://ec.europa.eu/research/evaluations/pdf/archive/other_reports_studies_and_documents/clusters_smart_spec2013.pdf" TargetMode="External"/><Relationship Id="rId97" Type="http://schemas.openxmlformats.org/officeDocument/2006/relationships/hyperlink" Target="https://ideas.repec.org/s/oup/scippl.html" TargetMode="External"/><Relationship Id="rId104" Type="http://schemas.openxmlformats.org/officeDocument/2006/relationships/hyperlink" Target="http://dx.doi.org/10.1080/09654313.2016.1181717" TargetMode="External"/><Relationship Id="rId120" Type="http://schemas.openxmlformats.org/officeDocument/2006/relationships/hyperlink" Target="https://www.oecd.org/mcm/C-MIN(2013)15-ENG.pdf" TargetMode="External"/><Relationship Id="rId125" Type="http://schemas.openxmlformats.org/officeDocument/2006/relationships/hyperlink" Target="https://www.oecd.org/naec/THE-KNOWLEDGE-ECONOMY.pdf" TargetMode="External"/><Relationship Id="rId141"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doi.org/10.1007/s13132-021-00766-1" TargetMode="External"/><Relationship Id="rId92" Type="http://schemas.openxmlformats.org/officeDocument/2006/relationships/hyperlink" Target="https://www.researchgate.net/publication/5208456" TargetMode="External"/><Relationship Id="rId2" Type="http://schemas.openxmlformats.org/officeDocument/2006/relationships/numbering" Target="numbering.xml"/><Relationship Id="rId29" Type="http://schemas.openxmlformats.org/officeDocument/2006/relationships/hyperlink" Target="https://www.tandfonline.com/doi/full/10.1080/00343404.2020.1861240" TargetMode="External"/><Relationship Id="rId24" Type="http://schemas.openxmlformats.org/officeDocument/2006/relationships/hyperlink" Target="https://homepages.tuni.fi/markku.sotarauta/verkkokirjasto/j/sotarauta_place_based_WP46.pdf" TargetMode="External"/><Relationship Id="rId40" Type="http://schemas.openxmlformats.org/officeDocument/2006/relationships/hyperlink" Target="https://onlinelibrary.wiley.com/doi/epdf/10.1111/jors.12568" TargetMode="External"/><Relationship Id="rId45" Type="http://schemas.openxmlformats.org/officeDocument/2006/relationships/hyperlink" Target="https://doi.org/10.1080/09654313.2011.573127" TargetMode="External"/><Relationship Id="rId66" Type="http://schemas.openxmlformats.org/officeDocument/2006/relationships/hyperlink" Target="http://www.dimeeu.org/files/active/0/regional_advantage_FINAL.pdf" TargetMode="External"/><Relationship Id="rId87" Type="http://schemas.openxmlformats.org/officeDocument/2006/relationships/hyperlink" Target="https://www.etla.fi/wp-content/uploads/InnoEvalFi_POLICY_Report_28-Oct-2009.pdf" TargetMode="External"/><Relationship Id="rId110" Type="http://schemas.openxmlformats.org/officeDocument/2006/relationships/hyperlink" Target="https://www.mckinsey.com/business-functions/operations/our-insights/risk-resilience-and-rebalancing-in-global-value-chains?sid=38c47e33-f6d3-43f8-84b1-e678f3aa8463%22%20%5Ct%20%22_blank" TargetMode="External"/><Relationship Id="rId115" Type="http://schemas.openxmlformats.org/officeDocument/2006/relationships/hyperlink" Target="http://www.nber.org/papers/w20049" TargetMode="External"/><Relationship Id="rId131" Type="http://schemas.openxmlformats.org/officeDocument/2006/relationships/hyperlink" Target="https://www.researchgate.net/publication/project/Regional-Growth-Against-All-Odds" TargetMode="External"/><Relationship Id="rId136" Type="http://schemas.openxmlformats.org/officeDocument/2006/relationships/hyperlink" Target="https://www.uudenmaanliitto.fi/dynastia32/kokous/20171033-3-1.PDF" TargetMode="External"/><Relationship Id="rId61" Type="http://schemas.openxmlformats.org/officeDocument/2006/relationships/hyperlink" Target="https://ec.europa.eu/regional_policy/en/projects/finland/centre-of-expertise-programme-implementing-the-multipolis-network" TargetMode="External"/><Relationship Id="rId82" Type="http://schemas.openxmlformats.org/officeDocument/2006/relationships/hyperlink" Target="https://ec.europa.eu/info/sites/default/files/communication-industrial-strategy-update-2020_en.pdf" TargetMode="External"/><Relationship Id="rId19" Type="http://schemas.openxmlformats.org/officeDocument/2006/relationships/hyperlink" Target="https://www.uudenmaanliitto.fi/files/24776/Big_five_Partnership.pdf" TargetMode="External"/><Relationship Id="rId14" Type="http://schemas.openxmlformats.org/officeDocument/2006/relationships/hyperlink" Target="https://www.uudenmaanliitto.fi/files/24776/Big_five_Partnership.pdf" TargetMode="External"/><Relationship Id="rId30" Type="http://schemas.openxmlformats.org/officeDocument/2006/relationships/hyperlink" Target="https://www.tandfonline.com/doi/full/10.1080/00343404.2020.1861240" TargetMode="External"/><Relationship Id="rId35" Type="http://schemas.openxmlformats.org/officeDocument/2006/relationships/hyperlink" Target="https://www.europeansources.info/record/europes-moment-repair-and-prepare-for-the-next-generation/" TargetMode="External"/><Relationship Id="rId56" Type="http://schemas.openxmlformats.org/officeDocument/2006/relationships/hyperlink" Target="https://ideas.repec.org/s/egu/wpaper.html" TargetMode="External"/><Relationship Id="rId77" Type="http://schemas.openxmlformats.org/officeDocument/2006/relationships/hyperlink" Target="http://ec.europa.eu/regional_policy/sources/docgener/informat/2014/smart_specialisation_en.pdf" TargetMode="External"/><Relationship Id="rId100" Type="http://schemas.openxmlformats.org/officeDocument/2006/relationships/hyperlink" Target="https://www.ifm.eng.cam.ac.uk/research/dstools/value-chain-/" TargetMode="External"/><Relationship Id="rId105" Type="http://schemas.openxmlformats.org/officeDocument/2006/relationships/hyperlink" Target="https://www.nordregio.org/wp-content/uploads/2017/04/Smart-Specialisation-Discussion-Paper_-180202.pdf" TargetMode="External"/><Relationship Id="rId126" Type="http://schemas.openxmlformats.org/officeDocument/2006/relationships/hyperlink" Target="http://www.relativimpact.com/downloads/HBR-Shared-value.pdf" TargetMode="External"/><Relationship Id="rId8" Type="http://schemas.openxmlformats.org/officeDocument/2006/relationships/image" Target="media/image1.png"/><Relationship Id="rId51" Type="http://schemas.openxmlformats.org/officeDocument/2006/relationships/hyperlink" Target="https://doi.org/10.1080/2578711X.2020.1783897" TargetMode="External"/><Relationship Id="rId72" Type="http://schemas.openxmlformats.org/officeDocument/2006/relationships/hyperlink" Target="http://www.dime-eu.org/files/active/0/regional_advantage_FINAL.pdf" TargetMode="External"/><Relationship Id="rId93" Type="http://schemas.openxmlformats.org/officeDocument/2006/relationships/hyperlink" Target="https://doi.org/10.1177/03091325211033652" TargetMode="External"/><Relationship Id="rId98" Type="http://schemas.openxmlformats.org/officeDocument/2006/relationships/hyperlink" Target="https://doi.org/10.1787/00f7d7db-en" TargetMode="External"/><Relationship Id="rId121" Type="http://schemas.openxmlformats.org/officeDocument/2006/relationships/hyperlink" Target="https://www.oecd.org/mcm/C-MIN(2013)15-ENG.pdf" TargetMode="External"/><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file:///Users/ninettachaniotou/Library/Containers/com.microsoft.Word/Data/Library/Preferences/AutoRecovery/The" TargetMode="External"/><Relationship Id="rId46" Type="http://schemas.openxmlformats.org/officeDocument/2006/relationships/hyperlink" Target="https://doi.org/10.1080/00343404.2020.1861240" TargetMode="External"/><Relationship Id="rId67" Type="http://schemas.openxmlformats.org/officeDocument/2006/relationships/hyperlink" Target="https://doi.org/10.1080/00343404.2017.1287349" TargetMode="External"/><Relationship Id="rId116" Type="http://schemas.openxmlformats.org/officeDocument/2006/relationships/hyperlink" Target="https://www.oecd.org/sti/ind/measuring-trade-in-value-added.htm" TargetMode="External"/><Relationship Id="rId137" Type="http://schemas.openxmlformats.org/officeDocument/2006/relationships/hyperlink" Target="https://ideas.repec.org/p/wiw/wiwrsa/ersa06p762.html" TargetMode="External"/><Relationship Id="rId20" Type="http://schemas.openxmlformats.org/officeDocument/2006/relationships/hyperlink" Target="https://www.uudenmaanliitto.fi/files/24776/Big_five_Partnership.pdf" TargetMode="External"/><Relationship Id="rId41" Type="http://schemas.openxmlformats.org/officeDocument/2006/relationships/hyperlink" Target="https://www.researchgate.net/publication/324261309_Optimal_diversification_strategies_in_the_networks_of_related_products_and_of_related_research_areas" TargetMode="External"/><Relationship Id="rId62" Type="http://schemas.openxmlformats.org/officeDocument/2006/relationships/hyperlink" Target="https://estif.lexxion.eu/data/article/13237/pdf/estif_2018_03-009.pdf%2520.%2520" TargetMode="External"/><Relationship Id="rId83" Type="http://schemas.openxmlformats.org/officeDocument/2006/relationships/hyperlink" Target="https://ec.europa.eu/info/files/communication-updating-2020-new-industrial-strategy-building-stronger-single-market-europes-recovery_en" TargetMode="External"/><Relationship Id="rId88" Type="http://schemas.openxmlformats.org/officeDocument/2006/relationships/hyperlink" Target="https://www.exploring-economics.org/en/orientation/evolutionary-economics/" TargetMode="External"/><Relationship Id="rId111" Type="http://schemas.openxmlformats.org/officeDocument/2006/relationships/hyperlink" Target="https://doi.org/10.1093/jeg/lbt038" TargetMode="External"/><Relationship Id="rId132" Type="http://schemas.openxmlformats.org/officeDocument/2006/relationships/hyperlink" Target="http://dx.doi.org/10.1080/00343400701292284" TargetMode="External"/><Relationship Id="rId15" Type="http://schemas.openxmlformats.org/officeDocument/2006/relationships/hyperlink" Target="https://www.uudenmaanliitto.fi/files/24776/Big_five_Partnership.pdf" TargetMode="External"/><Relationship Id="rId36" Type="http://schemas.openxmlformats.org/officeDocument/2006/relationships/hyperlink" Target="https://www.tandfonline.com/doi/full/10.1080/00343404.2020.1861240" TargetMode="External"/><Relationship Id="rId57" Type="http://schemas.openxmlformats.org/officeDocument/2006/relationships/hyperlink" Target="https://www.interregeurope.eu/bridges/" TargetMode="External"/><Relationship Id="rId106" Type="http://schemas.openxmlformats.org/officeDocument/2006/relationships/hyperlink" Target="https://www.researchgate.net/publication/228867861" TargetMode="External"/><Relationship Id="rId127" Type="http://schemas.openxmlformats.org/officeDocument/2006/relationships/hyperlink" Target="https://doi.org/10.1080/00343400801932250" TargetMode="External"/><Relationship Id="rId10" Type="http://schemas.openxmlformats.org/officeDocument/2006/relationships/hyperlink" Target="https://www.uudenmaanliitto.fi/files/24776/Big_five_Partnership.pdf" TargetMode="External"/><Relationship Id="rId31" Type="http://schemas.openxmlformats.org/officeDocument/2006/relationships/image" Target="media/image3.emf"/><Relationship Id="rId52" Type="http://schemas.openxmlformats.org/officeDocument/2006/relationships/hyperlink" Target="https://s3platform.jrc.ec.europa.eu/documents/20182/355850/Mark+Boden+presentation+KAIST.pdf/82aaf315-22e9-4721-99a6-37c748f492dc" TargetMode="External"/><Relationship Id="rId73" Type="http://schemas.openxmlformats.org/officeDocument/2006/relationships/hyperlink" Target="https://ec.europa.eu/regional_policy/sources/docoffic/official/communic/smart_growth/comm2010_553_en.pdf" TargetMode="External"/><Relationship Id="rId78" Type="http://schemas.openxmlformats.org/officeDocument/2006/relationships/hyperlink" Target="https://tem.fi/documents/1410877/10387910/Romanska+MFF+and+cohesion+policy+post+2020.pdf/2b77997e-42a9-41a0-92f5-b32f5140975e/Romanska+MFF+and+cohesion+policy+post+2020.pdf.pdf" TargetMode="External"/><Relationship Id="rId94" Type="http://schemas.openxmlformats.org/officeDocument/2006/relationships/hyperlink" Target="https://citeseerx.ist.psu.edu/viewdoc/download?doi=10.1.1.643.5440&amp;rep=rep1&amp;type=pdf" TargetMode="External"/><Relationship Id="rId99" Type="http://schemas.openxmlformats.org/officeDocument/2006/relationships/hyperlink" Target="http://centrum.pucp.edu.pe/pdf/revistas/JCC-vol6-issue2-86.pdf" TargetMode="External"/><Relationship Id="rId101" Type="http://schemas.openxmlformats.org/officeDocument/2006/relationships/hyperlink" Target="https://tulip.co/blog/what-is-a-push-system-vs-a-pull-system/" TargetMode="External"/><Relationship Id="rId122" Type="http://schemas.openxmlformats.org/officeDocument/2006/relationships/hyperlink" Target="https://www.oecd.org/cfe/regionaldevelopment/Radosevic(2018)FosteringInnovationInLessDevelopedRegions.pdf"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udenmaanliitto.fi/files/24776/Big_five_Partnership.pdf" TargetMode="External"/><Relationship Id="rId26" Type="http://schemas.openxmlformats.org/officeDocument/2006/relationships/hyperlink" Target="https://doi.org/10.1016/j.respol.2006.09.027" TargetMode="External"/><Relationship Id="rId47" Type="http://schemas.openxmlformats.org/officeDocument/2006/relationships/hyperlink" Target="https://doi.org/10.1080/00343404.2018.1437900" TargetMode="External"/><Relationship Id="rId68" Type="http://schemas.openxmlformats.org/officeDocument/2006/relationships/hyperlink" Target="https://www.exploring-economics.org/en/orientation/evolutionary-economics/" TargetMode="External"/><Relationship Id="rId89" Type="http://schemas.openxmlformats.org/officeDocument/2006/relationships/hyperlink" Target="http://www.sciencedirect.com/science/article/pii/S0169721810010087" TargetMode="External"/><Relationship Id="rId112" Type="http://schemas.openxmlformats.org/officeDocument/2006/relationships/hyperlink" Target="https://doi.org/10.1080/21681376.2019.1578257" TargetMode="External"/><Relationship Id="rId133" Type="http://schemas.openxmlformats.org/officeDocument/2006/relationships/hyperlink" Target="https://www.researchgate.net/publication/254459296" TargetMode="External"/><Relationship Id="rId16" Type="http://schemas.openxmlformats.org/officeDocument/2006/relationships/hyperlink" Target="https://www.uudenmaanliitto.fi/files/24776/Big_five_Partnership.pdf"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ec.europa.eu/commission/presscorner/detail/en/ip_21_1884" TargetMode="External"/><Relationship Id="rId13" Type="http://schemas.openxmlformats.org/officeDocument/2006/relationships/hyperlink" Target="https://ec.europa.eu/economy_finance/publications/economic_paper/2013/pdf/ecp484_en.pdf" TargetMode="External"/><Relationship Id="rId18" Type="http://schemas.openxmlformats.org/officeDocument/2006/relationships/hyperlink" Target="https://www.europeansources.info/record/proposal-for-a-regulation-establishing-a-european-union-recovery-instrument-to-support-the-recovery-in-the-aftermath-of-the-covid-19-pandemic/" TargetMode="External"/><Relationship Id="rId3" Type="http://schemas.openxmlformats.org/officeDocument/2006/relationships/hyperlink" Target="https://www.jstor.org/stable/i347637" TargetMode="External"/><Relationship Id="rId7" Type="http://schemas.openxmlformats.org/officeDocument/2006/relationships/hyperlink" Target="https://ec.europa.eu/info/files/communication-updating-2020-new-industrial-strategy-building-stronger-single-market-europes-recovery_en" TargetMode="External"/><Relationship Id="rId12" Type="http://schemas.openxmlformats.org/officeDocument/2006/relationships/hyperlink" Target="https://ec.europa.eu/info/sites/default/files/communication-industrial-strategy-update-2020_en.pdf" TargetMode="External"/><Relationship Id="rId17" Type="http://schemas.openxmlformats.org/officeDocument/2006/relationships/hyperlink" Target="https://www.europeansources.info/record/video-conference-of-the-members-of-the-european-council-23-april-2020/" TargetMode="External"/><Relationship Id="rId2" Type="http://schemas.openxmlformats.org/officeDocument/2006/relationships/hyperlink" Target="https://www.oecd.org/sti/inno/smart-specialisation.pdf" TargetMode="External"/><Relationship Id="rId16" Type="http://schemas.openxmlformats.org/officeDocument/2006/relationships/hyperlink" Target="https://www.europeansources.info/record/video-conference-of-the-members-of-the-european-council-26-march-2020/" TargetMode="External"/><Relationship Id="rId20" Type="http://schemas.openxmlformats.org/officeDocument/2006/relationships/hyperlink" Target="https://www.europeansources.info/record/adjusted-commission-work-programme-2020/" TargetMode="External"/><Relationship Id="rId1" Type="http://schemas.openxmlformats.org/officeDocument/2006/relationships/hyperlink" Target="https://www.oecd.org/mcm/C-MIN(2013)15-ENG.pdf" TargetMode="External"/><Relationship Id="rId6" Type="http://schemas.openxmlformats.org/officeDocument/2006/relationships/hyperlink" Target="https://www.investopedia.com/terms/c/competitive_advantage.asp" TargetMode="External"/><Relationship Id="rId11" Type="http://schemas.openxmlformats.org/officeDocument/2006/relationships/hyperlink" Target="https://www.researchgate.net/publication/project/Regional-Growth-Against-All-Odds" TargetMode="External"/><Relationship Id="rId5" Type="http://schemas.openxmlformats.org/officeDocument/2006/relationships/hyperlink" Target="https://tulip.co/blog/what-is-a-push-system-vs-a-pull-system/" TargetMode="External"/><Relationship Id="rId15" Type="http://schemas.openxmlformats.org/officeDocument/2006/relationships/hyperlink" Target="https://ec.europa.eu/regional_policy/sources/docgener/brochure/smart/role_smartspecialisation_ri.pdf" TargetMode="External"/><Relationship Id="rId10" Type="http://schemas.openxmlformats.org/officeDocument/2006/relationships/hyperlink" Target="http://dx.doi.org/10.1080/21681376.2018.1480902" TargetMode="External"/><Relationship Id="rId19" Type="http://schemas.openxmlformats.org/officeDocument/2006/relationships/hyperlink" Target="https://www.europeansources.info/record/the-eu-budget-powering-the-recovery-plan-for-europe/" TargetMode="External"/><Relationship Id="rId4" Type="http://schemas.openxmlformats.org/officeDocument/2006/relationships/hyperlink" Target="https://www.ifm.eng.cam.ac.uk/research/dstools/value-chain-/" TargetMode="External"/><Relationship Id="rId9" Type="http://schemas.openxmlformats.org/officeDocument/2006/relationships/hyperlink" Target="https://www.europarl.europa.eu/RegData/etudes/STUD/2021/653626/EXPO_STU(2021)653626_EN.pdf" TargetMode="External"/><Relationship Id="rId14" Type="http://schemas.openxmlformats.org/officeDocument/2006/relationships/hyperlink" Target="https://citeseerx.ist.psu.edu/viewdoc/download?doi=10.1.1.643.5440&amp;rep=rep1&amp;type=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digitalesbb.de/2019/09/12/hauptstadtregionen-vernetzen-sich/" TargetMode="External"/><Relationship Id="rId13" Type="http://schemas.openxmlformats.org/officeDocument/2006/relationships/hyperlink" Target="https://ec.europa.eu/commission/presscorner/detail/en/IP_21_3048" TargetMode="External"/><Relationship Id="rId18" Type="http://schemas.openxmlformats.org/officeDocument/2006/relationships/hyperlink" Target="http://ec.europa.eu/regional_policy/cooperate/cooperation/index_en.cfm" TargetMode="External"/><Relationship Id="rId26" Type="http://schemas.openxmlformats.org/officeDocument/2006/relationships/hyperlink" Target="https://econpapers.repec.org/scripts/redir.pf?u=https%3A%2F%2Fdoi.org%2F10.1080%252F00343404.2016.1254767;h=repec:taf:regstd:v:51:y:2017:i:3:p:351-364" TargetMode="External"/><Relationship Id="rId3" Type="http://schemas.openxmlformats.org/officeDocument/2006/relationships/hyperlink" Target="https://www.interregeurope.eu/bridges/" TargetMode="External"/><Relationship Id="rId21" Type="http://schemas.openxmlformats.org/officeDocument/2006/relationships/hyperlink" Target="https://gosmartbsr.eu/news-posts/towards-s4-and-interregional-innovation-investments-in-the-baltic-sea-region/" TargetMode="External"/><Relationship Id="rId7" Type="http://schemas.openxmlformats.org/officeDocument/2006/relationships/hyperlink" Target="https://www.uudenmaanliitto.fi/tietopalvelut/julkaisut/big_five_partnership_-_analysis_of_the_regional_research_and_innovation_strategy_for_the_helsinki-uusimaa_region_and_its_cooperation_with_the_peer_regions.9057.xhtml" TargetMode="External"/><Relationship Id="rId12" Type="http://schemas.openxmlformats.org/officeDocument/2006/relationships/hyperlink" Target="https://s3platform.jrc.ec.europa.eu/thematic-areas" TargetMode="External"/><Relationship Id="rId17" Type="http://schemas.openxmlformats.org/officeDocument/2006/relationships/hyperlink" Target="https://www.oecd-ilibrary.org/sites/2246251c-en/index.html?itemId=/content/component/2246251c-en" TargetMode="External"/><Relationship Id="rId25" Type="http://schemas.openxmlformats.org/officeDocument/2006/relationships/hyperlink" Target="https://tem.fi/documents/1410877/10387910/Romanska+MFF+and+cohesion+policy+post+2020.pdf/2b77997e-42a9-41a0-92f5-b32f5140975e/Romanska+MFF+and+cohesion+policy+post+2020.pdf.pdf" TargetMode="External"/><Relationship Id="rId2" Type="http://schemas.openxmlformats.org/officeDocument/2006/relationships/hyperlink" Target="https://www.interregeurope.eu/fileadmin/user_upload/documents/Report_on_INTERREG_IVC_project_study.pdf" TargetMode="External"/><Relationship Id="rId16" Type="http://schemas.openxmlformats.org/officeDocument/2006/relationships/hyperlink" Target="https://doi.org/10.1787/299731d2-en" TargetMode="External"/><Relationship Id="rId20" Type="http://schemas.openxmlformats.org/officeDocument/2006/relationships/hyperlink" Target="https://ec.europa.eu/regional_policy/en/policy/how/priorities/2014-2020/" TargetMode="External"/><Relationship Id="rId29" Type="http://schemas.openxmlformats.org/officeDocument/2006/relationships/hyperlink" Target="https://www.investopedia.com/ask/answers/042215/what-difference-between-economies-scope-and-economies-scale.asp" TargetMode="External"/><Relationship Id="rId1" Type="http://schemas.openxmlformats.org/officeDocument/2006/relationships/hyperlink" Target="https://www.interregeurope.eu/fileadmin/user_upload/events/Sofia/11_IVC_results.pdf" TargetMode="External"/><Relationship Id="rId6" Type="http://schemas.openxmlformats.org/officeDocument/2006/relationships/hyperlink" Target="https://www.uudenmaanliitto.fi/files/24776/Big_five_Partnership.pdf" TargetMode="External"/><Relationship Id="rId11" Type="http://schemas.openxmlformats.org/officeDocument/2006/relationships/hyperlink" Target="https://s3platform.jrc.ec.europa.eu/berry" TargetMode="External"/><Relationship Id="rId24" Type="http://schemas.openxmlformats.org/officeDocument/2006/relationships/hyperlink" Target="https://ec.europa.eu/regional_policy/sources/tender/pdf/interregional_innovation/call.pdf" TargetMode="External"/><Relationship Id="rId5" Type="http://schemas.openxmlformats.org/officeDocument/2006/relationships/hyperlink" Target="https://www.baltic-tram.eu/about/index_eng.html" TargetMode="External"/><Relationship Id="rId15" Type="http://schemas.openxmlformats.org/officeDocument/2006/relationships/hyperlink" Target="https://s3platform.jrc.ec.europa.eu/thematic-areas" TargetMode="External"/><Relationship Id="rId23" Type="http://schemas.openxmlformats.org/officeDocument/2006/relationships/hyperlink" Target="https://www.bsssc.com/3rdcp" TargetMode="External"/><Relationship Id="rId28" Type="http://schemas.openxmlformats.org/officeDocument/2006/relationships/hyperlink" Target="https://www.investopedia.com/ask/answers/042215/what-difference-between-economies-scope-and-economies-scale.asp" TargetMode="External"/><Relationship Id="rId10" Type="http://schemas.openxmlformats.org/officeDocument/2006/relationships/hyperlink" Target="https://s3platform.jrc.ec.europa.eu/mining-industry" TargetMode="External"/><Relationship Id="rId19" Type="http://schemas.openxmlformats.org/officeDocument/2006/relationships/hyperlink" Target="http://ec.europa.eu/regional_policy/cooperate/macro_region_strategy/index_en.cfm" TargetMode="External"/><Relationship Id="rId4" Type="http://schemas.openxmlformats.org/officeDocument/2006/relationships/hyperlink" Target="https://www.science-link.eu" TargetMode="External"/><Relationship Id="rId9" Type="http://schemas.openxmlformats.org/officeDocument/2006/relationships/hyperlink" Target="http://s3platform.jrc.ec.europa.eu/sports" TargetMode="External"/><Relationship Id="rId14" Type="http://schemas.openxmlformats.org/officeDocument/2006/relationships/hyperlink" Target="https://s3platform.jrc.ec.europa.eu/berry" TargetMode="External"/><Relationship Id="rId22" Type="http://schemas.openxmlformats.org/officeDocument/2006/relationships/hyperlink" Target="https://www.alpine-space.eu/_directuploads/news/pinna_s3-and-interregional-innovation-investment_2021_eusalp.pdf" TargetMode="External"/><Relationship Id="rId27" Type="http://schemas.openxmlformats.org/officeDocument/2006/relationships/hyperlink" Target="https://doi.org/10.1080/21681376.2019.1703795"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interregeurope.eu/bridges/" TargetMode="External"/><Relationship Id="rId2" Type="http://schemas.openxmlformats.org/officeDocument/2006/relationships/hyperlink" Target="https://s3platform.jrc.ec.europa.eu/thematic-areas" TargetMode="External"/><Relationship Id="rId1" Type="http://schemas.openxmlformats.org/officeDocument/2006/relationships/hyperlink" Target="https://s3platform.jrc.ec.europa.eu/berry" TargetMode="Externa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98824E0-3881-4F77-815E-9E53CCF1C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46</Pages>
  <Words>23125</Words>
  <Characters>131813</Characters>
  <Application>Microsoft Office Word</Application>
  <DocSecurity>0</DocSecurity>
  <Lines>1098</Lines>
  <Paragraphs>309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Kainuun Etu Oy</Company>
  <LinksUpToDate>false</LinksUpToDate>
  <CharactersWithSpaces>154629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Ninetta Chaniotou</dc:creator>
  <cp:keywords/>
  <dc:description/>
  <cp:lastModifiedBy>Ninetta Chaniotou</cp:lastModifiedBy>
  <cp:revision>3</cp:revision>
  <cp:lastPrinted>2022-01-14T06:16:00Z</cp:lastPrinted>
  <dcterms:created xsi:type="dcterms:W3CDTF">2022-02-02T10:05:00Z</dcterms:created>
  <dcterms:modified xsi:type="dcterms:W3CDTF">2022-02-02T10:07:00Z</dcterms:modified>
</cp:coreProperties>
</file>